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001-32492</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tbl>
      <w:tblPr>
        <w:tblLayout w:type="fixed"/>
        <w:tblInd w:w="1620" w:type="dxa"/>
        <w:tblCellMar>
          <w:top w:w="0" w:type="dxa"/>
          <w:left w:w="0" w:type="dxa"/>
          <w:bottom w:w="0" w:type="dxa"/>
          <w:right w:w="0" w:type="dxa"/>
        </w:tblCellMar>
      </w:tblPr>
      <w:tr>
        <w:trPr>
          <w:trHeight w:val="530"/>
        </w:trPr>
        <w:tc>
          <w:tcPr>
            <w:tcW w:w="5960" w:type="dxa"/>
            <w:vAlign w:val="bottom"/>
            <w:gridSpan w:val="3"/>
          </w:tcPr>
          <w:p>
            <w:pPr>
              <w:jc w:val="center"/>
              <w:ind w:left="2123"/>
              <w:spacing w:after="0"/>
              <w:rPr>
                <w:sz w:val="20"/>
                <w:szCs w:val="20"/>
                <w:color w:val="auto"/>
              </w:rPr>
            </w:pPr>
            <w:r>
              <w:rPr>
                <w:rFonts w:ascii="Arial" w:cs="Arial" w:eastAsia="Arial" w:hAnsi="Arial"/>
                <w:sz w:val="43"/>
                <w:szCs w:val="43"/>
                <w:b w:val="1"/>
                <w:bCs w:val="1"/>
                <w:color w:val="auto"/>
              </w:rPr>
              <w:t>LAZARD LTD</w:t>
            </w:r>
          </w:p>
        </w:tc>
        <w:tc>
          <w:tcPr>
            <w:tcW w:w="2200" w:type="dxa"/>
            <w:vAlign w:val="bottom"/>
          </w:tcPr>
          <w:p>
            <w:pPr>
              <w:spacing w:after="0"/>
              <w:rPr>
                <w:sz w:val="24"/>
                <w:szCs w:val="24"/>
                <w:color w:val="auto"/>
              </w:rPr>
            </w:pPr>
          </w:p>
        </w:tc>
      </w:tr>
      <w:tr>
        <w:trPr>
          <w:trHeight w:val="174"/>
        </w:trPr>
        <w:tc>
          <w:tcPr>
            <w:tcW w:w="5960" w:type="dxa"/>
            <w:vAlign w:val="bottom"/>
            <w:gridSpan w:val="3"/>
          </w:tcPr>
          <w:p>
            <w:pPr>
              <w:jc w:val="center"/>
              <w:ind w:left="212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2200" w:type="dxa"/>
            <w:vAlign w:val="bottom"/>
          </w:tcPr>
          <w:p>
            <w:pPr>
              <w:spacing w:after="0"/>
              <w:rPr>
                <w:sz w:val="15"/>
                <w:szCs w:val="15"/>
                <w:color w:val="auto"/>
              </w:rPr>
            </w:pPr>
          </w:p>
        </w:tc>
      </w:tr>
      <w:tr>
        <w:trPr>
          <w:trHeight w:val="258"/>
        </w:trPr>
        <w:tc>
          <w:tcPr>
            <w:tcW w:w="596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9"/>
              </w:rPr>
              <w:t>Bermuda</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98-0437848</w:t>
            </w:r>
          </w:p>
        </w:tc>
      </w:tr>
      <w:tr>
        <w:trPr>
          <w:trHeight w:val="149"/>
        </w:trPr>
        <w:tc>
          <w:tcPr>
            <w:tcW w:w="5960" w:type="dxa"/>
            <w:vAlign w:val="bottom"/>
            <w:gridSpan w:val="3"/>
          </w:tcPr>
          <w:p>
            <w:pPr>
              <w:jc w:val="center"/>
              <w:ind w:right="336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49"/>
        </w:trPr>
        <w:tc>
          <w:tcPr>
            <w:tcW w:w="29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90"/>
        </w:trPr>
        <w:tc>
          <w:tcPr>
            <w:tcW w:w="2900" w:type="dxa"/>
            <w:vAlign w:val="bottom"/>
          </w:tcPr>
          <w:p>
            <w:pPr>
              <w:spacing w:after="0"/>
              <w:rPr>
                <w:sz w:val="24"/>
                <w:szCs w:val="24"/>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7"/>
              </w:rPr>
              <w:t>Clarendon House</w:t>
            </w:r>
          </w:p>
        </w:tc>
        <w:tc>
          <w:tcPr>
            <w:tcW w:w="220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9"/>
              </w:rPr>
              <w:t>2 Church Street</w:t>
            </w:r>
          </w:p>
        </w:tc>
        <w:tc>
          <w:tcPr>
            <w:tcW w:w="220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30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Hamilton HM11, Bermuda</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23"/>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43"/>
              <w:spacing w:after="0"/>
              <w:rPr>
                <w:sz w:val="20"/>
                <w:szCs w:val="20"/>
                <w:color w:val="auto"/>
              </w:rPr>
            </w:pPr>
            <w:r>
              <w:rPr>
                <w:rFonts w:ascii="Arial" w:cs="Arial" w:eastAsia="Arial" w:hAnsi="Arial"/>
                <w:sz w:val="18"/>
                <w:szCs w:val="18"/>
                <w:b w:val="1"/>
                <w:bCs w:val="1"/>
                <w:color w:val="auto"/>
                <w:w w:val="88"/>
              </w:rPr>
              <w:t>Registrant’s telephone number: (441) 295-1422</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0"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20" w:val="left"/>
          <w:tab w:leader="none" w:pos="92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340" w:firstLine="342"/>
        <w:spacing w:after="0" w:line="268" w:lineRule="auto"/>
        <w:rPr>
          <w:sz w:val="20"/>
          <w:szCs w:val="20"/>
          <w:color w:val="auto"/>
        </w:rPr>
      </w:pPr>
      <w:r>
        <w:rPr>
          <w:rFonts w:ascii="Arial" w:cs="Arial" w:eastAsia="Arial" w:hAnsi="Arial"/>
          <w:sz w:val="18"/>
          <w:szCs w:val="18"/>
          <w:color w:val="auto"/>
        </w:rPr>
        <w:t>As of July 25, 2011, there were 120,426,321 shares of the Registrant’s Class A common stock (including 4,339,875 shares held by a subsidiary) and one share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When we use the terms “Lazard”, “we”, “us”, “our” and “the Company”, we mean Lazard Ltd, a company incorporated under the laws of Bermuda, and its subsidiaries, including Lazard Group LLC, a Delaware limited liability company (“Lazard Group”), that is the current holding company for our businesses. Lazard Ltd has no operating assets other than indirect ownership as of June 30, 2011 of approximately 94.6% of the common membership interests in Lazard Group and its controlling interest in Lazard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0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0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2. 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Item 3. Quantitative and Qualitative Disclosures About Market Risk</w:t>
              </w:r>
            </w:hyperlink>
          </w:p>
        </w:tc>
        <w:tc>
          <w:tcPr>
            <w:tcW w:w="58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0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7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4. (Removed and Reserved)</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5. Other Information</w:t>
              </w:r>
            </w:hyperlink>
          </w:p>
        </w:tc>
        <w:tc>
          <w:tcPr>
            <w:tcW w:w="82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Item 6. Exhibits</w:t>
              </w:r>
            </w:hyperlink>
          </w:p>
        </w:tc>
        <w:tc>
          <w:tcPr>
            <w:tcW w:w="8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40" w:type="dxa"/>
            <w:vAlign w:val="bottom"/>
            <w:gridSpan w:val="14"/>
          </w:tcPr>
          <w:p>
            <w:pPr>
              <w:spacing w:after="0"/>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40" w:type="dxa"/>
            <w:vAlign w:val="bottom"/>
          </w:tcPr>
          <w:p>
            <w:pPr>
              <w:spacing w:after="0"/>
              <w:rPr>
                <w:sz w:val="24"/>
                <w:szCs w:val="24"/>
                <w:color w:val="auto"/>
              </w:rPr>
            </w:pPr>
          </w:p>
        </w:tc>
        <w:tc>
          <w:tcPr>
            <w:tcW w:w="1060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June 30, 2011 and December 31, 2010</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10600" w:type="dxa"/>
            <w:vAlign w:val="bottom"/>
            <w:gridSpan w:val="7"/>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and six month periods ended June 30,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8780" w:type="dxa"/>
            <w:vAlign w:val="bottom"/>
            <w:tcBorders>
              <w:top w:val="single" w:sz="8" w:color="0000EE"/>
            </w:tcBorders>
            <w:gridSpan w:val="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 periods ended June 30, 2011 and 2010</w:t>
              </w:r>
            </w:hyperlink>
          </w:p>
        </w:tc>
        <w:tc>
          <w:tcPr>
            <w:tcW w:w="1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70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91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Statements of Changes in Stockholders’ Equity for the six month periods ended June 30, 2011 and 2010</w:t>
              </w:r>
            </w:hyperlink>
          </w:p>
        </w:tc>
        <w:tc>
          <w:tcPr>
            <w:tcW w:w="15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90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67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2"/>
          </w:tcPr>
          <w:p>
            <w:pPr>
              <w:jc w:val="right"/>
              <w:ind w:right="20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984,012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$1,209,695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248,944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100,162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92,911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Fees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418,126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Related parties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13,502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532,141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435,139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417,410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3"/>
              </w:rPr>
              <w:t>Property (net of accumulated amortization and depreciation of $272,369 and $250,898 at June 30, 2011 and December 31,</w:t>
            </w:r>
          </w:p>
        </w:tc>
        <w:tc>
          <w:tcPr>
            <w:tcW w:w="100" w:type="dxa"/>
            <w:vAlign w:val="bottom"/>
          </w:tcPr>
          <w:p>
            <w:pPr>
              <w:spacing w:after="0"/>
              <w:rPr>
                <w:sz w:val="18"/>
                <w:szCs w:val="18"/>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153,006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2010, respectively)</w:t>
            </w:r>
          </w:p>
        </w:tc>
        <w:tc>
          <w:tcPr>
            <w:tcW w:w="1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150,524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9"/>
              </w:rPr>
              <w:t>Goodwill and other intangible assets (net of accumulated amortization of $18,187 and $15,007 at June 30, 2011 and</w:t>
            </w:r>
          </w:p>
        </w:tc>
        <w:tc>
          <w:tcPr>
            <w:tcW w:w="1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365,441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respectively)</w:t>
            </w:r>
          </w:p>
        </w:tc>
        <w:tc>
          <w:tcPr>
            <w:tcW w:w="10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361,439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262,169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265,310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3,081,014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$ 3,422,532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 AND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273,465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183,660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512,682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513,410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2,223,222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2,626,415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$.01 per share; 15,000,000 shares authorized: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Series A - 22,021 shares issued and outstanding at June 30, 2011 and December 31, 2010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Series B - no shares issued and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Class A, par value $.01 per share (500,000,000 shares authorized; 120,426,321 and 119,697,936 shares issued at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89"/>
              </w:rPr>
              <w:t>June 30, 2011 and December 31, 2010, respectively, including shares held by a subsidiary as indicated below)</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w w:val="88"/>
              </w:rPr>
              <w:t>Class B, par value $.01 per share (1 share authorized, issued and outstanding at June 30, 2011 and December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20" w:type="dxa"/>
            <w:vAlign w:val="bottom"/>
            <w:gridSpan w:val="2"/>
          </w:tcPr>
          <w:p>
            <w:pPr>
              <w:ind w:left="108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244,633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166,468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870,279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held by a subsidiary, at cost (4,339,875 and 6,847,508 shares at June 30, 2011 and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2010, respectively)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(159,763)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(227,950)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Lazard Ltd stockholders’ equity</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710,516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652,398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857,792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796,117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3,081,014</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3,422,532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Three Months Ended</w:t>
            </w:r>
          </w:p>
        </w:tc>
        <w:tc>
          <w:tcPr>
            <w:tcW w:w="2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0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500" w:type="dxa"/>
            <w:vAlign w:val="bottom"/>
            <w:gridSpan w:val="2"/>
            <w:vMerge w:val="continue"/>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$245,282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$463,423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1040" w:type="dxa"/>
            <w:vAlign w:val="bottom"/>
          </w:tcPr>
          <w:p>
            <w:pPr>
              <w:jc w:val="right"/>
              <w:spacing w:after="0"/>
              <w:rPr>
                <w:sz w:val="20"/>
                <w:szCs w:val="20"/>
                <w:color w:val="auto"/>
              </w:rPr>
            </w:pPr>
            <w:r>
              <w:rPr>
                <w:rFonts w:ascii="Arial" w:cs="Arial" w:eastAsia="Arial" w:hAnsi="Arial"/>
                <w:sz w:val="18"/>
                <w:szCs w:val="18"/>
                <w:color w:val="auto"/>
              </w:rPr>
              <w:t>230,906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180,899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445,598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22,240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45,070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443,153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961,946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23,313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24,118</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46,631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419,035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915,315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263,021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556,479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040" w:type="dxa"/>
            <w:vAlign w:val="bottom"/>
          </w:tcPr>
          <w:p>
            <w:pPr>
              <w:jc w:val="right"/>
              <w:spacing w:after="0"/>
              <w:rPr>
                <w:sz w:val="20"/>
                <w:szCs w:val="20"/>
                <w:color w:val="auto"/>
              </w:rPr>
            </w:pPr>
            <w:r>
              <w:rPr>
                <w:rFonts w:ascii="Arial" w:cs="Arial" w:eastAsia="Arial" w:hAnsi="Arial"/>
                <w:sz w:val="18"/>
                <w:szCs w:val="18"/>
                <w:color w:val="auto"/>
              </w:rPr>
              <w:t>22,977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21,320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45,685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18,252</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20,582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16,996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40,149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22,961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13,507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10,996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26,758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38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420" w:type="dxa"/>
            <w:vAlign w:val="bottom"/>
            <w:gridSpan w:val="3"/>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388,090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351,984</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752,667</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162,648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jc w:val="right"/>
              <w:spacing w:after="0"/>
              <w:rPr>
                <w:sz w:val="20"/>
                <w:szCs w:val="20"/>
                <w:color w:val="auto"/>
              </w:rPr>
            </w:pPr>
            <w:r>
              <w:rPr>
                <w:rFonts w:ascii="Arial" w:cs="Arial" w:eastAsia="Arial" w:hAnsi="Arial"/>
                <w:sz w:val="18"/>
                <w:szCs w:val="18"/>
                <w:color w:val="auto"/>
              </w:rPr>
              <w:t>17,636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13,523</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31,099</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53,528</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131,549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ATTRIBUTABLE TO NONCONTROLLING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9,562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8,956</w:t>
            </w: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14,538</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LAZARD LTD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$ 62,004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$ 44,572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$117,011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 LAZARD LTD CLASS A COMMON STOCKHOLDERS: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0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rPr>
              <w:t>WEIGHTED AVERAGE SHARES OF COMMON STOCK OUTSTANDING:</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119,107,386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103,527,014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117,221,070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96,631,576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139,347,933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139,944,310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138,969,263</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108,995,837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b w:val="1"/>
                <w:bCs w:val="1"/>
                <w:color w:val="auto"/>
              </w:rPr>
              <w:t>NET INCOME PER SHARE OF COMMON STOCK:</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640"/>
              <w:spacing w:after="0"/>
              <w:rPr>
                <w:sz w:val="20"/>
                <w:szCs w:val="20"/>
                <w:color w:val="auto"/>
              </w:rPr>
            </w:pPr>
            <w:r>
              <w:rPr>
                <w:rFonts w:ascii="Arial" w:cs="Arial" w:eastAsia="Arial" w:hAnsi="Arial"/>
                <w:sz w:val="18"/>
                <w:szCs w:val="18"/>
                <w:color w:val="auto"/>
              </w:rPr>
              <w:t>Diluted</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 DECLARED PER SHARE OF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131,549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Noncash items included in net income: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incentive compensation and interest rate hedge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164,713</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Deposits with banks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132,672</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Receivables-net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52,477</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12,237</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Deposits and other payables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(112,956)</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(366,816)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(301,056)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14,867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Distributions relating to equity method investments</w:t>
            </w: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(5,676)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Proceeds from:</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borrowings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Class A common stock</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(126,237)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Class A common stock dividends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(32,855)</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(90,635)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(254,482)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(103,733)</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19,409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(23,766)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(225,683)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(119,897)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1,209,695</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917,329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EQUIVALENTS—June 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984,012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797,432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40" w:type="dxa"/>
            <w:vAlign w:val="bottom"/>
            <w:gridSpan w:val="3"/>
            <w:vMerge w:val="restart"/>
          </w:tcPr>
          <w:p>
            <w:pPr>
              <w:jc w:val="center"/>
              <w:ind w:left="92"/>
              <w:spacing w:after="0"/>
              <w:rPr>
                <w:sz w:val="20"/>
                <w:szCs w:val="20"/>
                <w:color w:val="auto"/>
              </w:rPr>
            </w:pPr>
            <w:r>
              <w:rPr>
                <w:rFonts w:ascii="Arial" w:cs="Arial" w:eastAsia="Arial" w:hAnsi="Arial"/>
                <w:sz w:val="14"/>
                <w:szCs w:val="14"/>
                <w:b w:val="1"/>
                <w:bCs w:val="1"/>
                <w:color w:val="auto"/>
                <w:w w:val="85"/>
              </w:rPr>
              <w:t>Series A</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Other</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80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6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6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Lazard Ltd</w:t>
            </w: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640" w:type="dxa"/>
            <w:vAlign w:val="bottom"/>
            <w:gridSpan w:val="3"/>
            <w:vMerge w:val="restart"/>
          </w:tcPr>
          <w:p>
            <w:pPr>
              <w:jc w:val="center"/>
              <w:ind w:left="92"/>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4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9"/>
              </w:rPr>
              <w:t>Held By a Subsidiary</w:t>
            </w: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Paid-In-</w:t>
            </w:r>
          </w:p>
        </w:tc>
        <w:tc>
          <w:tcPr>
            <w:tcW w:w="620" w:type="dxa"/>
            <w:vAlign w:val="bottom"/>
            <w:gridSpan w:val="2"/>
            <w:vMerge w:val="restart"/>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Retained</w:t>
            </w:r>
          </w:p>
        </w:tc>
        <w:tc>
          <w:tcPr>
            <w:tcW w:w="40" w:type="dxa"/>
            <w:vAlign w:val="bottom"/>
          </w:tcPr>
          <w:p>
            <w:pPr>
              <w:spacing w:after="0"/>
              <w:rPr>
                <w:sz w:val="9"/>
                <w:szCs w:val="9"/>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460" w:type="dxa"/>
            <w:vAlign w:val="bottom"/>
            <w:gridSpan w:val="4"/>
            <w:vMerge w:val="continue"/>
          </w:tcPr>
          <w:p>
            <w:pPr>
              <w:spacing w:after="0"/>
              <w:rPr>
                <w:sz w:val="9"/>
                <w:szCs w:val="9"/>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40" w:type="dxa"/>
            <w:vAlign w:val="bottom"/>
          </w:tcPr>
          <w:p>
            <w:pPr>
              <w:spacing w:after="0"/>
              <w:rPr>
                <w:sz w:val="9"/>
                <w:szCs w:val="9"/>
                <w:color w:val="auto"/>
              </w:rPr>
            </w:pPr>
          </w:p>
        </w:tc>
        <w:tc>
          <w:tcPr>
            <w:tcW w:w="10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w w:val="98"/>
              </w:rPr>
              <w:t>Noncontrolling</w:t>
            </w:r>
          </w:p>
        </w:tc>
        <w:tc>
          <w:tcPr>
            <w:tcW w:w="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w:t>
            </w:r>
          </w:p>
        </w:tc>
        <w:tc>
          <w:tcPr>
            <w:tcW w:w="3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Earnings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of Tax</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Equity</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2011</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22,021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119,697,937</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$1,197</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758,841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0"/>
              </w:rPr>
              <w:t>$ 166,468</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(46,158)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9"/>
              </w:rPr>
              <w:t>6,847,508</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9"/>
              </w:rPr>
              <w:t>$(227,950)</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652,398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143,719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796,117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2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8"/>
              </w:rPr>
              <w:t>117,011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117,011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131,549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200"/>
              <w:spacing w:after="0" w:line="138" w:lineRule="exact"/>
              <w:rPr>
                <w:sz w:val="20"/>
                <w:szCs w:val="20"/>
                <w:color w:val="auto"/>
              </w:rPr>
            </w:pPr>
            <w:r>
              <w:rPr>
                <w:rFonts w:ascii="Arial" w:cs="Arial" w:eastAsia="Arial" w:hAnsi="Arial"/>
                <w:sz w:val="14"/>
                <w:szCs w:val="14"/>
                <w:color w:val="auto"/>
                <w:w w:val="94"/>
              </w:rPr>
              <w:t>Other comprehensive income (loss) -</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420"/>
              <w:spacing w:after="0" w:line="159" w:lineRule="exact"/>
              <w:rPr>
                <w:sz w:val="20"/>
                <w:szCs w:val="20"/>
                <w:color w:val="auto"/>
              </w:rPr>
            </w:pPr>
            <w:r>
              <w:rPr>
                <w:rFonts w:ascii="Arial" w:cs="Arial" w:eastAsia="Arial" w:hAnsi="Arial"/>
                <w:sz w:val="14"/>
                <w:szCs w:val="14"/>
                <w:color w:val="auto"/>
              </w:rPr>
              <w:t>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640"/>
              <w:spacing w:after="0" w:line="138" w:lineRule="exact"/>
              <w:rPr>
                <w:sz w:val="20"/>
                <w:szCs w:val="20"/>
                <w:color w:val="auto"/>
              </w:rPr>
            </w:pPr>
            <w:r>
              <w:rPr>
                <w:rFonts w:ascii="Arial" w:cs="Arial" w:eastAsia="Arial" w:hAnsi="Arial"/>
                <w:sz w:val="14"/>
                <w:szCs w:val="14"/>
                <w:color w:val="auto"/>
              </w:rPr>
              <w:t>Currency translation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860"/>
              <w:spacing w:after="0" w:line="159" w:lineRule="exact"/>
              <w:rPr>
                <w:sz w:val="20"/>
                <w:szCs w:val="20"/>
                <w:color w:val="auto"/>
              </w:rPr>
            </w:pPr>
            <w:r>
              <w:rPr>
                <w:rFonts w:ascii="Arial" w:cs="Arial" w:eastAsia="Arial" w:hAnsi="Arial"/>
                <w:sz w:val="14"/>
                <w:szCs w:val="14"/>
                <w:color w:val="auto"/>
              </w:rPr>
              <w:t>adjustments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30,418</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30,418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32,174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ind w:left="640"/>
              <w:spacing w:after="0" w:line="138" w:lineRule="exact"/>
              <w:rPr>
                <w:sz w:val="20"/>
                <w:szCs w:val="20"/>
                <w:color w:val="auto"/>
              </w:rPr>
            </w:pPr>
            <w:r>
              <w:rPr>
                <w:rFonts w:ascii="Arial" w:cs="Arial" w:eastAsia="Arial" w:hAnsi="Arial"/>
                <w:sz w:val="14"/>
                <w:szCs w:val="14"/>
                <w:color w:val="auto"/>
              </w:rPr>
              <w:t>Amortization of interest rate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860"/>
              <w:spacing w:after="0" w:line="159" w:lineRule="exact"/>
              <w:rPr>
                <w:sz w:val="20"/>
                <w:szCs w:val="20"/>
                <w:color w:val="auto"/>
              </w:rPr>
            </w:pPr>
            <w:r>
              <w:rPr>
                <w:rFonts w:ascii="Arial" w:cs="Arial" w:eastAsia="Arial" w:hAnsi="Arial"/>
                <w:sz w:val="14"/>
                <w:szCs w:val="14"/>
                <w:color w:val="auto"/>
              </w:rPr>
              <w:t>hedge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498</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Employee benefit plans: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060"/>
              <w:spacing w:after="0" w:line="149" w:lineRule="exact"/>
              <w:rPr>
                <w:sz w:val="20"/>
                <w:szCs w:val="20"/>
                <w:color w:val="auto"/>
              </w:rPr>
            </w:pPr>
            <w:r>
              <w:rPr>
                <w:rFonts w:ascii="Arial" w:cs="Arial" w:eastAsia="Arial" w:hAnsi="Arial"/>
                <w:sz w:val="14"/>
                <w:szCs w:val="14"/>
                <w:color w:val="auto"/>
              </w:rPr>
              <w:t>Net actuarial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(3,434)</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ind w:left="1060"/>
              <w:spacing w:after="0" w:line="138" w:lineRule="exact"/>
              <w:rPr>
                <w:sz w:val="20"/>
                <w:szCs w:val="20"/>
                <w:color w:val="auto"/>
              </w:rPr>
            </w:pPr>
            <w:r>
              <w:rPr>
                <w:rFonts w:ascii="Arial" w:cs="Arial" w:eastAsia="Arial" w:hAnsi="Arial"/>
                <w:sz w:val="14"/>
                <w:szCs w:val="14"/>
                <w:color w:val="auto"/>
                <w:w w:val="98"/>
              </w:rPr>
              <w:t>Adjustments for items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128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1,054</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1,054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1,114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0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145,547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16,187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161,734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Class A common stock issued/issuable in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connection with business acquisitions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LAM Merger and related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amortization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4,180</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4,180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Amortization of share-based incentive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compensation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144,261</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144,261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8,272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152,533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5,958</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(5,991)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Class A common stock dividends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(32,855)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(32,855)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Class A common stock</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3,156,416</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(126,237)</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(126,237)</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(126,237)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rPr>
              <w:t>Delivery of Class A common stock in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w w:val="91"/>
              </w:rPr>
              <w:t>connection with share-based incentive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w w:val="92"/>
              </w:rPr>
              <w:t>compensation and related tax benefits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of $2,178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(282,956)</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2"/>
              </w:rPr>
              <w:t>(5,664,049)</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194,424</w:t>
            </w:r>
          </w:p>
        </w:tc>
        <w:tc>
          <w:tcPr>
            <w:tcW w:w="60" w:type="dxa"/>
            <w:vAlign w:val="bottom"/>
          </w:tcPr>
          <w:p>
            <w:pPr>
              <w:spacing w:after="0"/>
              <w:rPr>
                <w:sz w:val="13"/>
                <w:szCs w:val="13"/>
                <w:color w:val="auto"/>
              </w:rPr>
            </w:pP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(88,532)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(88,457)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Repurchase of common membership</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interests from</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LAZ-MD Holdings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(751)</w:t>
            </w: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(751)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89"/>
              </w:rPr>
              <w:t>Class A common stock issued in exchange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200"/>
              <w:spacing w:after="0" w:line="149" w:lineRule="exact"/>
              <w:rPr>
                <w:sz w:val="20"/>
                <w:szCs w:val="20"/>
                <w:color w:val="auto"/>
              </w:rPr>
            </w:pPr>
            <w:r>
              <w:rPr>
                <w:rFonts w:ascii="Arial" w:cs="Arial" w:eastAsia="Arial" w:hAnsi="Arial"/>
                <w:sz w:val="14"/>
                <w:szCs w:val="14"/>
                <w:color w:val="auto"/>
              </w:rPr>
              <w:t>for Lazard Group common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membership interests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728,385</w:t>
            </w:r>
          </w:p>
        </w:tc>
        <w:tc>
          <w:tcPr>
            <w:tcW w:w="120" w:type="dxa"/>
            <w:vAlign w:val="bottom"/>
          </w:tcPr>
          <w:p>
            <w:pPr>
              <w:spacing w:after="0"/>
              <w:rPr>
                <w:sz w:val="13"/>
                <w:szCs w:val="13"/>
                <w:color w:val="auto"/>
              </w:rPr>
            </w:pPr>
          </w:p>
        </w:tc>
        <w:tc>
          <w:tcPr>
            <w:tcW w:w="4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Adjustment related to the change in Lazard</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Ltd’s ownership in Lazard Group</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(1,580)</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tcPr>
          <w:p>
            <w:pPr>
              <w:spacing w:after="0" w:line="138" w:lineRule="exact"/>
              <w:rPr>
                <w:sz w:val="20"/>
                <w:szCs w:val="20"/>
                <w:color w:val="auto"/>
              </w:rPr>
            </w:pPr>
            <w:r>
              <w:rPr>
                <w:rFonts w:ascii="Arial" w:cs="Arial" w:eastAsia="Arial" w:hAnsi="Arial"/>
                <w:sz w:val="14"/>
                <w:szCs w:val="14"/>
                <w:color w:val="auto"/>
                <w:w w:val="97"/>
              </w:rPr>
              <w:t>Distributions to noncontrolling interests,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tcPr>
          <w:p>
            <w:pPr>
              <w:ind w:left="200"/>
              <w:spacing w:after="0" w:line="159" w:lineRule="exact"/>
              <w:rPr>
                <w:sz w:val="20"/>
                <w:szCs w:val="20"/>
                <w:color w:val="auto"/>
              </w:rPr>
            </w:pPr>
            <w:r>
              <w:rPr>
                <w:rFonts w:ascii="Arial" w:cs="Arial" w:eastAsia="Arial" w:hAnsi="Arial"/>
                <w:sz w:val="14"/>
                <w:szCs w:val="14"/>
                <w:color w:val="auto"/>
              </w:rPr>
              <w:t>net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(7,054)</w:t>
            </w:r>
          </w:p>
        </w:tc>
        <w:tc>
          <w:tcPr>
            <w:tcW w:w="140" w:type="dxa"/>
            <w:vAlign w:val="bottom"/>
          </w:tcPr>
          <w:p>
            <w:pPr>
              <w:spacing w:after="0"/>
              <w:rPr>
                <w:sz w:val="13"/>
                <w:szCs w:val="13"/>
                <w:color w:val="auto"/>
              </w:rPr>
            </w:pPr>
          </w:p>
        </w:tc>
        <w:tc>
          <w:tcPr>
            <w:tcW w:w="7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(7,054)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related to noncontrolling</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interests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14,323</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(205)</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14,118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(14,118)</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 June 30, 2011</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20" w:type="dxa"/>
            <w:vAlign w:val="bottom"/>
            <w:gridSpan w:val="2"/>
            <w:vMerge w:val="continue"/>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22,021</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Pr>
          <w:p>
            <w:pPr>
              <w:ind w:left="100"/>
              <w:spacing w:after="0"/>
              <w:rPr>
                <w:sz w:val="20"/>
                <w:szCs w:val="20"/>
                <w:color w:val="auto"/>
              </w:rPr>
            </w:pPr>
            <w:r>
              <w:rPr>
                <w:rFonts w:ascii="Arial" w:cs="Arial" w:eastAsia="Arial" w:hAnsi="Arial"/>
                <w:sz w:val="10"/>
                <w:szCs w:val="10"/>
                <w:b w:val="1"/>
                <w:bCs w:val="1"/>
                <w:color w:val="auto"/>
                <w:w w:val="71"/>
              </w:rPr>
              <w:t>–</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120,426,322</w:t>
            </w:r>
          </w:p>
        </w:tc>
        <w:tc>
          <w:tcPr>
            <w:tcW w:w="120" w:type="dxa"/>
            <w:vAlign w:val="bottom"/>
          </w:tcPr>
          <w:p>
            <w:pPr>
              <w:spacing w:after="0"/>
              <w:rPr>
                <w:sz w:val="13"/>
                <w:szCs w:val="13"/>
                <w:color w:val="auto"/>
              </w:rPr>
            </w:pPr>
          </w:p>
        </w:tc>
        <w:tc>
          <w:tcPr>
            <w:tcW w:w="44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1,204</w:t>
            </w:r>
          </w:p>
        </w:tc>
        <w:tc>
          <w:tcPr>
            <w:tcW w:w="120" w:type="dxa"/>
            <w:vAlign w:val="bottom"/>
            <w:gridSpan w:val="2"/>
          </w:tcPr>
          <w:p>
            <w:pPr>
              <w:ind w:left="60"/>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642,269</w:t>
            </w: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0"/>
              </w:rPr>
              <w:t>$ 244,633</w:t>
            </w:r>
          </w:p>
        </w:tc>
        <w:tc>
          <w:tcPr>
            <w:tcW w:w="100" w:type="dxa"/>
            <w:vAlign w:val="bottom"/>
          </w:tcPr>
          <w:p>
            <w:pPr>
              <w:spacing w:after="0"/>
              <w:rPr>
                <w:sz w:val="13"/>
                <w:szCs w:val="13"/>
                <w:color w:val="auto"/>
              </w:rPr>
            </w:pPr>
          </w:p>
        </w:tc>
        <w:tc>
          <w:tcPr>
            <w:tcW w:w="1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(17,827)</w:t>
            </w:r>
          </w:p>
        </w:tc>
        <w:tc>
          <w:tcPr>
            <w:tcW w:w="7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9"/>
              </w:rPr>
              <w:t>4,339,875</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(159,763)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710,516</w:t>
            </w:r>
          </w:p>
        </w:tc>
        <w:tc>
          <w:tcPr>
            <w:tcW w:w="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147,276</w:t>
            </w:r>
          </w:p>
        </w:tc>
        <w:tc>
          <w:tcPr>
            <w:tcW w:w="1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857,792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40" w:right="140" w:hanging="332"/>
        <w:spacing w:after="0" w:line="186"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4"/>
          <w:szCs w:val="14"/>
          <w:color w:val="auto"/>
        </w:rPr>
        <w:t>Includes 119,697,936 and 120,426,321 shares of the Company’s Class A common stock issued at January 1, 2011 and June 30, 2011,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5"/>
              </w:rPr>
              <w:t>Class A</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1580" w:type="dxa"/>
            <w:vAlign w:val="bottom"/>
            <w:gridSpan w:val="4"/>
            <w:vMerge w:val="continue"/>
          </w:tcPr>
          <w:p>
            <w:pPr>
              <w:spacing w:after="0"/>
              <w:rPr>
                <w:sz w:val="8"/>
                <w:szCs w:val="8"/>
                <w:color w:val="auto"/>
              </w:rPr>
            </w:pPr>
          </w:p>
        </w:tc>
        <w:tc>
          <w:tcPr>
            <w:tcW w:w="9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700" w:type="dxa"/>
            <w:vAlign w:val="bottom"/>
            <w:gridSpan w:val="3"/>
            <w:vMerge w:val="restart"/>
          </w:tcPr>
          <w:p>
            <w:pPr>
              <w:jc w:val="center"/>
              <w:ind w:left="152"/>
              <w:spacing w:after="0" w:line="149" w:lineRule="exact"/>
              <w:rPr>
                <w:sz w:val="20"/>
                <w:szCs w:val="20"/>
                <w:color w:val="auto"/>
              </w:rPr>
            </w:pPr>
            <w:r>
              <w:rPr>
                <w:rFonts w:ascii="Arial" w:cs="Arial" w:eastAsia="Arial" w:hAnsi="Arial"/>
                <w:sz w:val="14"/>
                <w:szCs w:val="14"/>
                <w:b w:val="1"/>
                <w:bCs w:val="1"/>
                <w:color w:val="auto"/>
                <w:w w:val="85"/>
              </w:rPr>
              <w:t>Series A</w:t>
            </w: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580" w:type="dxa"/>
            <w:vAlign w:val="bottom"/>
            <w:gridSpan w:val="4"/>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4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580" w:type="dxa"/>
            <w:vAlign w:val="bottom"/>
            <w:gridSpan w:val="4"/>
            <w:vMerge w:val="continue"/>
          </w:tcPr>
          <w:p>
            <w:pPr>
              <w:spacing w:after="0"/>
              <w:rPr>
                <w:sz w:val="8"/>
                <w:szCs w:val="8"/>
                <w:color w:val="auto"/>
              </w:rPr>
            </w:pPr>
          </w:p>
        </w:tc>
        <w:tc>
          <w:tcPr>
            <w:tcW w:w="9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Lazard Ltd</w:t>
            </w: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106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w w:val="88"/>
              </w:rPr>
              <w:t>Preferred Stock</w:t>
            </w:r>
          </w:p>
        </w:tc>
        <w:tc>
          <w:tcPr>
            <w:tcW w:w="14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Common Stock</w:t>
            </w:r>
          </w:p>
        </w:tc>
        <w:tc>
          <w:tcPr>
            <w:tcW w:w="7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5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8"/>
              </w:rPr>
              <w:t>Held by a Subsidiary</w:t>
            </w:r>
          </w:p>
        </w:tc>
        <w:tc>
          <w:tcPr>
            <w:tcW w:w="94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40" w:type="dxa"/>
            <w:vAlign w:val="bottom"/>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1400" w:type="dxa"/>
            <w:vAlign w:val="bottom"/>
            <w:gridSpan w:val="4"/>
            <w:vMerge w:val="continue"/>
          </w:tcPr>
          <w:p>
            <w:pPr>
              <w:spacing w:after="0"/>
              <w:rPr>
                <w:sz w:val="9"/>
                <w:szCs w:val="9"/>
                <w:color w:val="auto"/>
              </w:rPr>
            </w:pPr>
          </w:p>
        </w:tc>
        <w:tc>
          <w:tcPr>
            <w:tcW w:w="7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Paid-In-</w:t>
            </w:r>
          </w:p>
        </w:tc>
        <w:tc>
          <w:tcPr>
            <w:tcW w:w="68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Retained</w:t>
            </w:r>
          </w:p>
        </w:tc>
        <w:tc>
          <w:tcPr>
            <w:tcW w:w="106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580" w:type="dxa"/>
            <w:vAlign w:val="bottom"/>
            <w:gridSpan w:val="4"/>
            <w:vMerge w:val="continue"/>
          </w:tcPr>
          <w:p>
            <w:pPr>
              <w:spacing w:after="0"/>
              <w:rPr>
                <w:sz w:val="9"/>
                <w:szCs w:val="9"/>
                <w:color w:val="auto"/>
              </w:rPr>
            </w:pPr>
          </w:p>
        </w:tc>
        <w:tc>
          <w:tcPr>
            <w:tcW w:w="9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2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84"/>
              </w:rPr>
              <w:t>Noncontrolling</w:t>
            </w:r>
          </w:p>
        </w:tc>
        <w:tc>
          <w:tcPr>
            <w:tcW w:w="88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4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b w:val="1"/>
                <w:bCs w:val="1"/>
                <w:color w:val="auto"/>
                <w:w w:val="76"/>
              </w:rPr>
              <w:t>$</w:t>
            </w: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 (*)</w:t>
            </w:r>
          </w:p>
        </w:tc>
        <w:tc>
          <w:tcPr>
            <w:tcW w:w="42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Earnings</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Net of Tax</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Equity</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 January 1, 2010</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26,883</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92,165,913</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$922</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$549,931</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8"/>
              </w:rPr>
              <w:t>$52,726</w:t>
            </w: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$(57,048)</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5,850,775</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$(191,140)</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$355,391</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$167,706</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$523,097</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40" w:type="dxa"/>
            <w:vAlign w:val="bottom"/>
          </w:tcPr>
          <w:p>
            <w:pPr>
              <w:spacing w:after="0" w:line="155" w:lineRule="exact"/>
              <w:rPr>
                <w:sz w:val="20"/>
                <w:szCs w:val="20"/>
                <w:color w:val="auto"/>
              </w:rPr>
            </w:pPr>
            <w:r>
              <w:rPr>
                <w:rFonts w:ascii="Arial" w:cs="Arial" w:eastAsia="Arial" w:hAnsi="Arial"/>
                <w:sz w:val="14"/>
                <w:szCs w:val="14"/>
                <w:color w:val="auto"/>
              </w:rPr>
              <w:t>Comprehensive income (loss):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11,038</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11,038</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1,596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40" w:type="dxa"/>
            <w:vAlign w:val="bottom"/>
          </w:tcPr>
          <w:p>
            <w:pPr>
              <w:ind w:left="220"/>
              <w:spacing w:after="0" w:line="138" w:lineRule="exact"/>
              <w:rPr>
                <w:sz w:val="20"/>
                <w:szCs w:val="20"/>
                <w:color w:val="auto"/>
              </w:rPr>
            </w:pPr>
            <w:r>
              <w:rPr>
                <w:rFonts w:ascii="Arial" w:cs="Arial" w:eastAsia="Arial" w:hAnsi="Arial"/>
                <w:sz w:val="14"/>
                <w:szCs w:val="14"/>
                <w:color w:val="auto"/>
                <w:w w:val="98"/>
              </w:rPr>
              <w:t>Other comprehensive income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440"/>
              <w:spacing w:after="0" w:line="159" w:lineRule="exact"/>
              <w:rPr>
                <w:sz w:val="20"/>
                <w:szCs w:val="20"/>
                <w:color w:val="auto"/>
              </w:rPr>
            </w:pPr>
            <w:r>
              <w:rPr>
                <w:rFonts w:ascii="Arial" w:cs="Arial" w:eastAsia="Arial" w:hAnsi="Arial"/>
                <w:sz w:val="14"/>
                <w:szCs w:val="14"/>
                <w:color w:val="auto"/>
              </w:rPr>
              <w:t>(loss) - net of tax:</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Currency translation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adjustments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(51,932)</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(51,932)</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(6,397)</w:t>
            </w:r>
          </w:p>
        </w:tc>
        <w:tc>
          <w:tcPr>
            <w:tcW w:w="8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(58,329)</w:t>
            </w:r>
          </w:p>
        </w:tc>
        <w:tc>
          <w:tcPr>
            <w:tcW w:w="0" w:type="dxa"/>
            <w:vAlign w:val="bottom"/>
          </w:tcPr>
          <w:p>
            <w:pPr>
              <w:spacing w:after="0"/>
              <w:rPr>
                <w:sz w:val="1"/>
                <w:szCs w:val="1"/>
                <w:color w:val="auto"/>
              </w:rPr>
            </w:pPr>
          </w:p>
        </w:tc>
      </w:tr>
      <w:tr>
        <w:trPr>
          <w:trHeight w:val="138"/>
        </w:trPr>
        <w:tc>
          <w:tcPr>
            <w:tcW w:w="2040" w:type="dxa"/>
            <w:vAlign w:val="bottom"/>
          </w:tcPr>
          <w:p>
            <w:pPr>
              <w:ind w:left="440"/>
              <w:spacing w:after="0" w:line="138" w:lineRule="exact"/>
              <w:rPr>
                <w:sz w:val="20"/>
                <w:szCs w:val="20"/>
                <w:color w:val="auto"/>
              </w:rPr>
            </w:pPr>
            <w:r>
              <w:rPr>
                <w:rFonts w:ascii="Arial" w:cs="Arial" w:eastAsia="Arial" w:hAnsi="Arial"/>
                <w:sz w:val="14"/>
                <w:szCs w:val="14"/>
                <w:color w:val="auto"/>
                <w:w w:val="92"/>
              </w:rPr>
              <w:t>Amortization of interest rate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660"/>
              <w:spacing w:after="0" w:line="159" w:lineRule="exact"/>
              <w:rPr>
                <w:sz w:val="20"/>
                <w:szCs w:val="20"/>
                <w:color w:val="auto"/>
              </w:rPr>
            </w:pPr>
            <w:r>
              <w:rPr>
                <w:rFonts w:ascii="Arial" w:cs="Arial" w:eastAsia="Arial" w:hAnsi="Arial"/>
                <w:sz w:val="14"/>
                <w:szCs w:val="14"/>
                <w:color w:val="auto"/>
              </w:rPr>
              <w:t>hedge</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480</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480</w:t>
            </w:r>
          </w:p>
        </w:tc>
        <w:tc>
          <w:tcPr>
            <w:tcW w:w="10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59</w:t>
            </w:r>
          </w:p>
        </w:tc>
        <w:tc>
          <w:tcPr>
            <w:tcW w:w="8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539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0"/>
              </w:rPr>
              <w:t>Available-for-sale securities: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660"/>
              <w:spacing w:after="0" w:line="149" w:lineRule="exact"/>
              <w:rPr>
                <w:sz w:val="20"/>
                <w:szCs w:val="20"/>
                <w:color w:val="auto"/>
              </w:rPr>
            </w:pPr>
            <w:r>
              <w:rPr>
                <w:rFonts w:ascii="Arial" w:cs="Arial" w:eastAsia="Arial" w:hAnsi="Arial"/>
                <w:sz w:val="14"/>
                <w:szCs w:val="14"/>
                <w:color w:val="auto"/>
              </w:rPr>
              <w:t>Net unrealized loss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(755)</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ind w:left="660"/>
              <w:spacing w:after="0" w:line="138" w:lineRule="exact"/>
              <w:rPr>
                <w:sz w:val="20"/>
                <w:szCs w:val="20"/>
                <w:color w:val="auto"/>
              </w:rPr>
            </w:pPr>
            <w:r>
              <w:rPr>
                <w:rFonts w:ascii="Arial" w:cs="Arial" w:eastAsia="Arial" w:hAnsi="Arial"/>
                <w:sz w:val="14"/>
                <w:szCs w:val="14"/>
                <w:color w:val="auto"/>
              </w:rPr>
              <w:t>Adjustments for items</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88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2,102</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2,102</w:t>
            </w: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259</w:t>
            </w:r>
          </w:p>
        </w:tc>
        <w:tc>
          <w:tcPr>
            <w:tcW w:w="8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2,361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440"/>
              <w:spacing w:after="0" w:line="149" w:lineRule="exact"/>
              <w:rPr>
                <w:sz w:val="20"/>
                <w:szCs w:val="20"/>
                <w:color w:val="auto"/>
              </w:rPr>
            </w:pPr>
            <w:r>
              <w:rPr>
                <w:rFonts w:ascii="Arial" w:cs="Arial" w:eastAsia="Arial" w:hAnsi="Arial"/>
                <w:sz w:val="14"/>
                <w:szCs w:val="14"/>
                <w:color w:val="auto"/>
              </w:rPr>
              <w:t>Employee benefit plans: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Net actuarial loss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(2,556)</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(2,556)</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w:t>
            </w: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38"/>
        </w:trPr>
        <w:tc>
          <w:tcPr>
            <w:tcW w:w="2040" w:type="dxa"/>
            <w:vAlign w:val="bottom"/>
          </w:tcPr>
          <w:p>
            <w:pPr>
              <w:ind w:left="660"/>
              <w:spacing w:after="0" w:line="138" w:lineRule="exact"/>
              <w:rPr>
                <w:sz w:val="20"/>
                <w:szCs w:val="20"/>
                <w:color w:val="auto"/>
              </w:rPr>
            </w:pPr>
            <w:r>
              <w:rPr>
                <w:rFonts w:ascii="Arial" w:cs="Arial" w:eastAsia="Arial" w:hAnsi="Arial"/>
                <w:sz w:val="14"/>
                <w:szCs w:val="14"/>
                <w:color w:val="auto"/>
              </w:rPr>
              <w:t>Adjustments for items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880"/>
              <w:spacing w:after="0" w:line="149" w:lineRule="exact"/>
              <w:rPr>
                <w:sz w:val="20"/>
                <w:szCs w:val="20"/>
                <w:color w:val="auto"/>
              </w:rPr>
            </w:pPr>
            <w:r>
              <w:rPr>
                <w:rFonts w:ascii="Arial" w:cs="Arial" w:eastAsia="Arial" w:hAnsi="Arial"/>
                <w:sz w:val="14"/>
                <w:szCs w:val="14"/>
                <w:color w:val="auto"/>
              </w:rPr>
              <w:t>reclassified to</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880"/>
              <w:spacing w:after="0" w:line="159" w:lineRule="exact"/>
              <w:rPr>
                <w:sz w:val="20"/>
                <w:szCs w:val="20"/>
                <w:color w:val="auto"/>
              </w:rPr>
            </w:pPr>
            <w:r>
              <w:rPr>
                <w:rFonts w:ascii="Arial" w:cs="Arial" w:eastAsia="Arial" w:hAnsi="Arial"/>
                <w:sz w:val="14"/>
                <w:szCs w:val="14"/>
                <w:color w:val="auto"/>
              </w:rPr>
              <w:t>earnings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460</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460</w:t>
            </w:r>
          </w:p>
        </w:tc>
        <w:tc>
          <w:tcPr>
            <w:tcW w:w="10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57</w:t>
            </w:r>
          </w:p>
        </w:tc>
        <w:tc>
          <w:tcPr>
            <w:tcW w:w="8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7"/>
              </w:rPr>
              <w:t>Comprehensive income (loss)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(41,163)</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(4,834)</w:t>
            </w: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(45,997)</w:t>
            </w:r>
          </w:p>
        </w:tc>
        <w:tc>
          <w:tcPr>
            <w:tcW w:w="0" w:type="dxa"/>
            <w:vAlign w:val="bottom"/>
          </w:tcPr>
          <w:p>
            <w:pPr>
              <w:spacing w:after="0"/>
              <w:rPr>
                <w:sz w:val="1"/>
                <w:szCs w:val="1"/>
                <w:color w:val="auto"/>
              </w:rPr>
            </w:pPr>
          </w:p>
        </w:tc>
      </w:tr>
      <w:tr>
        <w:trPr>
          <w:trHeight w:val="145"/>
        </w:trPr>
        <w:tc>
          <w:tcPr>
            <w:tcW w:w="2040" w:type="dxa"/>
            <w:vAlign w:val="bottom"/>
          </w:tcPr>
          <w:p>
            <w:pPr>
              <w:spacing w:after="0" w:line="145" w:lineRule="exact"/>
              <w:rPr>
                <w:sz w:val="20"/>
                <w:szCs w:val="20"/>
                <w:color w:val="auto"/>
              </w:rPr>
            </w:pPr>
            <w:r>
              <w:rPr>
                <w:rFonts w:ascii="Arial" w:cs="Arial" w:eastAsia="Arial" w:hAnsi="Arial"/>
                <w:sz w:val="14"/>
                <w:szCs w:val="14"/>
                <w:color w:val="auto"/>
              </w:rPr>
              <w:t>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w w:val="98"/>
              </w:rPr>
              <w:t>issued/issuable in connection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w w:val="95"/>
              </w:rPr>
              <w:t>with business acquisitions and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20"/>
              <w:spacing w:after="0" w:line="149" w:lineRule="exact"/>
              <w:rPr>
                <w:sz w:val="20"/>
                <w:szCs w:val="20"/>
                <w:color w:val="auto"/>
              </w:rPr>
            </w:pPr>
            <w:r>
              <w:rPr>
                <w:rFonts w:ascii="Arial" w:cs="Arial" w:eastAsia="Arial" w:hAnsi="Arial"/>
                <w:sz w:val="14"/>
                <w:szCs w:val="14"/>
                <w:color w:val="auto"/>
              </w:rPr>
              <w:t>LAM Merger and related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220"/>
              <w:spacing w:after="0" w:line="159" w:lineRule="exact"/>
              <w:rPr>
                <w:sz w:val="20"/>
                <w:szCs w:val="20"/>
                <w:color w:val="auto"/>
              </w:rPr>
            </w:pPr>
            <w:r>
              <w:rPr>
                <w:rFonts w:ascii="Arial" w:cs="Arial" w:eastAsia="Arial" w:hAnsi="Arial"/>
                <w:sz w:val="14"/>
                <w:szCs w:val="14"/>
                <w:color w:val="auto"/>
              </w:rPr>
              <w:t>amortization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2,800</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2,800</w:t>
            </w:r>
          </w:p>
        </w:tc>
        <w:tc>
          <w:tcPr>
            <w:tcW w:w="10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345</w:t>
            </w:r>
          </w:p>
        </w:tc>
        <w:tc>
          <w:tcPr>
            <w:tcW w:w="8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share-based</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180,443</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180,443</w:t>
            </w: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22,055</w:t>
            </w:r>
          </w:p>
        </w:tc>
        <w:tc>
          <w:tcPr>
            <w:tcW w:w="8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202,498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Dividend-equivalents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5,232</w:t>
            </w:r>
          </w:p>
        </w:tc>
        <w:tc>
          <w:tcPr>
            <w:tcW w:w="1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(5,255)</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Class A common stock dividends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(23,022)</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(23,022)</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(23,022)</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w w:val="91"/>
              </w:rPr>
              <w:t>Purchase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712,950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(22,733)</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(22,733)</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(22,733)</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Delivery of Class A common stock</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in connection with share-based</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incentive compensation</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(242,352)</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2"/>
              </w:rPr>
              <w:t>(5,738,601)</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197,816</w:t>
            </w:r>
          </w:p>
        </w:tc>
        <w:tc>
          <w:tcPr>
            <w:tcW w:w="9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(44,536)</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(44,536)</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w w:val="92"/>
              </w:rPr>
              <w:t>Issuance of Class A 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116,070</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3,000,000</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(116,100)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Class A common stock issued in</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exchange for Lazard Group</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2"/>
              </w:rPr>
              <w:t>common membership interests,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including in connection with</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secondary offering</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17,645,747</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176</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(176)</w:t>
            </w: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40" w:type="dxa"/>
            <w:vAlign w:val="bottom"/>
          </w:tcPr>
          <w:p>
            <w:pPr>
              <w:spacing w:after="0" w:line="138" w:lineRule="exact"/>
              <w:rPr>
                <w:sz w:val="20"/>
                <w:szCs w:val="20"/>
                <w:color w:val="auto"/>
              </w:rPr>
            </w:pPr>
            <w:r>
              <w:rPr>
                <w:rFonts w:ascii="Arial" w:cs="Arial" w:eastAsia="Arial" w:hAnsi="Arial"/>
                <w:sz w:val="14"/>
                <w:szCs w:val="14"/>
                <w:color w:val="auto"/>
              </w:rPr>
              <w:t>Distributions to noncontrolling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tcPr>
          <w:p>
            <w:pPr>
              <w:ind w:left="220"/>
              <w:spacing w:after="0" w:line="159" w:lineRule="exact"/>
              <w:rPr>
                <w:sz w:val="20"/>
                <w:szCs w:val="20"/>
                <w:color w:val="auto"/>
              </w:rPr>
            </w:pPr>
            <w:r>
              <w:rPr>
                <w:rFonts w:ascii="Arial" w:cs="Arial" w:eastAsia="Arial" w:hAnsi="Arial"/>
                <w:sz w:val="14"/>
                <w:szCs w:val="14"/>
                <w:color w:val="auto"/>
              </w:rPr>
              <w:t>interests, net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(7,491)</w:t>
            </w:r>
          </w:p>
        </w:tc>
        <w:tc>
          <w:tcPr>
            <w:tcW w:w="8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(7,491)</w:t>
            </w:r>
          </w:p>
        </w:tc>
        <w:tc>
          <w:tcPr>
            <w:tcW w:w="0" w:type="dxa"/>
            <w:vAlign w:val="bottom"/>
          </w:tcPr>
          <w:p>
            <w:pPr>
              <w:spacing w:after="0"/>
              <w:rPr>
                <w:sz w:val="1"/>
                <w:szCs w:val="1"/>
                <w:color w:val="auto"/>
              </w:rPr>
            </w:pPr>
          </w:p>
        </w:tc>
      </w:tr>
      <w:tr>
        <w:trPr>
          <w:trHeight w:val="138"/>
        </w:trPr>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Adjustments related to</w:t>
            </w: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noncontrolling interests</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31,973</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(8,545)</w:t>
            </w: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23,428</w:t>
            </w:r>
          </w:p>
        </w:tc>
        <w:tc>
          <w:tcPr>
            <w:tcW w:w="10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(23,428)</w:t>
            </w:r>
          </w:p>
        </w:tc>
        <w:tc>
          <w:tcPr>
            <w:tcW w:w="880" w:type="dxa"/>
            <w:vAlign w:val="bottom"/>
            <w:gridSpan w:val="3"/>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June 30, 2010</w:t>
            </w:r>
          </w:p>
        </w:tc>
        <w:tc>
          <w:tcPr>
            <w:tcW w:w="54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3"/>
              </w:rPr>
              <w:t>26,883</w:t>
            </w: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7"/>
              </w:rPr>
              <w:t>112,811,660</w:t>
            </w:r>
          </w:p>
        </w:tc>
        <w:tc>
          <w:tcPr>
            <w:tcW w:w="140" w:type="dxa"/>
            <w:vAlign w:val="bottom"/>
          </w:tcPr>
          <w:p>
            <w:pPr>
              <w:spacing w:after="0"/>
              <w:rPr>
                <w:sz w:val="13"/>
                <w:szCs w:val="13"/>
                <w:color w:val="auto"/>
              </w:rPr>
            </w:pPr>
          </w:p>
        </w:tc>
        <w:tc>
          <w:tcPr>
            <w:tcW w:w="5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1,128</w:t>
            </w: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$643,921</w:t>
            </w:r>
          </w:p>
        </w:tc>
        <w:tc>
          <w:tcPr>
            <w:tcW w:w="14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8"/>
              </w:rPr>
              <w:t>$35,487</w:t>
            </w:r>
          </w:p>
        </w:tc>
        <w:tc>
          <w:tcPr>
            <w:tcW w:w="160" w:type="dxa"/>
            <w:vAlign w:val="bottom"/>
          </w:tcPr>
          <w:p>
            <w:pPr>
              <w:spacing w:after="0"/>
              <w:rPr>
                <w:sz w:val="13"/>
                <w:szCs w:val="13"/>
                <w:color w:val="auto"/>
              </w:rPr>
            </w:pPr>
          </w:p>
        </w:tc>
        <w:tc>
          <w:tcPr>
            <w:tcW w:w="106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rPr>
              <w:t>$(117,794)</w:t>
            </w:r>
          </w:p>
        </w:tc>
        <w:tc>
          <w:tcPr>
            <w:tcW w:w="78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w w:val="96"/>
              </w:rPr>
              <w:t>3,825,124</w:t>
            </w:r>
          </w:p>
        </w:tc>
        <w:tc>
          <w:tcPr>
            <w:tcW w:w="800" w:type="dxa"/>
            <w:vAlign w:val="bottom"/>
            <w:gridSpan w:val="2"/>
          </w:tcPr>
          <w:p>
            <w:pPr>
              <w:jc w:val="right"/>
              <w:ind w:right="120"/>
              <w:spacing w:after="0" w:line="155" w:lineRule="exact"/>
              <w:rPr>
                <w:sz w:val="20"/>
                <w:szCs w:val="20"/>
                <w:color w:val="auto"/>
              </w:rPr>
            </w:pPr>
            <w:r>
              <w:rPr>
                <w:rFonts w:ascii="Arial" w:cs="Arial" w:eastAsia="Arial" w:hAnsi="Arial"/>
                <w:sz w:val="14"/>
                <w:szCs w:val="14"/>
                <w:b w:val="1"/>
                <w:bCs w:val="1"/>
                <w:color w:val="auto"/>
                <w:w w:val="97"/>
              </w:rPr>
              <w:t>$(132,157)</w:t>
            </w:r>
          </w:p>
        </w:tc>
        <w:tc>
          <w:tcPr>
            <w:tcW w:w="94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$430,585</w:t>
            </w:r>
          </w:p>
        </w:tc>
        <w:tc>
          <w:tcPr>
            <w:tcW w:w="10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$154,353</w:t>
            </w:r>
          </w:p>
        </w:tc>
        <w:tc>
          <w:tcPr>
            <w:tcW w:w="82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$584,938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40" w:right="200" w:hanging="332"/>
        <w:spacing w:after="0" w:line="186"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Includes 92,165,912 and 112,811,659 shares of the Company’s Class A common stock issued at January 1, 2010 and June 30, 2010, respectively, and 1 share of the Company’s Class B common stock at each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1.</w:t>
      </w:r>
      <w:r>
        <w:rPr>
          <w:sz w:val="20"/>
          <w:szCs w:val="20"/>
          <w:color w:val="auto"/>
        </w:rPr>
        <w:tab/>
      </w:r>
      <w:r>
        <w:rPr>
          <w:rFonts w:ascii="Arial" w:cs="Arial" w:eastAsia="Arial" w:hAnsi="Arial"/>
          <w:sz w:val="16"/>
          <w:szCs w:val="16"/>
          <w:b w:val="1"/>
          <w:bCs w:val="1"/>
          <w:i w:val="1"/>
          <w:iCs w:val="1"/>
          <w:color w:val="auto"/>
        </w:rPr>
        <w:t>ORGANIZATION AND BASIS OF PRESENTATION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Lazard Ltd, a Bermuda holding company, and its subsidiaries (collectively referred to as “Lazard Ltd”, “Lazard”, “we” or the “Company”), including Lazard Ltd’s indirect investment in Lazard Group LLC, a Delaware limited liability company (collectively referred to, together with its subsidiaries, as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Lazard Ltd indirectly held approximately 94.6% and 94.0% of all outstanding Lazard Group common membership interests as of June 30, 2011 and December 31, 2010, respectively. Lazard Ltd, through its control of the managing members of Lazard Group, controls Lazard Group. LAZ-MD Holdings LLC (“LAZ-MD Holdings”), an entity owned by Lazard Group’s current and former managing directors, held approximately 5.4% and 6.0% of the outstanding Lazard Group common membership interests as of June 30, 2011 and December 31, 2010, respectively. Additionally, LAZ-MD Holdings was the sole owner of the one issued and outstanding share of Lazard Ltd’s Class B common stock (the “Class B common stock”) which provided LAZ-MD Holdings with approximately 5.4% and 6.0% of the voting power but no economic rights in the Company as of such respective dates. Subject to certain limitations, LAZ-MD Holdings’ interests in Lazard Group are exchangeable for Lazard Ltd Class A common stock, par value $0.01 per share (“Class A common stock”). Lazard Group is governed by an Operating Agreement dated as of May 10, 2005, as amended (the “Operating Agreement”).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sole operating asset is its indirect ownership of common membership interests of Lazard Group and its managing member interest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Group, whose principal operating activities are included in two business segments:</w:t>
      </w:r>
    </w:p>
    <w:p>
      <w:pPr>
        <w:spacing w:after="0" w:line="70" w:lineRule="exact"/>
        <w:rPr>
          <w:sz w:val="20"/>
          <w:szCs w:val="20"/>
          <w:color w:val="auto"/>
        </w:rPr>
      </w:pPr>
    </w:p>
    <w:p>
      <w:pPr>
        <w:ind w:left="780" w:right="54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of Lazard Ltd have been prepared pursuant to the rules and regulations of the U.S. Securities and Exchange Commission (the “SEC”) regarding interim financial reporting. Accordingly, they do not include all of the information and notes required by accounting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principles generally accepted in the United States of America (“U.S. GAAP”) for complete financial statements and should be read in conjunction with the audited consolidated financial statements and notes thereto included in Lazard Ltd’s annual report on Form 10-K for the year ended December 31, 2010 (the “Form 10-K”). The accompanying December 31, 2010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six month periods ended June 30, 2011 are not necessarily indicative of the results to be expected for any future interim or annual period.</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Ltd,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January 1, 2011, the Company adopted the fair value measurement disclosure guidance regarding presenting purchases, sales, issuances and settlements on a gross basis in the roll forward of activities in Level 3 of the hierarchy of fair value measurements, which did not have a material impact on the Company’s condensed consolidated financial statements.</w:t>
      </w:r>
    </w:p>
    <w:p>
      <w:pPr>
        <w:spacing w:after="0" w:line="127" w:lineRule="exact"/>
        <w:rPr>
          <w:sz w:val="20"/>
          <w:szCs w:val="20"/>
          <w:color w:val="auto"/>
        </w:rPr>
      </w:pPr>
    </w:p>
    <w:p>
      <w:pPr>
        <w:ind w:right="80" w:firstLine="456"/>
        <w:spacing w:after="0" w:line="303" w:lineRule="auto"/>
        <w:rPr>
          <w:sz w:val="20"/>
          <w:szCs w:val="20"/>
          <w:color w:val="auto"/>
        </w:rPr>
      </w:pPr>
      <w:r>
        <w:rPr>
          <w:rFonts w:ascii="Arial" w:cs="Arial" w:eastAsia="Arial" w:hAnsi="Arial"/>
          <w:sz w:val="15"/>
          <w:szCs w:val="15"/>
          <w:color w:val="auto"/>
        </w:rPr>
        <w:t>During May 2011, the FASB amended its fair value measurement guidance, which it states was designed to achieve common fair value measurement and disclosure requirements between U.S. GAAP and International Financial Reporting Standards (“IFRS”). Although many of the changes for U.S. GAAP purposes are clarifications of existing guidance or wording changes to align with IFRS, additional disclosures about fair value measurements would be required, including</w:t>
      </w:r>
    </w:p>
    <w:p>
      <w:pPr>
        <w:spacing w:after="0" w:line="1" w:lineRule="exact"/>
        <w:rPr>
          <w:sz w:val="20"/>
          <w:szCs w:val="20"/>
          <w:color w:val="auto"/>
        </w:rPr>
      </w:pPr>
    </w:p>
    <w:p>
      <w:pPr>
        <w:ind w:right="40" w:firstLine="8"/>
        <w:spacing w:after="0" w:line="261" w:lineRule="auto"/>
        <w:tabs>
          <w:tab w:leader="none" w:pos="21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quantitative disclosure of the unobservable inputs and assumptions used in the measurement, (ii) the valuation processes used and the sensitivity of fair value measurements related to investments categorized within Level 3 of the hierarchy of fair value measurements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changes in unobservable inputs and the interrelationships between those unobservable inputs, if any, and (iii) the categorization by level of the fair value hierarchy for items that are not measured at fair value in the statement of financial condition but for which the fair value is required to be disclosed. The amended fair value measurement guidance will become effective for interim and annual periods beginning after December 15, 2011 and is to be applied prospectively. Early application is not permitted. The Company does not anticipate that the adoption of the amended fair value measurement guidance will have a material impact on the Company’s consolidated financial statements.</w:t>
      </w:r>
    </w:p>
    <w:p>
      <w:pPr>
        <w:spacing w:after="0" w:line="12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June 2011, the FASB amended its guidance regarding the presentation of comprehensive income, which it states was designed to improve comparability, consistency and transparency. The amendment requires that all changes in comprehensive income be presented either in a single continuous statement of comprehensive income or in two separate but consecutive statements. In the one-statement approach, the Company would present total net income, including its components, followed by other comprehensive income, including its components, and a total of comprehensive income. In the two-statement approach, the first statement would present total net income and its components as currently presented by the Company in its statement of operations, followed consecutively by a second statement that would present the components of other comprehensive income, total other comprehensive income and the total of comprehensive income. The amendment is to be applied retrospectively and is effective with interim and annual periods beginning after December 15, 2011, with early adoption permitted.</w:t>
      </w:r>
    </w:p>
    <w:p>
      <w:pPr>
        <w:spacing w:after="0" w:line="1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6"/>
          <w:szCs w:val="16"/>
          <w:b w:val="1"/>
          <w:bCs w:val="1"/>
          <w:i w:val="1"/>
          <w:iCs w:val="1"/>
          <w:color w:val="auto"/>
        </w:rPr>
        <w:t>RECEIVABLES - NET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“receivables - net” represents receivables from fees, customers and other, and related parties.</w:t>
      </w:r>
    </w:p>
    <w:p>
      <w:pPr>
        <w:spacing w:after="0" w:line="15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Receivables are stated net of an allowance for doubtful accounts of $16,525 and $15,017 at June 30, 2011 and December 31, 2010, respectively, for accounts deemed past due and for specific accounts deemed uncollectible, which may include situations where a fee is in dispute. The Company recorded bad debt expense of $2,463 and $3,430 for the three month and six month periods ended June 30, 2011, respectively, and $2,322 and $9,190 for the three month and six month periods ended June 30, 2010, respectively. In addition, the Company recorded charge-offs, foreign currency translation and other adjustments, resulting in a net decrease to the allowance for doubtful accounts of $1,435 and $1,922 for the three month and six month periods ended June 30, 2011, respectively, and $937 and $1,894 for the three month and six month periods ended June 30, 2010, respectively. At June 30, 2011 and December 31, 2010, the Company had receivables deemed past due or uncollectible of $18,023 and $17,101, respectively.</w:t>
      </w:r>
    </w:p>
    <w:p>
      <w:pPr>
        <w:spacing w:after="0" w:line="10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Customers and other receivables at June 30, 2011 and December 31, 2010 include $1,534 and $2,121, respectively, of loans to managing directors and employees of the Company that are made in the ordinary course of business at market terms.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6"/>
          <w:szCs w:val="16"/>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investments and securities sold, not yet purchased, consist of the following at June 30, 2011 and December 31,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June 30,</w:t>
            </w:r>
          </w:p>
        </w:tc>
        <w:tc>
          <w:tcPr>
            <w:tcW w:w="140" w:type="dxa"/>
            <w:vAlign w:val="bottom"/>
          </w:tcPr>
          <w:p>
            <w:pPr>
              <w:spacing w:after="0"/>
              <w:rPr>
                <w:sz w:val="12"/>
                <w:szCs w:val="12"/>
                <w:color w:val="auto"/>
              </w:rPr>
            </w:pPr>
          </w:p>
        </w:tc>
        <w:tc>
          <w:tcPr>
            <w:tcW w:w="6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80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U.S. Government and agencies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31,889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Fixed income funds (a)</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40,403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Corporate and other debt and interest-bearing deposits</w:t>
            </w: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26,868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99,160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Equities (a)</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110,634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Interests in LAM alternative asset management funds</w:t>
            </w: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39,360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58,656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 equity</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174,704</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11,281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225,345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Total investments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435,139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417,410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7,660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method investments</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11,281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416,198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398,365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9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June 30, 2011 fixed income funds and equities include investments with fair values of $2,051 and $23,051, respectively, held in connection with previously granted Lazard Fund Interest awards (“Lazard Fund Interests”), which will serve to satisfy the Company’s liability upon vesting. Lazard Fund Interests represent grants by the Company to eligible employees of actual or notional interests in several Lazard managed fixed income and equity investment funds (see Note 13 of Notes to Condensed Consolidated Financial Statements).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Company’s debt securities included in the table above are categorized as trading securities. Fixed income funds primarily consist of amounts seeding products of our Asset Management segment, as well as amounts held in connection with Lazard Fund Interests. Corporate and other debt primarily consist of United Kingdom (the “U.K.”) government and U.S. state and municipal debt securities.</w:t>
      </w:r>
    </w:p>
    <w:p>
      <w:pPr>
        <w:spacing w:after="0" w:line="127"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 as well as amounts held in connection with Lazard Fund Interests.</w:t>
      </w:r>
    </w:p>
    <w:p>
      <w:pPr>
        <w:spacing w:after="0" w:line="9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the latter of which aggregated $5,735 and $8,219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at June 30, 2011 and December 31, 2010, respectively.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“stockholders’ equity” on the consolidated statements of financial condition (see Note 12 of Notes to Condensed Consolidated Financial Statements).</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Private equity investments include those owned by Lazard and those consolidated but not owned by Lazard. 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 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Private equity investments consolidated but not owned by Lazard relate solely to Lazard’s establishment of a private equity business with the Edgewater Funds (“Edgewater”), a Chicago-based private equity firm, through the acquisition of Edgewater’s management vehicles on July 15, 2009, and aggregated $74,505 and $67,206 at June 30, 2011 and December 31, 2010, respectively. The economic interests that the Company does not own are owned by the leadership team and other investors in the Edgewater management vehicles (see Note 8 of Notes to Condensed Consolidated Financial Statements).</w:t>
      </w:r>
    </w:p>
    <w:p>
      <w:pPr>
        <w:spacing w:after="0" w:line="10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January 24, 2008, Sapphire Industrials Corp. (“Sapphire”), a then newly-organized special purpose acquisition company formed by the Company, completed an initial public offering (the “Sapphire IPO”). Sapphire had been included in equity method investments prior to its dissolution discussed below.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 The Company’s investment in Sapphire had been accounted for using the equity method of accounting. On January 6, 2010, Sapphire announced it had not completed the Business Combination and it would dissolve and distribute the funds in the Trust Account to all of its public shareholders, to the extent they were holders of shares issued in the Sapphire IPO. Pursuant to such dissolution, on January 26, 2010, Sapphire made an initial distribution to the Company aggregating $50,319. All Sapphire warrants expired without value.</w:t>
      </w:r>
    </w:p>
    <w:p>
      <w:pPr>
        <w:spacing w:after="0" w:line="10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three month and six month periods ended June 30, 2011 and 2010, the Company recognized gross investment gains and losses in “revenue-other” on its condensed consolidated statements of operations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 Period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36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gridSpan w:val="2"/>
          </w:tcPr>
          <w:p>
            <w:pPr>
              <w:jc w:val="center"/>
              <w:ind w:left="427"/>
              <w:spacing w:after="0"/>
              <w:rPr>
                <w:sz w:val="20"/>
                <w:szCs w:val="20"/>
                <w:color w:val="auto"/>
              </w:rPr>
            </w:pPr>
            <w:r>
              <w:rPr>
                <w:rFonts w:ascii="Arial" w:cs="Arial" w:eastAsia="Arial" w:hAnsi="Arial"/>
                <w:sz w:val="14"/>
                <w:szCs w:val="14"/>
                <w:b w:val="1"/>
                <w:bCs w:val="1"/>
                <w:color w:val="auto"/>
                <w:w w:val="87"/>
              </w:rPr>
              <w:t>Ended June 30,</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36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center"/>
              <w:ind w:left="54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Gross investment gains</w:t>
            </w:r>
          </w:p>
        </w:tc>
        <w:tc>
          <w:tcPr>
            <w:tcW w:w="3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$ 8,830</w:t>
            </w:r>
          </w:p>
        </w:tc>
        <w:tc>
          <w:tcPr>
            <w:tcW w:w="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$3,724</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15,205</w:t>
            </w: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740" w:type="dxa"/>
            <w:vAlign w:val="bottom"/>
            <w:gridSpan w:val="3"/>
          </w:tcPr>
          <w:p>
            <w:pPr>
              <w:jc w:val="center"/>
              <w:ind w:left="2392"/>
              <w:spacing w:after="0"/>
              <w:rPr>
                <w:sz w:val="20"/>
                <w:szCs w:val="20"/>
                <w:color w:val="auto"/>
              </w:rPr>
            </w:pPr>
            <w:r>
              <w:rPr>
                <w:rFonts w:ascii="Arial" w:cs="Arial" w:eastAsia="Arial" w:hAnsi="Arial"/>
                <w:sz w:val="18"/>
                <w:szCs w:val="18"/>
                <w:color w:val="auto"/>
                <w:w w:val="89"/>
              </w:rPr>
              <w:t>$ 2,235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$6,368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w w:val="88"/>
              </w:rPr>
              <w:t>3,251</w:t>
            </w:r>
          </w:p>
        </w:tc>
        <w:tc>
          <w:tcPr>
            <w:tcW w:w="1180" w:type="dxa"/>
            <w:vAlign w:val="bottom"/>
            <w:gridSpan w:val="2"/>
          </w:tcPr>
          <w:p>
            <w:pPr>
              <w:jc w:val="center"/>
              <w:ind w:left="526"/>
              <w:spacing w:after="0"/>
              <w:rPr>
                <w:sz w:val="20"/>
                <w:szCs w:val="20"/>
                <w:color w:val="auto"/>
              </w:rPr>
            </w:pPr>
            <w:r>
              <w:rPr>
                <w:rFonts w:ascii="Arial" w:cs="Arial" w:eastAsia="Arial" w:hAnsi="Arial"/>
                <w:sz w:val="18"/>
                <w:szCs w:val="18"/>
                <w:color w:val="auto"/>
                <w:w w:val="89"/>
              </w:rPr>
              <w:t>$11,129</w:t>
            </w:r>
          </w:p>
        </w:tc>
        <w:tc>
          <w:tcPr>
            <w:tcW w:w="10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3340" w:type="dxa"/>
            <w:vAlign w:val="bottom"/>
          </w:tcPr>
          <w:p>
            <w:pPr>
              <w:jc w:val="right"/>
              <w:ind w:right="111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 Period</w:t>
            </w:r>
          </w:p>
        </w:tc>
        <w:tc>
          <w:tcPr>
            <w:tcW w:w="100" w:type="dxa"/>
            <w:vAlign w:val="bottom"/>
          </w:tcPr>
          <w:p>
            <w:pPr>
              <w:spacing w:after="0"/>
              <w:rPr>
                <w:sz w:val="14"/>
                <w:szCs w:val="14"/>
                <w:color w:val="auto"/>
              </w:rPr>
            </w:pPr>
          </w:p>
        </w:tc>
        <w:tc>
          <w:tcPr>
            <w:tcW w:w="21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 Period Ended</w:t>
            </w:r>
          </w:p>
        </w:tc>
      </w:tr>
      <w:tr>
        <w:trPr>
          <w:trHeight w:val="161"/>
        </w:trPr>
        <w:tc>
          <w:tcPr>
            <w:tcW w:w="6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w w:val="99"/>
              </w:rPr>
              <w:t>June 30,</w:t>
            </w:r>
          </w:p>
        </w:tc>
        <w:tc>
          <w:tcPr>
            <w:tcW w:w="4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w w:val="83"/>
              </w:rPr>
              <w:t>2011</w:t>
            </w: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w w:val="83"/>
              </w:rPr>
              <w:t>2011</w:t>
            </w: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2010</w:t>
            </w:r>
          </w:p>
        </w:tc>
        <w:tc>
          <w:tcPr>
            <w:tcW w:w="5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unrealized investment gains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1,214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56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0"/>
              <w:spacing w:after="0"/>
              <w:rPr>
                <w:sz w:val="20"/>
                <w:szCs w:val="20"/>
                <w:color w:val="auto"/>
              </w:rPr>
            </w:pPr>
            <w:r>
              <w:rPr>
                <w:rFonts w:ascii="Arial" w:cs="Arial" w:eastAsia="Arial" w:hAnsi="Arial"/>
                <w:sz w:val="18"/>
                <w:szCs w:val="18"/>
                <w:color w:val="auto"/>
              </w:rPr>
              <w:t>193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20"/>
                <w:szCs w:val="20"/>
                <w:color w:val="auto"/>
              </w:rPr>
            </w:pPr>
            <w:r>
              <w:rPr>
                <w:rFonts w:ascii="Arial" w:cs="Arial" w:eastAsia="Arial" w:hAnsi="Arial"/>
                <w:sz w:val="18"/>
                <w:szCs w:val="18"/>
                <w:color w:val="auto"/>
                <w:w w:val="84"/>
              </w:rPr>
              <w:t>1,497</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1,325</w:t>
            </w:r>
          </w:p>
        </w:tc>
      </w:tr>
    </w:tbl>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six month period ended June 30, 2010, the Company recorded within “accumulated other comprehensive loss, net of tax” (“AOCI”) gross pre-tax unrealized investment gains of $5,456 and gross pre-tax unrealized investment losses of $6,013 pertaining to debt securities held at LFB that were designated as “available-for-sale.” With respect to adjustments for items reclassified to earnings, the average cost basis was utilized for purposes of calculating realized investment gains and losses. There were no other-than-temporary impairment charges recognized during the six month period ended June 30, 2010.</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fourth quarter of 2010, the Company sold its remaining “available-for-sale” debt securities. Accordingly, there were no gross pre-tax investment gains or losses recorded within AOCI during the six month period ended June 30, 2011.</w:t>
      </w:r>
    </w:p>
    <w:p>
      <w:pPr>
        <w:spacing w:after="0" w:line="1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5.</w:t>
      </w:r>
      <w:r>
        <w:rPr>
          <w:sz w:val="20"/>
          <w:szCs w:val="20"/>
          <w:color w:val="auto"/>
        </w:rPr>
        <w:tab/>
      </w:r>
      <w:r>
        <w:rPr>
          <w:rFonts w:ascii="Arial" w:cs="Arial" w:eastAsia="Arial" w:hAnsi="Arial"/>
          <w:sz w:val="16"/>
          <w:szCs w:val="16"/>
          <w:b w:val="1"/>
          <w:bCs w:val="1"/>
          <w:i w:val="1"/>
          <w:iCs w:val="1"/>
          <w:color w:val="auto"/>
        </w:rPr>
        <w:t>FAIR VALUE MEASUREMENTS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 June 30, 2011 and December 31, 2010 into the three-level fair value hierarchy in accordance with fair value measurement disclosure requirements: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June 30, 2011</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88"/>
              </w:rPr>
              <w:t>Level 1</w:t>
            </w:r>
          </w:p>
        </w:tc>
        <w:tc>
          <w:tcPr>
            <w:tcW w:w="100" w:type="dxa"/>
            <w:vAlign w:val="bottom"/>
          </w:tcPr>
          <w:p>
            <w:pPr>
              <w:spacing w:after="0"/>
              <w:rPr>
                <w:sz w:val="12"/>
                <w:szCs w:val="12"/>
                <w:color w:val="auto"/>
              </w:rPr>
            </w:pPr>
          </w:p>
        </w:tc>
        <w:tc>
          <w:tcPr>
            <w:tcW w:w="60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Level 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8"/>
              </w:rPr>
              <w:t>Level 3</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31,889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31,889</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40,403</w:t>
            </w: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19,208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19,208</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88,896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110,634</w:t>
            </w:r>
          </w:p>
        </w:tc>
        <w:tc>
          <w:tcPr>
            <w:tcW w:w="0" w:type="dxa"/>
            <w:vAlign w:val="bottom"/>
          </w:tcPr>
          <w:p>
            <w:pPr>
              <w:spacing w:after="0"/>
              <w:rPr>
                <w:sz w:val="1"/>
                <w:szCs w:val="1"/>
                <w:color w:val="auto"/>
              </w:rPr>
            </w:pPr>
          </w:p>
        </w:tc>
      </w:tr>
      <w:tr>
        <w:trPr>
          <w:trHeight w:val="216"/>
        </w:trPr>
        <w:tc>
          <w:tcPr>
            <w:tcW w:w="510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39,360</w:t>
            </w:r>
          </w:p>
        </w:tc>
        <w:tc>
          <w:tcPr>
            <w:tcW w:w="0" w:type="dxa"/>
            <w:vAlign w:val="bottom"/>
          </w:tcPr>
          <w:p>
            <w:pPr>
              <w:spacing w:after="0"/>
              <w:rPr>
                <w:sz w:val="1"/>
                <w:szCs w:val="1"/>
                <w:color w:val="auto"/>
              </w:rPr>
            </w:pPr>
          </w:p>
        </w:tc>
      </w:tr>
      <w:tr>
        <w:trPr>
          <w:trHeight w:val="216"/>
        </w:trPr>
        <w:tc>
          <w:tcPr>
            <w:tcW w:w="510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174,704</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174,704</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00" w:type="dxa"/>
            <w:vAlign w:val="bottom"/>
            <w:vMerge w:val="continue"/>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143,150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100,537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174,839</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418,526</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vMerge w:val="continue"/>
          </w:tcPr>
          <w:p>
            <w:pPr>
              <w:spacing w:after="0"/>
              <w:rPr>
                <w:sz w:val="19"/>
                <w:szCs w:val="19"/>
                <w:color w:val="auto"/>
              </w:rPr>
            </w:pP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100" w:type="dxa"/>
            <w:vAlign w:val="bottom"/>
            <w:vMerge w:val="restart"/>
          </w:tcPr>
          <w:p>
            <w:pPr>
              <w:jc w:val="right"/>
              <w:ind w:right="131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2010</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9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62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196"/>
        </w:trPr>
        <w:tc>
          <w:tcPr>
            <w:tcW w:w="7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U.S. Government and agencies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31,900</w:t>
            </w: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income funds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33,951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33,951</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Corporate and other debt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21,939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21,939</w:t>
            </w: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21,852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88,437</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58,656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58,656</w:t>
            </w: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ind w:left="88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163,482</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163,482</w:t>
            </w: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120,108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116,333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163,798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400,239</w:t>
            </w:r>
          </w:p>
        </w:tc>
        <w:tc>
          <w:tcPr>
            <w:tcW w:w="8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2,897</w:t>
            </w:r>
          </w:p>
        </w:tc>
        <w:tc>
          <w:tcPr>
            <w:tcW w:w="8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2,897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6,127</w:t>
            </w:r>
          </w:p>
        </w:tc>
        <w:tc>
          <w:tcPr>
            <w:tcW w:w="8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six month periods ended June 30, 2011 and 2010.</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2011 and 2010: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 2011</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Realized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Included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3"/>
              </w:rPr>
              <w:t>Sales/</w:t>
            </w:r>
          </w:p>
        </w:tc>
        <w:tc>
          <w:tcPr>
            <w:tcW w:w="4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83"/>
              </w:rPr>
              <w:t>Acquisitions</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Dispositions</w:t>
            </w:r>
          </w:p>
        </w:tc>
        <w:tc>
          <w:tcPr>
            <w:tcW w:w="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171,487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174,704</w:t>
            </w:r>
          </w:p>
        </w:tc>
        <w:tc>
          <w:tcPr>
            <w:tcW w:w="10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32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2400" w:type="dxa"/>
            <w:vAlign w:val="bottom"/>
            <w:gridSpan w:val="6"/>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171,616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3,548</w:t>
            </w:r>
          </w:p>
        </w:tc>
        <w:tc>
          <w:tcPr>
            <w:tcW w:w="520" w:type="dxa"/>
            <w:vAlign w:val="bottom"/>
            <w:gridSpan w:val="3"/>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500" w:type="dxa"/>
            <w:vAlign w:val="bottom"/>
            <w:gridSpan w:val="3"/>
          </w:tcPr>
          <w:p>
            <w:pPr>
              <w:ind w:left="3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(2,052)</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805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174,839</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3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10"/>
          </w:tcPr>
          <w:p>
            <w:pPr>
              <w:jc w:val="right"/>
              <w:ind w:right="500"/>
              <w:spacing w:after="0"/>
              <w:rPr>
                <w:sz w:val="20"/>
                <w:szCs w:val="20"/>
                <w:color w:val="auto"/>
              </w:rPr>
            </w:pPr>
            <w:r>
              <w:rPr>
                <w:rFonts w:ascii="Arial" w:cs="Arial" w:eastAsia="Arial" w:hAnsi="Arial"/>
                <w:sz w:val="14"/>
                <w:szCs w:val="14"/>
                <w:b w:val="1"/>
                <w:bCs w:val="1"/>
                <w:color w:val="auto"/>
                <w:w w:val="95"/>
              </w:rPr>
              <w:t>Six Months Ended June 30, 2011</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3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4"/>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Realized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Included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 Revenue-</w:t>
            </w:r>
          </w:p>
        </w:tc>
        <w:tc>
          <w:tcPr>
            <w:tcW w:w="320" w:type="dxa"/>
            <w:vAlign w:val="bottom"/>
          </w:tcPr>
          <w:p>
            <w:pPr>
              <w:spacing w:after="0"/>
              <w:rPr>
                <w:sz w:val="12"/>
                <w:szCs w:val="12"/>
                <w:color w:val="auto"/>
              </w:rPr>
            </w:pPr>
          </w:p>
        </w:tc>
        <w:tc>
          <w:tcPr>
            <w:tcW w:w="80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Purchases/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3"/>
              </w:rPr>
              <w:t>Sales/</w:t>
            </w:r>
          </w:p>
        </w:tc>
        <w:tc>
          <w:tcPr>
            <w:tcW w:w="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r>
      <w:tr>
        <w:trPr>
          <w:trHeight w:val="161"/>
        </w:trPr>
        <w:tc>
          <w:tcPr>
            <w:tcW w:w="3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1"/>
              </w:rPr>
              <w:t>Balance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w w:val="92"/>
              </w:rPr>
              <w:t>Acquisitions</w:t>
            </w:r>
          </w:p>
        </w:tc>
        <w:tc>
          <w:tcPr>
            <w:tcW w:w="34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Dispositions</w:t>
            </w:r>
          </w:p>
        </w:tc>
        <w:tc>
          <w:tcPr>
            <w:tcW w:w="11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4"/>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(195)</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4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(9,160)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4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174,704</w:t>
            </w:r>
          </w:p>
        </w:tc>
        <w:tc>
          <w:tcPr>
            <w:tcW w:w="100" w:type="dxa"/>
            <w:vAlign w:val="bottom"/>
            <w:shd w:val="clear" w:color="auto" w:fill="CCEEFF"/>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32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14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163,798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3,827</w:t>
            </w: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13,075</w:t>
            </w:r>
          </w:p>
        </w:tc>
        <w:tc>
          <w:tcPr>
            <w:tcW w:w="80" w:type="dxa"/>
            <w:vAlign w:val="bottom"/>
          </w:tcPr>
          <w:p>
            <w:pPr>
              <w:spacing w:after="0"/>
              <w:rPr>
                <w:sz w:val="19"/>
                <w:szCs w:val="19"/>
                <w:color w:val="auto"/>
              </w:rPr>
            </w:pP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(9,355)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$3,494</w:t>
            </w: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174,839</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86"/>
              </w:rPr>
              <w:t>Three Months Ended June 30, 2010</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8"/>
              </w:rPr>
              <w:t>Net Unrealized/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Purchases/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Sales/</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Revenue-Other</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Acquisitions</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136,264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1,535</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(3,754)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136,562</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1,531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$5,559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(1,190)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$(3,754)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89"/>
              </w:rPr>
              <w:t>Six Months Ended June 30, 2010</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Realized</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5"/>
              </w:rPr>
              <w:t>Foreign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1"/>
              </w:rPr>
              <w:t>Currency</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2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2"/>
              </w:rPr>
              <w:t>Purchases/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Sales/</w:t>
            </w: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8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Balance</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Revenue-Other</w:t>
            </w:r>
          </w:p>
        </w:tc>
        <w:tc>
          <w:tcPr>
            <w:tcW w:w="2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Acquisitions</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135,914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4,753</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(1,193)</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138,409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136,219</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4,741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$5,560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(1,193)</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$(6,619)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With respect to Level 3 assets held at June 30, 2011 and 2010, net gains (losses) included in earnings for the three month and six month periods ended June 30, 2011 and the three month and six month periods ended June 30, 2010 in connection with the change in unrealized gains and losses relating to such assets were $3,538, $3,817, $1,531 and $4,741, respectively.</w:t>
      </w:r>
    </w:p>
    <w:p>
      <w:pPr>
        <w:spacing w:after="0" w:line="127"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enters into forward foreign currency exchange rate contracts, interest rate swaps, interest rate futures, equity and fixed income swaps and other derivative contracts to hedge exposures to fluctuations in interest rates, currency exchange rates and equity and debt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 “available-for-sale” debt securities, which were sold in the fourth quarter of 2010 (see Note 4 of Notes to Condensed Consolidated Financial Statements), the Company elected to not apply hedge accounting to its other derivative instruments held. Gains and losses on the Company’s derivatives not designated as hedging instruments, as well as gains and losses on derivatives then accounted for as fair value hedges, are included in “interest income” and “interest expense”, respectively, or “revenue-other”, depending on the nature of the underlying item, on the consolidated statements of operations. Furthermore, with respect to derivatives then designated as fair value hedges, the hedged item was required to be adjusted for changes in fair value of the risk being hedged, with such adjustment accounted for in the consolidated statements of operations.</w:t>
      </w:r>
    </w:p>
    <w:p>
      <w:pPr>
        <w:spacing w:after="0" w:line="10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a result of the sale of the Company’s “available-for-sale” debt securities during the fourth quarter of 2010 as discussed above, there were not any derivatives designated as hedging instruments for the three month and six month periods ended June 30, 2011. During the three month and six month periods ended June 30,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recognized pre-tax losses pertaining to interest rate swaps designated as hedging instruments of $1,765 and $3,756, respectively. These losses were substantially offset by gains recognized on the hedged risk portion of such “available-for-sale” securities.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represents the fair values of the Company’s derivative assets and liabilities reported within “other assets” and “other liabilities” on the accompanying condensed consolidated statements of financial condition as of June 30, 2011 and December 31, 2010:</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June 30,</w:t>
            </w:r>
          </w:p>
        </w:tc>
        <w:tc>
          <w:tcPr>
            <w:tcW w:w="7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9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2,035</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2,328</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1,507</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and fixed income swaps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2,200</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condensed consolidated statements of operations for the three month and six month periods ended June 30, 2011 and 2010 (predominantly reflected in “revenue-other”), by type of derivative,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June 30,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6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$(3,139)</w:t>
            </w:r>
          </w:p>
        </w:tc>
        <w:tc>
          <w:tcPr>
            <w:tcW w:w="5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(9,397)</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rate swaps</w:t>
            </w:r>
          </w:p>
        </w:tc>
        <w:tc>
          <w:tcPr>
            <w:tcW w:w="1080" w:type="dxa"/>
            <w:vAlign w:val="bottom"/>
            <w:gridSpan w:val="4"/>
          </w:tcPr>
          <w:p>
            <w:pPr>
              <w:jc w:val="right"/>
              <w:ind w:right="4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 and fixed income swaps</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(2,718)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360" w:type="dxa"/>
            <w:vAlign w:val="bottom"/>
          </w:tcPr>
          <w:p>
            <w:pPr>
              <w:spacing w:after="0"/>
              <w:rPr>
                <w:sz w:val="19"/>
                <w:szCs w:val="19"/>
                <w:color w:val="auto"/>
              </w:rPr>
            </w:pPr>
          </w:p>
        </w:tc>
        <w:tc>
          <w:tcPr>
            <w:tcW w:w="1080" w:type="dxa"/>
            <w:vAlign w:val="bottom"/>
            <w:gridSpan w:val="4"/>
          </w:tcPr>
          <w:p>
            <w:pPr>
              <w:jc w:val="right"/>
              <w:ind w:right="41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(3,571)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12,505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392"/>
              <w:spacing w:after="0"/>
              <w:rPr>
                <w:sz w:val="20"/>
                <w:szCs w:val="20"/>
                <w:color w:val="auto"/>
              </w:rPr>
            </w:pPr>
            <w:r>
              <w:rPr>
                <w:rFonts w:ascii="Arial" w:cs="Arial" w:eastAsia="Arial" w:hAnsi="Arial"/>
                <w:sz w:val="18"/>
                <w:szCs w:val="18"/>
                <w:color w:val="auto"/>
                <w:w w:val="86"/>
              </w:rPr>
              <w:t>(12,118)</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16,435</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7.</w:t>
      </w:r>
      <w:r>
        <w:rPr>
          <w:sz w:val="20"/>
          <w:szCs w:val="20"/>
          <w:color w:val="auto"/>
        </w:rPr>
        <w:tab/>
      </w:r>
      <w:r>
        <w:rPr>
          <w:rFonts w:ascii="Arial" w:cs="Arial" w:eastAsia="Arial" w:hAnsi="Arial"/>
          <w:sz w:val="16"/>
          <w:szCs w:val="16"/>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payment on October 31, 2011 of approximately $90,300 and (iii) an issuance on October 31, 2011 of 2,201,457 shares of Class A common stock (plus additional shares of Class A common stock in an amount determined by reference to the cash dividends paid on Class A common stock since the closing of the LAM Merger), subject, in the case of clause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the Company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$15,473 and $73,752, respectively, as of June 30, 2011, and $15,152 and $71,394, respectively, as of December 31, 2010.</w:t>
      </w:r>
    </w:p>
    <w:p>
      <w:pPr>
        <w:spacing w:after="0" w:line="10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8.</w:t>
      </w:r>
      <w:r>
        <w:rPr>
          <w:sz w:val="20"/>
          <w:szCs w:val="20"/>
          <w:color w:val="auto"/>
        </w:rPr>
        <w:tab/>
      </w:r>
      <w:r>
        <w:rPr>
          <w:rFonts w:ascii="Arial" w:cs="Arial" w:eastAsia="Arial" w:hAnsi="Arial"/>
          <w:sz w:val="16"/>
          <w:szCs w:val="16"/>
          <w:b w:val="1"/>
          <w:bCs w:val="1"/>
          <w:i w:val="1"/>
          <w:iCs w:val="1"/>
          <w:color w:val="auto"/>
        </w:rPr>
        <w:t>BUSINESS ACQUISITIONS</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July 15, 2009, the Company established a private equity business with Edgewater. Edgewater manages funds 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current leadership team retained a substantial economic interest in such entities.</w:t>
      </w:r>
    </w:p>
    <w:p>
      <w:pPr>
        <w:spacing w:after="0" w:line="99"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forfeiture provisions that lapse only upon the achievement of certain performance thresholds and transfer restrictions during the four year period ending December 2014. The Earnout Shares will be issued only if certain performance thresholds are met.</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prior years, the Company made certain other business acquisitions.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June 30, 2011 and December 31, 2010, 1,295,029 shares of Class A common stock were issuable on a non-contingent basis. Additionally, at June 30, 2011 and December 31, 2010, 4,862 shares of Series A preferred stock were convertible into Class A common shares on a non-contingent basis, with the number of Class A common shares dependent, in part, upon future prices of the Class A common stock. Depending upon the future performance of such businesses acquired, at June 30, 2011 and December 31, 2010, 17,159 shares of Series A preferred stock were contingently convertible into shares of Class A common stock. The Class A common stock described above related to such acquisitions is primarily issuable during the remainder of 2011.</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as of June 30, 2011 and December 31, 2010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jc w:val="right"/>
              <w:ind w:right="39"/>
              <w:spacing w:after="0"/>
              <w:rPr>
                <w:sz w:val="20"/>
                <w:szCs w:val="20"/>
                <w:color w:val="auto"/>
              </w:rPr>
            </w:pPr>
            <w:r>
              <w:rPr>
                <w:rFonts w:ascii="Arial" w:cs="Arial" w:eastAsia="Arial" w:hAnsi="Arial"/>
                <w:sz w:val="14"/>
                <w:szCs w:val="14"/>
                <w:b w:val="1"/>
                <w:bCs w:val="1"/>
                <w:color w:val="auto"/>
                <w:w w:val="96"/>
              </w:rPr>
              <w:t>June 30,</w:t>
            </w:r>
          </w:p>
        </w:tc>
        <w:tc>
          <w:tcPr>
            <w:tcW w:w="1420" w:type="dxa"/>
            <w:vAlign w:val="bottom"/>
            <w:gridSpan w:val="4"/>
          </w:tcPr>
          <w:p>
            <w:pPr>
              <w:ind w:left="5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1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$ 320,411</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313,229</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45,030</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365,441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361,439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June 30, 2011 and December 31, 2010, goodwill of $258,781 and $251,599, respectively, was attributable to the Company’s Financial Advisory segment and, at each such date, $61,630 of goodwill was attributable to the Company’s Asset Management segment.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2011 and 2010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$313,229</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$261,703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7,182</w:t>
            </w:r>
          </w:p>
        </w:tc>
        <w:tc>
          <w:tcPr>
            <w:tcW w:w="3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$ 320,411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254,295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2011 and December 31, 2010,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June 30, 2011</w:t>
            </w: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Gross</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3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Success/performance fees</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$29,619</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Management fees, customer relationships and non-compete agreements</w:t>
            </w:r>
          </w:p>
        </w:tc>
        <w:tc>
          <w:tcPr>
            <w:tcW w:w="5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32,477</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15,411</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32,477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14,117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63,217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45,030</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63,217</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15,007</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2011 was $1,706 and $3,180, respectively, and for the three month and six month periods ended June 30, 2010 was $1,769 and $3,539, respectively. Estimated future amortization expense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6"/>
          </w:tcPr>
          <w:p>
            <w:pPr>
              <w:ind w:left="3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60" w:type="dxa"/>
            <w:vAlign w:val="bottom"/>
            <w:gridSpan w:val="4"/>
            <w:vMerge w:val="continue"/>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5"/>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2011 (July 1 through December 31)</w:t>
            </w: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2,778</w:t>
            </w:r>
          </w:p>
        </w:tc>
        <w:tc>
          <w:tcPr>
            <w:tcW w:w="8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2012</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6,302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12,742</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9,803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7,220</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6,185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45,030</w:t>
            </w:r>
          </w:p>
        </w:tc>
        <w:tc>
          <w:tcPr>
            <w:tcW w:w="8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240" w:type="dxa"/>
            <w:vAlign w:val="bottom"/>
            <w:gridSpan w:val="3"/>
          </w:tcPr>
          <w:p>
            <w:pPr>
              <w:spacing w:after="0"/>
              <w:rPr>
                <w:sz w:val="8"/>
                <w:szCs w:val="8"/>
                <w:color w:val="auto"/>
              </w:rPr>
            </w:pPr>
          </w:p>
        </w:tc>
        <w:tc>
          <w:tcPr>
            <w:tcW w:w="680" w:type="dxa"/>
            <w:vAlign w:val="bottom"/>
          </w:tcPr>
          <w:p>
            <w:pPr>
              <w:spacing w:after="0"/>
              <w:rPr>
                <w:sz w:val="8"/>
                <w:szCs w:val="8"/>
                <w:color w:val="auto"/>
              </w:rPr>
            </w:pPr>
          </w:p>
        </w:tc>
        <w:tc>
          <w:tcPr>
            <w:tcW w:w="12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120" w:type="dxa"/>
            <w:vAlign w:val="bottom"/>
            <w:gridSpan w:val="2"/>
          </w:tcPr>
          <w:p>
            <w:pPr>
              <w:ind w:left="920"/>
              <w:spacing w:after="0"/>
              <w:rPr>
                <w:sz w:val="20"/>
                <w:szCs w:val="20"/>
                <w:color w:val="auto"/>
              </w:rPr>
            </w:pPr>
            <w:r>
              <w:rPr>
                <w:rFonts w:ascii="Arial" w:cs="Arial" w:eastAsia="Arial" w:hAnsi="Arial"/>
                <w:sz w:val="18"/>
                <w:szCs w:val="18"/>
                <w:color w:val="auto"/>
                <w:w w:val="81"/>
              </w:rPr>
              <w:t>(a)</w:t>
            </w:r>
          </w:p>
        </w:tc>
        <w:tc>
          <w:tcPr>
            <w:tcW w:w="40" w:type="dxa"/>
            <w:vAlign w:val="bottom"/>
          </w:tcPr>
          <w:p>
            <w:pPr>
              <w:spacing w:after="0"/>
              <w:rPr>
                <w:sz w:val="20"/>
                <w:szCs w:val="20"/>
                <w:color w:val="auto"/>
              </w:rPr>
            </w:pPr>
          </w:p>
        </w:tc>
        <w:tc>
          <w:tcPr>
            <w:tcW w:w="7920" w:type="dxa"/>
            <w:vAlign w:val="bottom"/>
            <w:gridSpan w:val="10"/>
          </w:tcPr>
          <w:p>
            <w:pPr>
              <w:ind w:left="320"/>
              <w:spacing w:after="0"/>
              <w:rPr>
                <w:sz w:val="20"/>
                <w:szCs w:val="20"/>
                <w:color w:val="auto"/>
              </w:rPr>
            </w:pPr>
            <w:r>
              <w:rPr>
                <w:rFonts w:ascii="Arial" w:cs="Arial" w:eastAsia="Arial" w:hAnsi="Arial"/>
                <w:sz w:val="18"/>
                <w:szCs w:val="18"/>
                <w:color w:val="auto"/>
              </w:rPr>
              <w:t>Approximately 48% of intangible asset amortization is attributable to a noncontrolling interest.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4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10.  SENIOR AND SUBORDINATED DEBT</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60" w:type="dxa"/>
            <w:vAlign w:val="bottom"/>
            <w:gridSpan w:val="11"/>
          </w:tcPr>
          <w:p>
            <w:pPr>
              <w:ind w:left="460"/>
              <w:spacing w:after="0"/>
              <w:rPr>
                <w:sz w:val="20"/>
                <w:szCs w:val="20"/>
                <w:color w:val="auto"/>
              </w:rPr>
            </w:pPr>
            <w:r>
              <w:rPr>
                <w:rFonts w:ascii="Arial" w:cs="Arial" w:eastAsia="Arial" w:hAnsi="Arial"/>
                <w:sz w:val="18"/>
                <w:szCs w:val="18"/>
                <w:b w:val="1"/>
                <w:bCs w:val="1"/>
                <w:i w:val="1"/>
                <w:iCs w:val="1"/>
                <w:color w:val="auto"/>
                <w:w w:val="91"/>
              </w:rPr>
              <w:t>Senior Debt</w:t>
            </w:r>
            <w:r>
              <w:rPr>
                <w:rFonts w:ascii="Arial" w:cs="Arial" w:eastAsia="Arial" w:hAnsi="Arial"/>
                <w:sz w:val="18"/>
                <w:szCs w:val="18"/>
                <w:b w:val="1"/>
                <w:bCs w:val="1"/>
                <w:color w:val="auto"/>
                <w:w w:val="91"/>
              </w:rPr>
              <w:t>—</w:t>
            </w:r>
            <w:r>
              <w:rPr>
                <w:rFonts w:ascii="Arial" w:cs="Arial" w:eastAsia="Arial" w:hAnsi="Arial"/>
                <w:sz w:val="18"/>
                <w:szCs w:val="18"/>
                <w:color w:val="auto"/>
                <w:w w:val="91"/>
              </w:rPr>
              <w:t>Senior debt is comprised of the following as of June 30, 2011 and December 31, 2010:</w:t>
            </w: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Initial</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Annual</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87"/>
              </w:rPr>
              <w:t>Outstanding As Of</w:t>
            </w: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7"/>
              </w:rPr>
              <w:t>Principal</w:t>
            </w:r>
          </w:p>
        </w:tc>
        <w:tc>
          <w:tcPr>
            <w:tcW w:w="124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99"/>
              </w:rPr>
              <w:t>Maturity</w:t>
            </w:r>
          </w:p>
        </w:tc>
        <w:tc>
          <w:tcPr>
            <w:tcW w:w="122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6"/>
              </w:rPr>
              <w:t>Interest</w:t>
            </w:r>
          </w:p>
        </w:tc>
        <w:tc>
          <w:tcPr>
            <w:tcW w:w="1200" w:type="dxa"/>
            <w:vAlign w:val="bottom"/>
            <w:tcBorders>
              <w:top w:val="single" w:sz="8" w:color="auto"/>
            </w:tcBorders>
            <w:gridSpan w:val="6"/>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Date</w:t>
            </w: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7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Lazard Group 7.125% Senior Notes</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$550,000</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5/15/15</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7.125%</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528,500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6"/>
          </w:tcPr>
          <w:p>
            <w:pPr>
              <w:spacing w:after="0"/>
              <w:rPr>
                <w:sz w:val="20"/>
                <w:szCs w:val="20"/>
                <w:color w:val="auto"/>
              </w:rPr>
            </w:pPr>
            <w:r>
              <w:rPr>
                <w:rFonts w:ascii="Arial" w:cs="Arial" w:eastAsia="Arial" w:hAnsi="Arial"/>
                <w:sz w:val="18"/>
                <w:szCs w:val="18"/>
                <w:color w:val="auto"/>
              </w:rPr>
              <w:t>Lazard Group 6.85% Senior Notes</w:t>
            </w:r>
          </w:p>
        </w:tc>
        <w:tc>
          <w:tcPr>
            <w:tcW w:w="2140" w:type="dxa"/>
            <w:vAlign w:val="bottom"/>
            <w:gridSpan w:val="3"/>
          </w:tcPr>
          <w:p>
            <w:pPr>
              <w:jc w:val="right"/>
              <w:ind w:right="640"/>
              <w:spacing w:after="0"/>
              <w:rPr>
                <w:sz w:val="20"/>
                <w:szCs w:val="20"/>
                <w:color w:val="auto"/>
              </w:rPr>
            </w:pPr>
            <w:r>
              <w:rPr>
                <w:rFonts w:ascii="Arial" w:cs="Arial" w:eastAsia="Arial" w:hAnsi="Arial"/>
                <w:sz w:val="18"/>
                <w:szCs w:val="18"/>
                <w:color w:val="auto"/>
              </w:rPr>
              <w:t>600,000</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w w:val="96"/>
              </w:rPr>
              <w:t>6/15/17</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6.85%</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548,350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Lazard Group Credit Facility (a)</w:t>
            </w:r>
          </w:p>
        </w:tc>
        <w:tc>
          <w:tcPr>
            <w:tcW w:w="21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150,000</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6"/>
              </w:rPr>
              <w:t>4/29/13</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11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1,076,850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1,076,850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8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April 29, 2010, Lazard Group entered into a $150,000, three-year senior revolving credit facility with a group of lenders (the “Credit Facility”). The Credit Facility, as amended, replaced the prior revolving credit facility, which was terminated as a condition to effectiveness of the Credit Facility. Interest rates under the Credit Facility vary and are based on either a Federal Funds rate or a Eurodollar rate, in each case plus an applicable margin. As of June 30, 2011, the annual interest rate for a loan accruing interest (based on the Federal Funds overnight rate), including the applicable margin, was 1.88%. As of June 30, 2011 and December 31, 2010, no amounts were outstanding under the Credit Facility.</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Subordinated Debt</w:t>
      </w:r>
      <w:r>
        <w:rPr>
          <w:rFonts w:ascii="Arial" w:cs="Arial" w:eastAsia="Arial" w:hAnsi="Arial"/>
          <w:sz w:val="18"/>
          <w:szCs w:val="18"/>
          <w:b w:val="1"/>
          <w:bCs w:val="1"/>
          <w:color w:val="auto"/>
        </w:rPr>
        <w:t>—</w:t>
      </w:r>
      <w:r>
        <w:rPr>
          <w:rFonts w:ascii="Arial" w:cs="Arial" w:eastAsia="Arial" w:hAnsi="Arial"/>
          <w:sz w:val="18"/>
          <w:szCs w:val="18"/>
          <w:color w:val="auto"/>
        </w:rPr>
        <w:t>Subordinated debt at June 30, 2011 and December 31, 2010 represents a note amounting to $150,000 at each date. The note had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date of September 30, 2016 and had a fixed interest rate of 3.25% per annum. Until June 30, 2011 the note had a conversion feature which permitted the holder to convert the note into a maximum of 2,631,570 shares of Class A common stock at an effective conversion price of $57 per share. No conversions had occurred through that date and the note was no longer convertible. On July 22, 2011, the Company repurchased its outstanding 3.25% subordinated note, at a cost, excluding accrued interest, of $131,829. Such repurchase resulted in a pre-tax gain of $18,171, which is being recognized by the Company in the third quarter of 2011.</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Credit Facility contains customary terms and conditions, including certain financial covenants. In addition, the Credit Facility, the indenture and supplemental indentures relating to Lazard Group’s senior notes, contain certain covenants (none of which relate to financial condition), events of default and other customary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provisions, including a customary make-whole provision in the event of early redemption where applicable. As of June 30, 2011, the Company was in compliance with all of these provisions. All of the Company’s senior and subordinated debt obligations are unsecured.</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June 30, 2011, the Company had approximately $285,000 in unused lines of credit available to it, including the Credit Facility, and unused lines of credit available to LFB of approximately $107,000 (at June 30, 2011 exchange rates) and Edgewater of $20,000. In addition, LFB has access to the Eurosystem Covered Bond Purchase Program of the Banque de France.</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June 30, 2011 and December 31, 2010, the fair value of the Company’s senior and subordinated debt was approximately $1,338,000 and $1,271,000, respectively, and exceeded the aggregate carrying value by approximately $111,000 and $44,000,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w:t>
      </w:r>
      <w:r>
        <w:rPr>
          <w:rFonts w:ascii="Arial" w:cs="Arial" w:eastAsia="Arial" w:hAnsi="Arial"/>
          <w:sz w:val="18"/>
          <w:szCs w:val="18"/>
          <w:color w:val="auto"/>
        </w:rPr>
        <w:t>Lazard has various leases and other contractual commitments arising in the ordinary course of business. At June 30, 2011, minimum rental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 non-cancelable operating leases, net of sublease income, are approximately as follows:</w:t>
      </w:r>
    </w:p>
    <w:p>
      <w:pPr>
        <w:spacing w:after="0" w:line="1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(July 1 through December 31)</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3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2014</w:t>
            </w:r>
          </w:p>
        </w:tc>
        <w:tc>
          <w:tcPr>
            <w:tcW w:w="37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7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1,085,916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380" w:type="dxa"/>
            <w:vAlign w:val="bottom"/>
            <w:gridSpan w:val="3"/>
          </w:tcPr>
          <w:p>
            <w:pPr>
              <w:spacing w:after="0"/>
              <w:rPr>
                <w:sz w:val="20"/>
                <w:szCs w:val="20"/>
                <w:color w:val="auto"/>
              </w:rPr>
            </w:pPr>
            <w:r>
              <w:rPr>
                <w:rFonts w:ascii="Arial" w:cs="Arial" w:eastAsia="Arial" w:hAnsi="Arial"/>
                <w:sz w:val="18"/>
                <w:szCs w:val="18"/>
                <w:color w:val="auto"/>
              </w:rPr>
              <w:t>Sublease proceeds</w:t>
            </w:r>
          </w:p>
        </w:tc>
        <w:tc>
          <w:tcPr>
            <w:tcW w:w="28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185,784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lease payments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June 30, 2011, LFB had $4,671 of such indemnifications and held $3,144 of collateral/counter-guarantees to secure these commitments. The Company believes the likelihood of loss with respect to these indemnities is remote. Accordingly, no liability is recorded in the consolidated statement of financial condition.</w:t>
      </w:r>
    </w:p>
    <w:p>
      <w:pPr>
        <w:spacing w:after="0" w:line="123"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b w:val="1"/>
          <w:bCs w:val="1"/>
          <w:color w:val="auto"/>
        </w:rPr>
        <w:t>—</w:t>
      </w:r>
      <w:r>
        <w:rPr>
          <w:rFonts w:ascii="Arial" w:cs="Arial" w:eastAsia="Arial" w:hAnsi="Arial"/>
          <w:sz w:val="18"/>
          <w:szCs w:val="18"/>
          <w:color w:val="auto"/>
        </w:rPr>
        <w:t>At June 30, 2011, the principal unfunded commitment by the Company for capital contributions to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CP II, and is an amount not to exceed $3,022 for potential “follow-on investments” and/or for CP II expenses through the earlier of February 25, 2017 or the liquidation of the fund.</w:t>
      </w:r>
    </w:p>
    <w:p>
      <w:pPr>
        <w:spacing w:after="0" w:line="119"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b w:val="1"/>
          <w:bCs w:val="1"/>
          <w:color w:val="auto"/>
        </w:rPr>
        <w:t>—</w:t>
      </w:r>
      <w:r>
        <w:rPr>
          <w:rFonts w:ascii="Arial" w:cs="Arial" w:eastAsia="Arial" w:hAnsi="Arial"/>
          <w:sz w:val="18"/>
          <w:szCs w:val="18"/>
          <w:color w:val="auto"/>
        </w:rPr>
        <w:t>In the normal course of business, LFB enters into commitments to extend credit, predominately at variable interest rates.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at June 30, 2011 aggregated $27,103. These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various other contractual commitments arising in the ordinary course of business.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consolidated financial position or results of operations.</w:t>
      </w:r>
    </w:p>
    <w:p>
      <w:pPr>
        <w:spacing w:after="0" w:line="11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b w:val="1"/>
          <w:bCs w:val="1"/>
          <w:color w:val="auto"/>
        </w:rPr>
        <w:t>—</w:t>
      </w:r>
      <w:r>
        <w:rPr>
          <w:rFonts w:ascii="Arial" w:cs="Arial" w:eastAsia="Arial" w:hAnsi="Arial"/>
          <w:sz w:val="16"/>
          <w:szCs w:val="16"/>
          <w:color w:val="auto"/>
        </w:rPr>
        <w:t>The Company is involved from time to time in a number of judicial, regulatory and arbitration proceedings and inquiries concerning matters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12.</w:t>
      </w:r>
      <w:r>
        <w:rPr>
          <w:sz w:val="20"/>
          <w:szCs w:val="20"/>
          <w:color w:val="auto"/>
        </w:rPr>
        <w:tab/>
      </w:r>
      <w:r>
        <w:rPr>
          <w:rFonts w:ascii="Arial" w:cs="Arial" w:eastAsia="Arial" w:hAnsi="Arial"/>
          <w:sz w:val="16"/>
          <w:szCs w:val="16"/>
          <w:b w:val="1"/>
          <w:bCs w:val="1"/>
          <w:i w:val="1"/>
          <w:iCs w:val="1"/>
          <w:color w:val="auto"/>
        </w:rPr>
        <w:t>STOCKHOLDERS’ EQUITY</w:t>
      </w:r>
    </w:p>
    <w:p>
      <w:pPr>
        <w:spacing w:after="0" w:line="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i w:val="1"/>
          <w:iCs w:val="1"/>
          <w:color w:val="auto"/>
        </w:rPr>
        <w:t>Issuance of Class A Common Shares</w:t>
      </w:r>
      <w:r>
        <w:rPr>
          <w:rFonts w:ascii="Arial" w:cs="Arial" w:eastAsia="Arial" w:hAnsi="Arial"/>
          <w:sz w:val="18"/>
          <w:szCs w:val="18"/>
          <w:b w:val="1"/>
          <w:bCs w:val="1"/>
          <w:color w:val="auto"/>
        </w:rPr>
        <w:t>—</w:t>
      </w:r>
      <w:r>
        <w:rPr>
          <w:rFonts w:ascii="Arial" w:cs="Arial" w:eastAsia="Arial" w:hAnsi="Arial"/>
          <w:sz w:val="18"/>
          <w:szCs w:val="18"/>
          <w:color w:val="auto"/>
        </w:rPr>
        <w:t>During the three month period ended March 31, 2010, 3,000,000 shares of Class A common stock were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by Lazard Ltd to Lazard Group in connection with the settlement of vested restricted stock unit grants denominated in shares of Class A common stock (“RSUs”). Such shares were authorized as part of the 25,000,000 shares of Class A common stock that may be issued under the Lazard Ltd 2005 Equity Incentive Plan (the “2005 Plan”).</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Secondary Offerings</w:t>
      </w:r>
      <w:r>
        <w:rPr>
          <w:rFonts w:ascii="Arial" w:cs="Arial" w:eastAsia="Arial" w:hAnsi="Arial"/>
          <w:sz w:val="18"/>
          <w:szCs w:val="18"/>
          <w:b w:val="1"/>
          <w:bCs w:val="1"/>
          <w:color w:val="auto"/>
        </w:rPr>
        <w:t>—</w:t>
      </w:r>
      <w:r>
        <w:rPr>
          <w:rFonts w:ascii="Arial" w:cs="Arial" w:eastAsia="Arial" w:hAnsi="Arial"/>
          <w:sz w:val="18"/>
          <w:szCs w:val="18"/>
          <w:color w:val="auto"/>
        </w:rPr>
        <w:t>Pursuant to the applicable Prospectus Supplements, certain selling shareholders of Lazard Ltd (which include current and former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directors of Lazard (and, from time to time, certain of our directors, executive officers or former executive officers) and their permitted transferees (collectively, the “Selling Shareholders”) who hold LAZ-MD Holdings exchangeable interests and/or Class A common stock), may offer to sell shares of Class A common stock pursuant to applicable underwriting and pricing agreements. During the three month period ended March 31, 2010 one such secondary offering occurred, which is described below (no secondary offerings occurred during the three month period ended June 30, 2010 or during the six month period ended June 30, 2011).</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March 2010, certain Selling Shareholders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Estate of Lazard’s former Chairman and Chief Executive Officer and related trusts (collectively, the “Estate”) and (iii) 1,681,410 shares held by the Estate) at a price of $35.90 per share (collectively, the “March 2010 Secondary Offering”).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Ltd did not receive any net proceeds from the sales of Class A common stock from the March 2010 Secondary Offering.</w:t>
      </w:r>
    </w:p>
    <w:p>
      <w:pPr>
        <w:spacing w:after="0" w:line="15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b w:val="1"/>
          <w:bCs w:val="1"/>
          <w:color w:val="auto"/>
        </w:rPr>
        <w:t>—</w:t>
      </w:r>
      <w:r>
        <w:rPr>
          <w:rFonts w:ascii="Arial" w:cs="Arial" w:eastAsia="Arial" w:hAnsi="Arial"/>
          <w:sz w:val="18"/>
          <w:szCs w:val="18"/>
          <w:color w:val="auto"/>
        </w:rPr>
        <w:t>As previously described, Lazard Group’s common membership interests are held by subsidiaries of Lazard Ltd and by LAZ-MD Holdings. Pursuant to provisions of the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six month periods ended June 30, 2011 and 2010, Lazard Group distributed the following amounts to LAZ-MD Holdings and the subsidiaries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Lazard Ltd (none of which related to tax distributions):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60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6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LAZ-MD Holdings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00" w:type="dxa"/>
            <w:vAlign w:val="bottom"/>
            <w:shd w:val="clear" w:color="auto" w:fill="CCEEFF"/>
          </w:tcPr>
          <w:p>
            <w:pPr>
              <w:spacing w:after="0"/>
              <w:rPr>
                <w:sz w:val="18"/>
                <w:szCs w:val="18"/>
                <w:color w:val="auto"/>
              </w:rPr>
            </w:pPr>
          </w:p>
        </w:tc>
      </w:tr>
      <w:tr>
        <w:trPr>
          <w:trHeight w:val="223"/>
        </w:trPr>
        <w:tc>
          <w:tcPr>
            <w:tcW w:w="6020" w:type="dxa"/>
            <w:vAlign w:val="bottom"/>
          </w:tcPr>
          <w:p>
            <w:pPr>
              <w:ind w:left="440"/>
              <w:spacing w:after="0"/>
              <w:rPr>
                <w:sz w:val="20"/>
                <w:szCs w:val="20"/>
                <w:color w:val="auto"/>
              </w:rPr>
            </w:pPr>
            <w:r>
              <w:rPr>
                <w:rFonts w:ascii="Arial" w:cs="Arial" w:eastAsia="Arial" w:hAnsi="Arial"/>
                <w:sz w:val="18"/>
                <w:szCs w:val="18"/>
                <w:color w:val="auto"/>
              </w:rPr>
              <w:t>Subsidiaries of Lazard Ltd</w:t>
            </w:r>
          </w:p>
        </w:tc>
        <w:tc>
          <w:tcPr>
            <w:tcW w:w="3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32,855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23,022</w:t>
            </w:r>
          </w:p>
        </w:tc>
        <w:tc>
          <w:tcPr>
            <w:tcW w:w="10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35,029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30,125</w:t>
            </w:r>
          </w:p>
        </w:tc>
        <w:tc>
          <w:tcPr>
            <w:tcW w:w="100" w:type="dxa"/>
            <w:vAlign w:val="bottom"/>
            <w:shd w:val="clear" w:color="auto" w:fill="CCEEFF"/>
          </w:tcPr>
          <w:p>
            <w:pPr>
              <w:spacing w:after="0"/>
              <w:rPr>
                <w:sz w:val="18"/>
                <w:szCs w:val="18"/>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66"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b w:val="1"/>
          <w:bCs w:val="1"/>
          <w:color w:val="auto"/>
        </w:rPr>
        <w:t>—</w:t>
      </w:r>
      <w:r>
        <w:rPr>
          <w:rFonts w:ascii="Arial" w:cs="Arial" w:eastAsia="Arial" w:hAnsi="Arial"/>
          <w:sz w:val="16"/>
          <w:szCs w:val="16"/>
          <w:color w:val="auto"/>
        </w:rPr>
        <w:t>In addition to the simultaneous exchanges that occurred in connection with the March 2010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Secondary Offering, during the six month periods ended June 30, 2011 and 2010, Lazard Ltd issued 728,385 and 11,465,108 shares of Class A common stock, respectively, in connection with the exchange of a like number of Lazard Group common membership interests (received from members of LAZ-MD Holdings in exchange for a like number of LAZ-MD Holdings exchangeable interests).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“Noncontrolling Interests” below for additional information regarding Lazard Ltd’s and LAZ-MD Holdings’ ownership interests in Lazard Group.</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b w:val="1"/>
          <w:bCs w:val="1"/>
          <w:color w:val="auto"/>
        </w:rPr>
        <w:t>—</w:t>
      </w:r>
      <w:r>
        <w:rPr>
          <w:rFonts w:ascii="Arial" w:cs="Arial" w:eastAsia="Arial" w:hAnsi="Arial"/>
          <w:sz w:val="16"/>
          <w:szCs w:val="16"/>
          <w:color w:val="auto"/>
        </w:rPr>
        <w:t>In January 2010, the Board of Directors of Lazard Ltd authorized, on a cumulative basis, the repurchase of up to $200,000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aggregate cost of its Class A common stock and Lazard Group common membership interests through December 31, 2011. The Company’s prior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expired on December 31, 2009. In February 2011, the Board of Directors of Lazard Ltd authorized the repurchase of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 in aggregate cost of Lazard Ltd Class A common stock and Lazard Group common membership interests through December 31, 2012.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expects that the share repurchase program, with respect to the Class A common stock, will continue to be used primarily to offset a portion of the shares that have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been or will be issued under the 2005 Plan and the Lazard Ltd 2008 Incentive Compensation Plan (the “2008 Plan”). Pursuant to such authorizations, purchases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been made in the open market or through privately negotiated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transactions, and since the inception of the program in February 2006 through June 30, 2011, purchases by Lazard Group with respect to such program are set forth in the table below (including, in the six month period ended June 30, 2011, purchases of 3,156,416 Class A common shares, at an aggregate cost of $126,237, and the purchase of 19,032 Lazard Group common membership interests, at an aggregate cost of $794):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 Price Per</w:t>
            </w:r>
          </w:p>
        </w:tc>
      </w:tr>
      <w:tr>
        <w:trPr>
          <w:trHeight w:val="149"/>
        </w:trPr>
        <w:tc>
          <w:tcPr>
            <w:tcW w:w="8080" w:type="dxa"/>
            <w:vAlign w:val="bottom"/>
          </w:tcPr>
          <w:p>
            <w:pPr>
              <w:spacing w:after="0"/>
              <w:rPr>
                <w:sz w:val="12"/>
                <w:szCs w:val="12"/>
                <w:color w:val="auto"/>
              </w:rPr>
            </w:pPr>
          </w:p>
        </w:tc>
        <w:tc>
          <w:tcPr>
            <w:tcW w:w="22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Shares/Common</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Share/Common</w:t>
            </w:r>
          </w:p>
        </w:tc>
      </w:tr>
      <w:tr>
        <w:trPr>
          <w:trHeight w:val="149"/>
        </w:trPr>
        <w:tc>
          <w:tcPr>
            <w:tcW w:w="8080" w:type="dxa"/>
            <w:vAlign w:val="bottom"/>
          </w:tcPr>
          <w:p>
            <w:pPr>
              <w:spacing w:after="0"/>
              <w:rPr>
                <w:sz w:val="12"/>
                <w:szCs w:val="12"/>
                <w:color w:val="auto"/>
              </w:rPr>
            </w:pPr>
          </w:p>
        </w:tc>
        <w:tc>
          <w:tcPr>
            <w:tcW w:w="22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7"/>
              </w:rPr>
              <w:t>Membership</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Membership</w:t>
            </w:r>
          </w:p>
        </w:tc>
      </w:tr>
      <w:tr>
        <w:trPr>
          <w:trHeight w:val="161"/>
        </w:trPr>
        <w:tc>
          <w:tcPr>
            <w:tcW w:w="8080" w:type="dxa"/>
            <w:vAlign w:val="bottom"/>
          </w:tcPr>
          <w:p>
            <w:pPr>
              <w:spacing w:after="0"/>
              <w:rPr>
                <w:sz w:val="14"/>
                <w:szCs w:val="14"/>
                <w:color w:val="auto"/>
              </w:rPr>
            </w:pPr>
          </w:p>
        </w:tc>
        <w:tc>
          <w:tcPr>
            <w:tcW w:w="220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5"/>
              </w:rPr>
              <w:t>Interests Purchased</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Interest</w:t>
            </w:r>
          </w:p>
        </w:tc>
      </w:tr>
      <w:tr>
        <w:trPr>
          <w:trHeight w:val="210"/>
        </w:trPr>
        <w:tc>
          <w:tcPr>
            <w:tcW w:w="8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Class A common stock</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19,930,075</w:t>
            </w:r>
          </w:p>
        </w:tc>
        <w:tc>
          <w:tcPr>
            <w:tcW w:w="10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080" w:type="dxa"/>
            <w:vAlign w:val="bottom"/>
          </w:tcPr>
          <w:p>
            <w:pPr>
              <w:spacing w:after="0"/>
              <w:rPr>
                <w:sz w:val="20"/>
                <w:szCs w:val="20"/>
                <w:color w:val="auto"/>
              </w:rPr>
            </w:pPr>
            <w:r>
              <w:rPr>
                <w:rFonts w:ascii="Arial" w:cs="Arial" w:eastAsia="Arial" w:hAnsi="Arial"/>
                <w:sz w:val="18"/>
                <w:szCs w:val="18"/>
                <w:color w:val="auto"/>
              </w:rPr>
              <w:t>Lazard Group common membership interests</w:t>
            </w:r>
          </w:p>
        </w:tc>
        <w:tc>
          <w:tcPr>
            <w:tcW w:w="2200" w:type="dxa"/>
            <w:vAlign w:val="bottom"/>
            <w:gridSpan w:val="2"/>
          </w:tcPr>
          <w:p>
            <w:pPr>
              <w:jc w:val="right"/>
              <w:ind w:right="1040"/>
              <w:spacing w:after="0"/>
              <w:rPr>
                <w:sz w:val="20"/>
                <w:szCs w:val="20"/>
                <w:color w:val="auto"/>
              </w:rPr>
            </w:pPr>
            <w:r>
              <w:rPr>
                <w:rFonts w:ascii="Arial" w:cs="Arial" w:eastAsia="Arial" w:hAnsi="Arial"/>
                <w:sz w:val="18"/>
                <w:szCs w:val="18"/>
                <w:color w:val="auto"/>
              </w:rPr>
              <w:t>1,400,089</w:t>
            </w:r>
          </w:p>
        </w:tc>
        <w:tc>
          <w:tcPr>
            <w:tcW w:w="1040" w:type="dxa"/>
            <w:vAlign w:val="bottom"/>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19"/>
                <w:szCs w:val="19"/>
                <w:color w:val="auto"/>
              </w:rPr>
            </w:pPr>
          </w:p>
        </w:tc>
      </w:tr>
    </w:tbl>
    <w:p>
      <w:pPr>
        <w:spacing w:after="0" w:line="13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result of Lazard Group’s delivery of shares of Class A common stock during the four year and six month period ended June 30, 2011 relating to (i) the settlement of vested RSUs and deferred stock unit grants (“DSUs”), (ii) the incentive plan share awards of shares of restricted Class A common stock and (iii) the issuance of shares of restricted Class A common stock in exchange for RSUs, there were 4,339,875 and 6,847,508 shares of Class A common stock held by Lazard Group at June 30, 2011 and December 31, 2010, respectively. Such Class A common shares are reported, at cost, as “Class A common stock held by a subsidiary” on the accompanying condensed consolidated statements of financial condition.</w:t>
      </w:r>
    </w:p>
    <w:p>
      <w:pPr>
        <w:spacing w:after="0" w:line="10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June 30, 2011, $165,740 of the current $450,000 share repurchase authorization remained available under the share repurchase program. In addition, under the terms of the 2005 Plan and the 2008 Plan, upon the vesting of RSUs, shares of Class A common stock may be withheld by the Company to cover estimated income taxes (see Note 13 of Notes to Condensed Consolidated Financial Statements).</w:t>
      </w:r>
    </w:p>
    <w:p>
      <w:pPr>
        <w:spacing w:after="0" w:line="12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b w:val="1"/>
          <w:bCs w:val="1"/>
          <w:color w:val="auto"/>
        </w:rPr>
        <w:t>—</w:t>
      </w:r>
      <w:r>
        <w:rPr>
          <w:rFonts w:ascii="Arial" w:cs="Arial" w:eastAsia="Arial" w:hAnsi="Arial"/>
          <w:sz w:val="18"/>
          <w:szCs w:val="18"/>
          <w:color w:val="auto"/>
        </w:rPr>
        <w:t>Lazard Ltd has 15,000,000 authorized shares of preferred stock, par value $0.01 per share, inclusive of its Series A preferred stock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B preferred stock. The Series A and Series B preferred shares are each non-participating securities that are or were each convertible into Class A common stock, and have no voting or dividend rights. As of June 30, 2011 and December 31, 2010, 22,021 shares of Series A preferred stock were outstanding, and no shares of Series B preferred stock were outstanding at such dates.</w:t>
      </w:r>
    </w:p>
    <w:p>
      <w:pPr>
        <w:spacing w:after="0" w:line="1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At June 30, 2011 and December 31, 2010, 4,862 shares of the Series A preferred shares outstanding were convertible into shares of Class A common stock. The remaining 17,159 shares of Series A preferred stock outstanding at June 30, 2011 and December 31, 2010 may become convertible into shares of Class A common stock upon completion or satisfaction of specified obligations in the applicable acquisition agreement (see Note 8 of Notes to Condensed Consolidated Financial Statements). The initial conversion rate, at the time of the acquisition, was 100 shares of Class A common stock to one share of Series A preferred stock, with the ultimate conversion rate dependent on certain variables, including the value of the Class A common stock, as defined, and the currency exchange rate on the date of conversion.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Accumulated Other Comprehensive Income (Loss), Net of Tax</w:t>
      </w:r>
      <w:r>
        <w:rPr>
          <w:rFonts w:ascii="Arial" w:cs="Arial" w:eastAsia="Arial" w:hAnsi="Arial"/>
          <w:sz w:val="16"/>
          <w:szCs w:val="16"/>
          <w:b w:val="1"/>
          <w:bCs w:val="1"/>
          <w:color w:val="auto"/>
        </w:rPr>
        <w:t>—</w:t>
      </w:r>
      <w:r>
        <w:rPr>
          <w:rFonts w:ascii="Arial" w:cs="Arial" w:eastAsia="Arial" w:hAnsi="Arial"/>
          <w:sz w:val="16"/>
          <w:szCs w:val="16"/>
          <w:color w:val="auto"/>
        </w:rPr>
        <w:t>The components of AOCI at June 30, 2011 and December 31, 2010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3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20" w:type="dxa"/>
            <w:vAlign w:val="bottom"/>
            <w:gridSpan w:val="3"/>
            <w:vMerge w:val="restart"/>
          </w:tcPr>
          <w:p>
            <w:pPr>
              <w:jc w:val="right"/>
              <w:ind w:right="860"/>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23"/>
        </w:trPr>
        <w:tc>
          <w:tcPr>
            <w:tcW w:w="63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Currency translation adjustments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45,367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 rate hedge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(4,084)</w:t>
            </w: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plans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(59,111)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(56,595)</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 AOCI</w:t>
            </w: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vMerge w:val="continue"/>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(17,828)</w:t>
            </w:r>
          </w:p>
        </w:tc>
        <w:tc>
          <w:tcPr>
            <w:tcW w:w="16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(48,013)</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Lazard Ltd AOCI</w:t>
            </w:r>
          </w:p>
        </w:tc>
        <w:tc>
          <w:tcPr>
            <w:tcW w:w="2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w w:val="86"/>
              </w:rPr>
              <w:t>(17,827)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(46,158)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b w:val="1"/>
          <w:bCs w:val="1"/>
          <w:color w:val="auto"/>
        </w:rPr>
        <w:t>—</w:t>
      </w:r>
      <w:r>
        <w:rPr>
          <w:rFonts w:ascii="Arial" w:cs="Arial" w:eastAsia="Arial" w:hAnsi="Arial"/>
          <w:sz w:val="18"/>
          <w:szCs w:val="18"/>
          <w:color w:val="auto"/>
        </w:rPr>
        <w:t>Noncontrolling interests principally represent interests held in (i) Lazard Group by LAZ-MD Holdings, (ii) Edgewater’s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vehicles that the Company is deemed to control, but does not own, and (iii) various LAM-related GP interests which are deemed to be controlled by the Company.</w:t>
      </w:r>
    </w:p>
    <w:p>
      <w:pPr>
        <w:spacing w:after="0" w:line="125" w:lineRule="exact"/>
        <w:rPr>
          <w:sz w:val="20"/>
          <w:szCs w:val="20"/>
          <w:color w:val="auto"/>
        </w:rPr>
      </w:pPr>
    </w:p>
    <w:p>
      <w:pPr>
        <w:jc w:val="both"/>
        <w:ind w:right="540" w:firstLine="456"/>
        <w:spacing w:after="0" w:line="332" w:lineRule="auto"/>
        <w:rPr>
          <w:sz w:val="20"/>
          <w:szCs w:val="20"/>
          <w:color w:val="auto"/>
        </w:rPr>
      </w:pPr>
      <w:r>
        <w:rPr>
          <w:rFonts w:ascii="Arial" w:cs="Arial" w:eastAsia="Arial" w:hAnsi="Arial"/>
          <w:sz w:val="16"/>
          <w:szCs w:val="16"/>
          <w:color w:val="auto"/>
        </w:rPr>
        <w:t>As of June 30, 2011 and December 31, 2010, LAZ-MD Holdings held approximately 5.4% and 6.0%, respectively, of the outstanding Lazard Group common membership interests. Subject to certain limitations, LAZ-MD Holdings’ interests in Lazard Group are exchangeable for Class A common stock.</w:t>
      </w:r>
    </w:p>
    <w:p>
      <w:pPr>
        <w:spacing w:after="0" w:line="7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tables summarize the changes in ownership interests in Lazard Group held by Lazard Ltd and LAZ-MD Holdings during the six month periods ended June 30, 2011 and 2010:</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Lazard Ltd</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LAZ-MD Holdings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gridSpan w:val="2"/>
            <w:vMerge w:val="restart"/>
          </w:tcPr>
          <w:p>
            <w:pPr>
              <w:jc w:val="center"/>
              <w:ind w:right="120"/>
              <w:spacing w:after="0" w:line="136" w:lineRule="exact"/>
              <w:rPr>
                <w:sz w:val="20"/>
                <w:szCs w:val="20"/>
                <w:color w:val="auto"/>
              </w:rPr>
            </w:pPr>
            <w:r>
              <w:rPr>
                <w:rFonts w:ascii="Arial" w:cs="Arial" w:eastAsia="Arial" w:hAnsi="Arial"/>
                <w:sz w:val="14"/>
                <w:szCs w:val="14"/>
                <w:b w:val="1"/>
                <w:bCs w:val="1"/>
                <w:color w:val="auto"/>
                <w:w w:val="92"/>
              </w:rPr>
              <w:t>Lazard Group</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0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Common</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Membership</w:t>
            </w:r>
          </w:p>
        </w:tc>
        <w:tc>
          <w:tcPr>
            <w:tcW w:w="64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64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Membership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5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6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50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5"/>
              </w:rPr>
              <w:t>Ownership</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92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92,165,912</w:t>
            </w:r>
          </w:p>
        </w:tc>
        <w:tc>
          <w:tcPr>
            <w:tcW w:w="500" w:type="dxa"/>
            <w:vAlign w:val="bottom"/>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31,520,426</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123,686,338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Activity January 1, 2010 to June 30, 2010:</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Equity compensation</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3,000,000</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March 2010 Secondary Offering</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6,180,639</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(6,180,639)</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Exchanges for Class A common stock</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11,465,108</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(11,465,108)</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112,811,659</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13,874,679</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126,686,338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080" w:type="dxa"/>
            <w:vAlign w:val="bottom"/>
            <w:gridSpan w:val="2"/>
          </w:tcPr>
          <w:p>
            <w:pPr>
              <w:spacing w:after="0"/>
              <w:rPr>
                <w:sz w:val="20"/>
                <w:szCs w:val="20"/>
                <w:color w:val="auto"/>
              </w:rPr>
            </w:pPr>
            <w:r>
              <w:rPr>
                <w:rFonts w:ascii="Arial" w:cs="Arial" w:eastAsia="Arial" w:hAnsi="Arial"/>
                <w:sz w:val="18"/>
                <w:szCs w:val="18"/>
                <w:color w:val="auto"/>
              </w:rPr>
              <w:t>Balance, January 1, 2011</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119,697,936</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94.0%</w:t>
            </w:r>
          </w:p>
        </w:tc>
        <w:tc>
          <w:tcPr>
            <w:tcW w:w="900" w:type="dxa"/>
            <w:vAlign w:val="bottom"/>
          </w:tcPr>
          <w:p>
            <w:pPr>
              <w:jc w:val="right"/>
              <w:spacing w:after="0"/>
              <w:rPr>
                <w:sz w:val="20"/>
                <w:szCs w:val="20"/>
                <w:color w:val="auto"/>
              </w:rPr>
            </w:pPr>
            <w:r>
              <w:rPr>
                <w:rFonts w:ascii="Arial" w:cs="Arial" w:eastAsia="Arial" w:hAnsi="Arial"/>
                <w:sz w:val="18"/>
                <w:szCs w:val="18"/>
                <w:color w:val="auto"/>
              </w:rPr>
              <w:t>7,652,625</w:t>
            </w:r>
          </w:p>
        </w:tc>
        <w:tc>
          <w:tcPr>
            <w:tcW w:w="5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127,350,561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Activity January 1, 2011 to June 30, 2011:</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Common membership interest activity in connection with:</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Exchanges for Class A common stock</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728,385</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(728,385)</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1060"/>
              <w:spacing w:after="0"/>
              <w:rPr>
                <w:sz w:val="20"/>
                <w:szCs w:val="20"/>
                <w:color w:val="auto"/>
              </w:rPr>
            </w:pPr>
            <w:r>
              <w:rPr>
                <w:rFonts w:ascii="Arial" w:cs="Arial" w:eastAsia="Arial" w:hAnsi="Arial"/>
                <w:sz w:val="18"/>
                <w:szCs w:val="18"/>
                <w:color w:val="auto"/>
              </w:rPr>
              <w:t>LAZ-MD Holdings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(19,032)</w:t>
            </w: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(19,032)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120,426,321</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6,905,208</w:t>
            </w:r>
          </w:p>
        </w:tc>
        <w:tc>
          <w:tcPr>
            <w:tcW w:w="5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127,331,529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20" w:type="dxa"/>
            <w:vAlign w:val="bottom"/>
          </w:tcPr>
          <w:p>
            <w:pPr>
              <w:jc w:val="right"/>
              <w:ind w:right="118"/>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change in Lazard Ltd’s ownership in Lazard Group in the six month periods ended June 30, 2011 and 2010 did not materially impact Lazard Ltd’s stockholders’ equity.</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tables below summarize net income (loss) attributable to noncontrolling interests for the three month and six month periods ended June 30, 2011 and 2010 and noncontrolling interests as of June 30, 2011 and December 31, 2010 in the Company’s 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7"/>
          </w:tcPr>
          <w:p>
            <w:pPr>
              <w:jc w:val="center"/>
              <w:ind w:right="22"/>
              <w:spacing w:after="0"/>
              <w:rPr>
                <w:sz w:val="20"/>
                <w:szCs w:val="20"/>
                <w:color w:val="auto"/>
              </w:rPr>
            </w:pPr>
            <w:r>
              <w:rPr>
                <w:rFonts w:ascii="Arial" w:cs="Arial" w:eastAsia="Arial" w:hAnsi="Arial"/>
                <w:sz w:val="14"/>
                <w:szCs w:val="14"/>
                <w:b w:val="1"/>
                <w:bCs w:val="1"/>
                <w:color w:val="auto"/>
                <w:w w:val="88"/>
              </w:rPr>
              <w:t>Net Income (Loss) Attributable To</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center"/>
              <w:ind w:right="302"/>
              <w:spacing w:after="0"/>
              <w:rPr>
                <w:sz w:val="20"/>
                <w:szCs w:val="20"/>
                <w:color w:val="auto"/>
              </w:rPr>
            </w:pPr>
            <w:r>
              <w:rPr>
                <w:rFonts w:ascii="Arial" w:cs="Arial" w:eastAsia="Arial" w:hAnsi="Arial"/>
                <w:sz w:val="14"/>
                <w:szCs w:val="14"/>
                <w:b w:val="1"/>
                <w:bCs w:val="1"/>
                <w:color w:val="auto"/>
                <w:w w:val="86"/>
              </w:rPr>
              <w:t>Noncontrolling Interests</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1940" w:type="dxa"/>
            <w:vAlign w:val="bottom"/>
            <w:gridSpan w:val="6"/>
          </w:tcPr>
          <w:p>
            <w:pPr>
              <w:ind w:left="140"/>
              <w:spacing w:after="0" w:line="129" w:lineRule="exact"/>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5"/>
          </w:tcPr>
          <w:p>
            <w:pPr>
              <w:jc w:val="right"/>
              <w:ind w:right="172"/>
              <w:spacing w:after="0" w:line="129" w:lineRule="exact"/>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940" w:type="dxa"/>
            <w:vAlign w:val="bottom"/>
            <w:gridSpan w:val="6"/>
          </w:tcPr>
          <w:p>
            <w:pPr>
              <w:ind w:left="520"/>
              <w:spacing w:after="0"/>
              <w:rPr>
                <w:sz w:val="20"/>
                <w:szCs w:val="20"/>
                <w:color w:val="auto"/>
              </w:rPr>
            </w:pPr>
            <w:r>
              <w:rPr>
                <w:rFonts w:ascii="Arial" w:cs="Arial" w:eastAsia="Arial" w:hAnsi="Arial"/>
                <w:sz w:val="14"/>
                <w:szCs w:val="14"/>
                <w:b w:val="1"/>
                <w:bCs w:val="1"/>
                <w:color w:val="auto"/>
              </w:rPr>
              <w:t>June 30,</w:t>
            </w:r>
          </w:p>
        </w:tc>
        <w:tc>
          <w:tcPr>
            <w:tcW w:w="16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580" w:type="dxa"/>
            <w:vAlign w:val="bottom"/>
            <w:tcBorders>
              <w:top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$ 4,012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$ 8,476</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$ 7,746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Edgewater</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5,882</w:t>
            </w:r>
          </w:p>
        </w:tc>
        <w:tc>
          <w:tcPr>
            <w:tcW w:w="1260" w:type="dxa"/>
            <w:vAlign w:val="bottom"/>
            <w:gridSpan w:val="4"/>
          </w:tcPr>
          <w:p>
            <w:pPr>
              <w:jc w:val="right"/>
              <w:ind w:right="420"/>
              <w:spacing w:after="0"/>
              <w:rPr>
                <w:sz w:val="20"/>
                <w:szCs w:val="20"/>
                <w:color w:val="auto"/>
              </w:rPr>
            </w:pPr>
            <w:r>
              <w:rPr>
                <w:rFonts w:ascii="Arial" w:cs="Arial" w:eastAsia="Arial" w:hAnsi="Arial"/>
                <w:sz w:val="18"/>
                <w:szCs w:val="18"/>
                <w:color w:val="auto"/>
              </w:rPr>
              <w:t>1,270</w:t>
            </w:r>
          </w:p>
        </w:tc>
        <w:tc>
          <w:tcPr>
            <w:tcW w:w="580" w:type="dxa"/>
            <w:vAlign w:val="bottom"/>
          </w:tcPr>
          <w:p>
            <w:pPr>
              <w:jc w:val="right"/>
              <w:spacing w:after="0"/>
              <w:rPr>
                <w:sz w:val="20"/>
                <w:szCs w:val="20"/>
                <w:color w:val="auto"/>
              </w:rPr>
            </w:pPr>
            <w:r>
              <w:rPr>
                <w:rFonts w:ascii="Arial" w:cs="Arial" w:eastAsia="Arial" w:hAnsi="Arial"/>
                <w:sz w:val="18"/>
                <w:szCs w:val="18"/>
                <w:color w:val="auto"/>
              </w:rPr>
              <w:t>6,905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2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(598)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1260" w:type="dxa"/>
            <w:vAlign w:val="bottom"/>
            <w:gridSpan w:val="4"/>
          </w:tcPr>
          <w:p>
            <w:pPr>
              <w:jc w:val="right"/>
              <w:ind w:right="360"/>
              <w:spacing w:after="0"/>
              <w:rPr>
                <w:sz w:val="20"/>
                <w:szCs w:val="20"/>
                <w:color w:val="auto"/>
              </w:rPr>
            </w:pPr>
            <w:r>
              <w:rPr>
                <w:rFonts w:ascii="Arial" w:cs="Arial" w:eastAsia="Arial" w:hAnsi="Arial"/>
                <w:sz w:val="18"/>
                <w:szCs w:val="18"/>
                <w:color w:val="auto"/>
              </w:rPr>
              <w:t>(192)</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$ 9,562</w:t>
            </w:r>
          </w:p>
        </w:tc>
        <w:tc>
          <w:tcPr>
            <w:tcW w:w="12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$ 8,956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14,538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$ 1,596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5"/>
          </w:tcPr>
          <w:p>
            <w:pPr>
              <w:jc w:val="center"/>
              <w:ind w:left="386"/>
              <w:spacing w:after="0"/>
              <w:rPr>
                <w:sz w:val="20"/>
                <w:szCs w:val="20"/>
                <w:color w:val="auto"/>
              </w:rPr>
            </w:pPr>
            <w:r>
              <w:rPr>
                <w:rFonts w:ascii="Arial" w:cs="Arial" w:eastAsia="Arial" w:hAnsi="Arial"/>
                <w:sz w:val="14"/>
                <w:szCs w:val="14"/>
                <w:b w:val="1"/>
                <w:bCs w:val="1"/>
                <w:color w:val="auto"/>
                <w:w w:val="86"/>
              </w:rPr>
              <w:t>Noncontrolling Interests</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442"/>
              <w:spacing w:after="0"/>
              <w:rPr>
                <w:sz w:val="20"/>
                <w:szCs w:val="20"/>
                <w:color w:val="auto"/>
              </w:rPr>
            </w:pPr>
            <w:r>
              <w:rPr>
                <w:rFonts w:ascii="Arial" w:cs="Arial" w:eastAsia="Arial" w:hAnsi="Arial"/>
                <w:sz w:val="14"/>
                <w:szCs w:val="14"/>
                <w:b w:val="1"/>
                <w:bCs w:val="1"/>
                <w:color w:val="auto"/>
                <w:w w:val="90"/>
              </w:rPr>
              <w:t>As Of</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w w:val="99"/>
              </w:rPr>
              <w:t>June 30,</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14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LAZ-MD Holdings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$ 23,803</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22,167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Edgewater</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115,808</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111,289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1,930</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147,276</w:t>
            </w:r>
          </w:p>
        </w:tc>
        <w:tc>
          <w:tcPr>
            <w:tcW w:w="4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143,719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i w:val="1"/>
          <w:iCs w:val="1"/>
          <w:color w:val="auto"/>
        </w:rPr>
        <w:t>Dividend Declared, July 2011</w:t>
      </w:r>
      <w:r>
        <w:rPr>
          <w:rFonts w:ascii="Arial" w:cs="Arial" w:eastAsia="Arial" w:hAnsi="Arial"/>
          <w:sz w:val="18"/>
          <w:szCs w:val="18"/>
          <w:b w:val="1"/>
          <w:bCs w:val="1"/>
          <w:color w:val="auto"/>
        </w:rPr>
        <w:t>—</w:t>
      </w:r>
      <w:r>
        <w:rPr>
          <w:rFonts w:ascii="Arial" w:cs="Arial" w:eastAsia="Arial" w:hAnsi="Arial"/>
          <w:sz w:val="18"/>
          <w:szCs w:val="18"/>
          <w:color w:val="auto"/>
        </w:rPr>
        <w:t>On July 27, 2011, the Board of Directors of Lazard Ltd declared a quarterly dividend of $0.16 per share on its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payable on August 26, 2011, to stockholders of record on August 8, 2011.</w:t>
      </w:r>
    </w:p>
    <w:p>
      <w:pPr>
        <w:spacing w:after="0" w:line="1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13.</w:t>
      </w:r>
      <w:r>
        <w:rPr>
          <w:sz w:val="20"/>
          <w:szCs w:val="20"/>
          <w:color w:val="auto"/>
        </w:rPr>
        <w:tab/>
      </w:r>
      <w:r>
        <w:rPr>
          <w:rFonts w:ascii="Arial" w:cs="Arial" w:eastAsia="Arial" w:hAnsi="Arial"/>
          <w:sz w:val="16"/>
          <w:szCs w:val="16"/>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2011 and 2010,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shares available under the 2005 Plan, additional shares of Class A common stock are available under the 2008 Plan.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and, for purposes of calculating diluted net income per share, are included in the diluted weighted average shares of Class A common stock outstanding using the treasury stock method. Expense relating to RSUs was as follows within the Company’s condensed consolidated statements of operations: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116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June 30,</w:t>
            </w:r>
          </w:p>
        </w:tc>
        <w:tc>
          <w:tcPr>
            <w:tcW w:w="18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223"/>
        </w:trPr>
        <w:tc>
          <w:tcPr>
            <w:tcW w:w="116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020" w:type="dxa"/>
            <w:vAlign w:val="bottom"/>
            <w:tcBorders>
              <w:top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9"/>
              </w:rPr>
              <w:t>2010</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r>
      <w:tr>
        <w:trPr>
          <w:trHeight w:val="210"/>
        </w:trPr>
        <w:tc>
          <w:tcPr>
            <w:tcW w:w="7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Compensation and benefits (*)</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$57,552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$50,530</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$142,410</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$154,343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58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r>
      <w:tr>
        <w:trPr>
          <w:trHeight w:val="216"/>
        </w:trPr>
        <w:tc>
          <w:tcPr>
            <w:tcW w:w="7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57,552</w:t>
            </w:r>
          </w:p>
        </w:tc>
        <w:tc>
          <w:tcPr>
            <w:tcW w:w="144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50,530</w:t>
            </w:r>
          </w:p>
        </w:tc>
        <w:tc>
          <w:tcPr>
            <w:tcW w:w="11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201,223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during the six month period ended June 30, 2010, $24,860 relating to the January 2010 amendment of the Company’s retirement policy (described below).</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2011 and 2010, issuances of RSUs pertaining to such dividend participation rights and respective charges to “retained earnings”, net of estimated forfeitures (with corresponding credits to “additional paid-in-capital”),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956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84"/>
              </w:rPr>
              <w:t>June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95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210"/>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RSUs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163,146</w:t>
            </w:r>
          </w:p>
        </w:tc>
        <w:tc>
          <w:tcPr>
            <w:tcW w:w="120" w:type="dxa"/>
            <w:vAlign w:val="bottom"/>
            <w:shd w:val="clear" w:color="auto" w:fill="CCEEFF"/>
          </w:tcPr>
          <w:p>
            <w:pPr>
              <w:spacing w:after="0"/>
              <w:rPr>
                <w:sz w:val="18"/>
                <w:szCs w:val="18"/>
                <w:color w:val="auto"/>
              </w:rPr>
            </w:pPr>
          </w:p>
        </w:tc>
      </w:tr>
      <w:tr>
        <w:trPr>
          <w:trHeight w:val="222"/>
        </w:trPr>
        <w:tc>
          <w:tcPr>
            <w:tcW w:w="9560" w:type="dxa"/>
            <w:vAlign w:val="bottom"/>
          </w:tcPr>
          <w:p>
            <w:pPr>
              <w:spacing w:after="0"/>
              <w:rPr>
                <w:sz w:val="20"/>
                <w:szCs w:val="20"/>
                <w:color w:val="auto"/>
              </w:rPr>
            </w:pPr>
            <w:r>
              <w:rPr>
                <w:rFonts w:ascii="Arial" w:cs="Arial" w:eastAsia="Arial" w:hAnsi="Arial"/>
                <w:sz w:val="18"/>
                <w:szCs w:val="18"/>
                <w:color w:val="auto"/>
              </w:rPr>
              <w:t>Charges to retained earnings, net of estimated forfeitures</w:t>
            </w:r>
          </w:p>
        </w:tc>
        <w:tc>
          <w:tcPr>
            <w:tcW w:w="720" w:type="dxa"/>
            <w:vAlign w:val="bottom"/>
          </w:tcPr>
          <w:p>
            <w:pPr>
              <w:jc w:val="right"/>
              <w:spacing w:after="0"/>
              <w:rPr>
                <w:sz w:val="20"/>
                <w:szCs w:val="20"/>
                <w:color w:val="auto"/>
              </w:rPr>
            </w:pPr>
            <w:r>
              <w:rPr>
                <w:rFonts w:ascii="Arial" w:cs="Arial" w:eastAsia="Arial" w:hAnsi="Arial"/>
                <w:sz w:val="18"/>
                <w:szCs w:val="18"/>
                <w:color w:val="auto"/>
              </w:rPr>
              <w:t>$5,337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$4,732</w:t>
            </w:r>
          </w:p>
        </w:tc>
        <w:tc>
          <w:tcPr>
            <w:tcW w:w="120" w:type="dxa"/>
            <w:vAlign w:val="bottom"/>
          </w:tcPr>
          <w:p>
            <w:pPr>
              <w:spacing w:after="0"/>
              <w:rPr>
                <w:sz w:val="19"/>
                <w:szCs w:val="19"/>
                <w:color w:val="auto"/>
              </w:rPr>
            </w:pPr>
          </w:p>
        </w:tc>
      </w:tr>
    </w:tbl>
    <w:p>
      <w:pPr>
        <w:spacing w:after="0" w:line="13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three month period ended March 31, 2010 relating to prior years’ awards.</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Non-Executive members of the Board of Directors receive approximately 55% of their annual compensation for service on the Board of Directors and its committees in the form of DSUs, which resulted in 26,859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31,588 DSUs granted during the six month periods ended June 30, 2011 and 2010,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six month periods ended June 30, 2011 and 2010.</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2011 and 2010, 2,942 and 4,120 DSUs, respectively, had been granted pursuant to such Plan.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DSU awards are expensed at their fair value on their date of grant, which, inclusive of amounts related to the Directors’ Fee Deferral Unit Plan, totaled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$1,068 and $1,124 during the three month and six month periods ended June 30, 2011, respectively, and $1,039 and $1,115 during the three month and six month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periods ended June 30, 2010, respectively.</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2011 and 2010:</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ind w:left="4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Fair Value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22,108,635</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121,737</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Granted (including 140,613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6,309,310</w:t>
            </w:r>
          </w:p>
        </w:tc>
        <w:tc>
          <w:tcPr>
            <w:tcW w:w="4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44.93</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29,801</w:t>
            </w: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(223,365)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Vested/Converted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(7,616,386)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39.21</w:t>
            </w:r>
          </w:p>
        </w:tc>
        <w:tc>
          <w:tcPr>
            <w:tcW w:w="4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(16,120)</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20,578,194</w:t>
            </w: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135,418</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23,367,813</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103,146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Granted (including 163,146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6,853,747</w:t>
            </w:r>
          </w:p>
        </w:tc>
        <w:tc>
          <w:tcPr>
            <w:tcW w:w="4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35.98</w:t>
            </w: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35,708</w:t>
            </w:r>
          </w:p>
        </w:tc>
        <w:tc>
          <w:tcPr>
            <w:tcW w:w="8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(315,002)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Vested/Converted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(6,952,061)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39.88</w:t>
            </w:r>
          </w:p>
        </w:tc>
        <w:tc>
          <w:tcPr>
            <w:tcW w:w="4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(20,435)</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22,954,497</w:t>
            </w:r>
          </w:p>
        </w:tc>
        <w:tc>
          <w:tcPr>
            <w:tcW w:w="4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4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118,419</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During the six month periods ended June 30, 2011 and 2010, 7,616,386 RSUs and 6,952,061 RSUs vested, respectively. In connection with such vested RSUs, the Company satisfied certain employees’ tax obligations in lieu of issuing 2,226,829 and 1,288,331 shares of Class A common stock in the respective periods. Accordingly, 5,389,557 and 5,663,730 shares of Class A common stock held by Lazard Group were delivered during the six month periods ended June 30, 2011 and 2010,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2011, unrecognized RSU compensation expense, adjusted for estimated forfeitures, was approximately $348,000, with such unrecognized compensation expense expected to be recognized over a weighted average period of approximately 1.8 years subsequent to June 30, 2011.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related to shares of restricted Class A common stock during the six month periods ended June 30, 2011 and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2011</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 (a)</w:t>
            </w:r>
          </w:p>
        </w:tc>
        <w:tc>
          <w:tcPr>
            <w:tcW w:w="700" w:type="dxa"/>
            <w:vAlign w:val="bottom"/>
          </w:tcPr>
          <w:p>
            <w:pPr>
              <w:jc w:val="right"/>
              <w:spacing w:after="0"/>
              <w:rPr>
                <w:sz w:val="20"/>
                <w:szCs w:val="20"/>
                <w:color w:val="auto"/>
              </w:rPr>
            </w:pPr>
            <w:r>
              <w:rPr>
                <w:rFonts w:ascii="Arial" w:cs="Arial" w:eastAsia="Arial" w:hAnsi="Arial"/>
                <w:sz w:val="18"/>
                <w:szCs w:val="18"/>
                <w:color w:val="auto"/>
              </w:rPr>
              <w:t>327,238</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 (a)</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(327,238)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2"/>
          </w:tcPr>
          <w:p>
            <w:pPr>
              <w:ind w:left="1140"/>
              <w:spacing w:after="0"/>
              <w:rPr>
                <w:sz w:val="20"/>
                <w:szCs w:val="20"/>
                <w:color w:val="auto"/>
              </w:rPr>
            </w:pPr>
            <w:r>
              <w:rPr>
                <w:rFonts w:ascii="Arial" w:cs="Arial" w:eastAsia="Arial" w:hAnsi="Arial"/>
                <w:sz w:val="18"/>
                <w:szCs w:val="18"/>
                <w:color w:val="auto"/>
              </w:rPr>
              <w:t>Balance, June 30, 2011</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95,332</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54,437</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0" w:type="dxa"/>
            <w:vAlign w:val="bottom"/>
            <w:gridSpan w:val="2"/>
          </w:tcPr>
          <w:p>
            <w:pPr>
              <w:ind w:left="1140"/>
              <w:spacing w:after="0"/>
              <w:rPr>
                <w:sz w:val="20"/>
                <w:szCs w:val="20"/>
                <w:color w:val="auto"/>
              </w:rPr>
            </w:pPr>
            <w:r>
              <w:rPr>
                <w:rFonts w:ascii="Arial" w:cs="Arial" w:eastAsia="Arial" w:hAnsi="Arial"/>
                <w:sz w:val="18"/>
                <w:szCs w:val="18"/>
                <w:color w:val="auto"/>
              </w:rPr>
              <w:t>Balance, June 30, 2010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54,437</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143,816 restricted shares pertaining to an award that was accounted for as a liability award through its vesting date.</w:t>
      </w:r>
    </w:p>
    <w:p>
      <w:pPr>
        <w:spacing w:after="0" w:line="158"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During the six month period ended June 30, 2011, 327,238 shares of restricted Class A common stock vested. In connection with such vested shares of restricted Class A common stock, the Company satisfied certain employees’ tax obligations in lieu of delivering 68,866 shares of Class A common stock by Lazard Group. Accordingly, 258,372 shares of Class A common stock held by Lazard Group were delivered during the six month period ended June 30, 2011.</w:t>
      </w:r>
    </w:p>
    <w:p>
      <w:pPr>
        <w:spacing w:after="0" w:line="7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Expense relating to restricted stock awards is charged to “compensation and benefits” expense within the Company’s condensed consolidated statements of operations, and amounted to $356 and $8,999 for the three month and six month periods ended June 30, 2011, respectively, and $160 for the three month and six month periods ended June 30, 2010. The awards include a cash dividend participation right equivalent to any ordinary quarterly dividends paid on Class A common stock during the period, which will vest concurrently with the underlying restricted stock award. At June 30, 2011, unrecognized restricted stock expense was approximately $1,600, with such expense to be recognized over a weighted average period of approximately 1.2 years subsequent to June 30, 2011.</w:t>
      </w:r>
    </w:p>
    <w:p>
      <w:pPr>
        <w:spacing w:after="0" w:line="10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For purposes of calculating diluted net income per share, such awards are included in the diluted weighted average shares of Class A common stock outstanding using the “treasury stock” method.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Incentive Awards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described above, in February 2011, the Company granted to eligible employees Lazard Fund Interests, which had an aggregate fair value on the date of grant of approximately $26,000, with such aggregate fair values excluding potential forfeitures. At June 30, 2011, the aggregate fair value of such liability amounted to $25,102.</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Lazard Fund Interests granted provide for one-third vesting on March 1, 2013 and two-thirds vesting on March 3, 2014. Compensation expense with respect to the Lazard Fund Interests amounted to $2,413 and $5,054 for the three month and six month periods ended June 30, 2011, respectively, and is being recognized over the applicable vesting periods or requisite service periods, the ultimate amount of which will vary based on the then vested value of the underlying Lazard Fund Interests, with such compensation expense to be recognized over a weighted average period of approximately 2.3 years subsequent to June 30, 2011.</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14.</w:t>
      </w:r>
      <w:r>
        <w:rPr>
          <w:sz w:val="20"/>
          <w:szCs w:val="20"/>
          <w:color w:val="auto"/>
        </w:rPr>
        <w:tab/>
      </w:r>
      <w:r>
        <w:rPr>
          <w:rFonts w:ascii="Arial" w:cs="Arial" w:eastAsia="Arial" w:hAnsi="Arial"/>
          <w:sz w:val="16"/>
          <w:szCs w:val="16"/>
          <w:b w:val="1"/>
          <w:bCs w:val="1"/>
          <w:i w:val="1"/>
          <w:iCs w:val="1"/>
          <w:color w:val="auto"/>
        </w:rPr>
        <w:t>EMPLOYEE BENEFIT PLANS</w:t>
      </w:r>
    </w:p>
    <w:p>
      <w:pPr>
        <w:spacing w:after="0" w:line="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related to the Company’s employee benefit plans are included in “compensation and benefits” expense on the consolidated statements of operations.</w:t>
      </w:r>
    </w:p>
    <w:p>
      <w:pPr>
        <w:spacing w:after="0" w:line="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b w:val="1"/>
          <w:bCs w:val="1"/>
          <w:color w:val="auto"/>
        </w:rPr>
        <w:t>—</w:t>
      </w:r>
      <w:r>
        <w:rPr>
          <w:rFonts w:ascii="Arial" w:cs="Arial" w:eastAsia="Arial" w:hAnsi="Arial"/>
          <w:sz w:val="18"/>
          <w:szCs w:val="18"/>
          <w:color w:val="auto"/>
        </w:rPr>
        <w:t>In accordance with agreements reached with the Trustees of certain U.K. pension plans in 2005,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obligated to make further contributions to such pension plans based upon the cumulative performance of the plans’ assets against specific benchmarks as measured on June 1, 2009 (the “measurement date”) and subsequently remeasured on June 1, 2010 (the “remeasurement date”). As of December 31, 2009, the obligation related to the cumulative underperformance of the plans’ assets (the “underperformance obligation”) was payable in equal monthly installments through May 2013. During the year ended December 31, 2010, the Company contributed approximately $8,600 to settle the plans’ underperformance obligation in full.</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In addition, on June 30, 2009 the Company and Trustees concluded the December 31, 2007 triennial valuation of the U.K. pension plans discussed above, pursuant to which: (i) the Company agreed to contribute, in addition to amounts to cover administrative expenses under the plans, 2.3 million British pounds ($3,683 at June 30, 2011 exchange rates), during each year from 2011 to 2018 inclusive, subject to adjustment resulting from the December 31, 2010 triennial valuation, which the Company expects to have concluded prior to the contribution payment scheduled for 2011, and (ii) to secure the Company’s obligations thereunder, on July 15, 2009 the Company placed in escrow 12.5 million British pounds, with a final redemption date of December 31, 2018. This amount is subject to adjustment based on the results of the December 31, 2010 triennial valuation and subsequent triennial valuations. The aggregate escrow balance has been recorded in “cash deposited with clearing organizations and other segregated cash” and “investments”, respectively, on the accompanying condensed consolidated statements of financial condition. Income on the escrow balance accretes to the Company and is recorded in interest income.</w:t>
      </w: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six month period ended June 30, 2011, no contribution to these U.K. pension plans was required, and no contributions were required to be made to other pension plans.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the components of total benefit cost (credit) for the three month and six month periods ended June 30, 2011 and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ind w:left="280"/>
              <w:spacing w:after="0"/>
              <w:rPr>
                <w:sz w:val="20"/>
                <w:szCs w:val="20"/>
                <w:color w:val="auto"/>
              </w:rPr>
            </w:pPr>
            <w:r>
              <w:rPr>
                <w:rFonts w:ascii="Arial" w:cs="Arial" w:eastAsia="Arial" w:hAnsi="Arial"/>
                <w:sz w:val="14"/>
                <w:szCs w:val="14"/>
                <w:b w:val="1"/>
                <w:bCs w:val="1"/>
                <w:color w:val="auto"/>
              </w:rPr>
              <w:t>Post-Retirement</w:t>
            </w:r>
          </w:p>
        </w:tc>
      </w:tr>
      <w:tr>
        <w:trPr>
          <w:trHeight w:val="161"/>
        </w:trPr>
        <w:tc>
          <w:tcPr>
            <w:tcW w:w="5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85"/>
              </w:rPr>
              <w:t>Pension Plans</w:t>
            </w: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0"/>
              </w:rPr>
              <w:t>Medical Plans</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7"/>
          </w:tcPr>
          <w:p>
            <w:pPr>
              <w:spacing w:after="0" w:line="142" w:lineRule="exact"/>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7"/>
              </w:rPr>
              <w:t>7,092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6,702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w w:val="87"/>
              </w:rPr>
              <w:t>(7,644)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(7,056)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762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(435)</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445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(340)</w:t>
            </w:r>
          </w:p>
        </w:tc>
      </w:tr>
      <w:tr>
        <w:trPr>
          <w:trHeight w:val="20"/>
        </w:trPr>
        <w:tc>
          <w:tcPr>
            <w:tcW w:w="5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8"/>
        </w:trPr>
        <w:tc>
          <w:tcPr>
            <w:tcW w:w="5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ind w:left="280"/>
              <w:spacing w:after="0"/>
              <w:rPr>
                <w:sz w:val="20"/>
                <w:szCs w:val="20"/>
                <w:color w:val="auto"/>
              </w:rPr>
            </w:pPr>
            <w:r>
              <w:rPr>
                <w:rFonts w:ascii="Arial" w:cs="Arial" w:eastAsia="Arial" w:hAnsi="Arial"/>
                <w:sz w:val="14"/>
                <w:szCs w:val="14"/>
                <w:b w:val="1"/>
                <w:bCs w:val="1"/>
                <w:color w:val="auto"/>
                <w:w w:val="85"/>
              </w:rPr>
              <w:t>Post-Retirement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1"/>
        </w:trPr>
        <w:tc>
          <w:tcPr>
            <w:tcW w:w="5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Pension Plans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2"/>
              </w:rPr>
              <w:t>Medical Plans</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8"/>
          </w:tcPr>
          <w:p>
            <w:pPr>
              <w:spacing w:after="0" w:line="142" w:lineRule="exact"/>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3"/>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ind w:right="134"/>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7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13,787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320" w:type="dxa"/>
            <w:vAlign w:val="bottom"/>
            <w:gridSpan w:val="5"/>
          </w:tcPr>
          <w:p>
            <w:pPr>
              <w:jc w:val="right"/>
              <w:ind w:right="12"/>
              <w:spacing w:after="0"/>
              <w:rPr>
                <w:sz w:val="20"/>
                <w:szCs w:val="20"/>
                <w:color w:val="auto"/>
              </w:rPr>
            </w:pPr>
            <w:r>
              <w:rPr>
                <w:rFonts w:ascii="Arial" w:cs="Arial" w:eastAsia="Arial" w:hAnsi="Arial"/>
                <w:sz w:val="18"/>
                <w:szCs w:val="18"/>
                <w:color w:val="auto"/>
              </w:rPr>
              <w:t>(15,266)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color w:val="auto"/>
              </w:rPr>
              <w:t>(14,429)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1,476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(691)</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5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Net periodic benefit cost (credit)</w:t>
            </w:r>
          </w:p>
        </w:tc>
        <w:tc>
          <w:tcPr>
            <w:tcW w:w="17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1,493</w:t>
            </w:r>
          </w:p>
        </w:tc>
        <w:tc>
          <w:tcPr>
            <w:tcW w:w="36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(505)</w:t>
            </w:r>
          </w:p>
        </w:tc>
      </w:tr>
      <w:tr>
        <w:trPr>
          <w:trHeight w:val="20"/>
        </w:trPr>
        <w:tc>
          <w:tcPr>
            <w:tcW w:w="5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15.</w:t>
      </w:r>
      <w:r>
        <w:rPr>
          <w:sz w:val="20"/>
          <w:szCs w:val="20"/>
          <w:color w:val="auto"/>
        </w:rPr>
        <w:tab/>
      </w:r>
      <w:r>
        <w:rPr>
          <w:rFonts w:ascii="Arial" w:cs="Arial" w:eastAsia="Arial" w:hAnsi="Arial"/>
          <w:sz w:val="16"/>
          <w:szCs w:val="16"/>
          <w:b w:val="1"/>
          <w:bCs w:val="1"/>
          <w:i w:val="1"/>
          <w:iCs w:val="1"/>
          <w:color w:val="auto"/>
        </w:rPr>
        <w:t>RESTRUCTURING PLANS</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three month period ended March 31, 2010, the Company announced a restructuring plan which included certain staff reductions and realignments of personnel (the “2010 Restructuring Plan”). In connection with the 2010 Restructuring Plan, the Company recorded a charge in the first quarter of 2010 of $87,108, inclusive of $46,880 relating to the acceleration of RSUs (in aggregate, the “2010 Restructuring Charge”).</w:t>
      </w:r>
    </w:p>
    <w:p>
      <w:pPr>
        <w:spacing w:after="0" w:line="9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2010 Restructuring Charge primarily consisted of compensation-related expenses, including the acceleration of unrecognized expenses pertaining to RSUs previously granted to individuals who were terminated pursuant to the restructuring, severance and benefit payments and other costs. As of June 30, 2011 and December 31, 2010, the remaining liability associated with the 2010 Restructuring Plan was $13,145 and $21,381, respectively. In the first quarter of 2009 the Company also announced a restructuring plan (the “2009 Restructuring Plan”). As of June 30, 2011 and December 31, 2010, the remaining liability associated with the 2009 Restructuring Plan was $5,128 and $5,427, respectively. During the six month period ended June 30, 2011, other than cash payments of $8,236 and $299 for the 2010 Restructuring Plan and the 2009 Restructuring Plan, respectively, there were no adjustments to the amounts relating to the 2010 and 2009 Restructuring Plans. Liabilities relating to the 2010 and 2009 Restructuring Plans are reported within “accrued compensation and benefits” and “other liabilities” on the accompanying condensed consolidated statements of financial condition.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16.</w:t>
      </w:r>
      <w:r>
        <w:rPr>
          <w:sz w:val="20"/>
          <w:szCs w:val="20"/>
          <w:color w:val="auto"/>
        </w:rPr>
        <w:tab/>
      </w:r>
      <w:r>
        <w:rPr>
          <w:rFonts w:ascii="Arial" w:cs="Arial" w:eastAsia="Arial" w:hAnsi="Arial"/>
          <w:sz w:val="16"/>
          <w:szCs w:val="16"/>
          <w:b w:val="1"/>
          <w:bCs w:val="1"/>
          <w:i w:val="1"/>
          <w:iCs w:val="1"/>
          <w:color w:val="auto"/>
        </w:rPr>
        <w:t>INCOME TAXES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Ltd is subject to U.S. federal income taxes on its portion of Lazard Group’s operating income. 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the partners. In addition, Lazard Group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recorded income tax provisions of $17,636 and $31,099 for the three month and six month periods ended June 30, 2011, respectively, and $13,523 and $19,936 for the three month and six month periods ended June 30, 2010, respectively, representing effective tax rates of 19.8%, 19.1%, 20.2% and 61.2%, respectively. The difference between the U.S. federal statutory rate of 35.0% and the effective tax rates described above principally relates to (i) Lazard Group primarily operating as a limited liability company in the U.S., (ii) foreign source income (loss) not subject to U.S. income taxes, (iii) Lazard Group’s income from U.S. operations attributable to noncontrolling interests, (iv) valuation allowance changes affecting the provision for income taxes and (v) U.S. state and local taxes (primarily UBT), which are incremental to the U.S. federal statutory tax rate.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Lazard’s foreign operations are conducted in “pass-through” entities for U.S. income tax purposes and the Company provides for U.S. income taxes on a current basis for substantially all of those earnings. The repatriation of prior earnings attributable to “non-pass-through” entities would not result in the recognition of a material amount of additional U.S. income taxes.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redemption of historical partner interests in connection with the Company’s separation and recapitalization that occurred in May 2005 and subsequent exchanges of LAZ-MD Holdings exchangeable interests for shares of Class A common stock have resulted, and future exchanges of LAZ-MD Holdings exchangeable interests for shares of Class A common stock may result, in increases in the tax basis of the tangible and/or intangible assets of Lazard Group. The tax receivable agreement dated as of May 10, 2005 with LFCM Holdings requires the Company to pay LFCM Holdings 85% of the cash savings, if any, in U.S. federal, state and local income tax or franchise tax that the Company actually realizes as a result of the above-mentioned increases in tax basis. The Company calculates this provision annually and includes such amounts in operating expenses on its consolidated statements of operations once the results of operations for the full year are known. As a result, there is no provision for such payments in the six month periods ended June 30, 2011 and 2010. If any provision is required pursuant to the tax receivable agreement, such amount would be fully offset by a reduction in the Company’s income tax expense.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17.</w:t>
      </w:r>
      <w:r>
        <w:rPr>
          <w:sz w:val="20"/>
          <w:szCs w:val="20"/>
          <w:color w:val="auto"/>
        </w:rPr>
        <w:tab/>
      </w:r>
      <w:r>
        <w:rPr>
          <w:rFonts w:ascii="Arial" w:cs="Arial" w:eastAsia="Arial" w:hAnsi="Arial"/>
          <w:sz w:val="16"/>
          <w:szCs w:val="16"/>
          <w:b w:val="1"/>
          <w:bCs w:val="1"/>
          <w:i w:val="1"/>
          <w:iCs w:val="1"/>
          <w:color w:val="auto"/>
        </w:rPr>
        <w:t>NET INCOME PER SHARE OF CLASS A COMMON STOCK</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Company’s basic and diluted net income per share calculations for the three month and six month periods ended June 30, 2011 and 2010 are computed as described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Basic Net Income Per Share</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Numerator</w:t>
      </w:r>
      <w:r>
        <w:rPr>
          <w:rFonts w:ascii="Arial" w:cs="Arial" w:eastAsia="Arial" w:hAnsi="Arial"/>
          <w:sz w:val="18"/>
          <w:szCs w:val="18"/>
          <w:color w:val="auto"/>
        </w:rPr>
        <w:t>—utilizes net income attributable to Lazard Ltd for the respective periods, plus applicable adjustments to such net income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of shares of Class A common stock issuable on a non-contingent basis.</w:t>
      </w:r>
    </w:p>
    <w:p>
      <w:pPr>
        <w:spacing w:after="0" w:line="118"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i w:val="1"/>
          <w:iCs w:val="1"/>
          <w:color w:val="auto"/>
        </w:rPr>
        <w:t>Denominator</w:t>
      </w:r>
      <w:r>
        <w:rPr>
          <w:rFonts w:ascii="Arial" w:cs="Arial" w:eastAsia="Arial" w:hAnsi="Arial"/>
          <w:sz w:val="16"/>
          <w:szCs w:val="16"/>
          <w:color w:val="auto"/>
        </w:rPr>
        <w:t>—utilizes the weighted average number of shares of Class A common stock outstanding for the respective periods, plus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to such shares associated with shares of Class A common stock issuable on a non-contingent basis.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Diluted Net Income Per Share</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Numerator</w:t>
      </w:r>
      <w:r>
        <w:rPr>
          <w:rFonts w:ascii="Arial" w:cs="Arial" w:eastAsia="Arial" w:hAnsi="Arial"/>
          <w:sz w:val="16"/>
          <w:szCs w:val="16"/>
          <w:color w:val="auto"/>
        </w:rPr>
        <w:t>—utilizes net income attributable to Lazard Ltd for the respective periods as in the basic net income per share calculation described above, plus,</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applicable and dilutive, (i) interest expense on convertible debt, (ii) changes in net income attributable to noncontrolling interests resulting from assumed Class A common stock issuances in connection with share-based incentive compensation, convertible debt and convertible preferred stock and, on an “as-if-exchanged” basis, amounts applicable to LAZ-MD Holdings exchangeable interests and (iii) income tax related to (i) and (ii) above.</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Denominator</w:t>
      </w:r>
      <w:r>
        <w:rPr>
          <w:rFonts w:ascii="Arial" w:cs="Arial" w:eastAsia="Arial" w:hAnsi="Arial"/>
          <w:sz w:val="18"/>
          <w:szCs w:val="18"/>
          <w:color w:val="auto"/>
        </w:rPr>
        <w:t>—utilizes the weighted average number of shares of Class A common stock outstanding for the respective periods as in the basic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calculation described above, plus, to the extent dilutive, the incremental number of shares of Class A common stock to settle share-based incentive compensation, convertible debt, convertible preferred stock and LAZ-MD Holdings exchangeable interests, using the “treasury stock” method, the “if converted” method or the “as-if-exchanged” basis, as applicable.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calculations of the Company’s basic and diluted net income per share and weighted average shares outstanding for the three month and six month periods ended June 30, 2011 and 2010 are presented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24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4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2011</w:t>
            </w:r>
          </w:p>
        </w:tc>
        <w:tc>
          <w:tcPr>
            <w:tcW w:w="124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040" w:type="dxa"/>
            <w:vAlign w:val="bottom"/>
            <w:tcBorders>
              <w:top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2011</w:t>
            </w:r>
          </w:p>
        </w:tc>
        <w:tc>
          <w:tcPr>
            <w:tcW w:w="1260" w:type="dxa"/>
            <w:vAlign w:val="bottom"/>
            <w:tcBorders>
              <w:top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Lazard Ltd</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$62,004</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$117,011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5"/>
              </w:rPr>
              <w:t>Add (deduct) - adjustment associated with Class A common stock issuable on a non-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contingent basis</w:t>
            </w: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(deduct)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Adjustments to income relating to interest expense and changes in net income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attributable to noncontrolling interests resulting from assumed Class A common</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issuances in connection with share-based incentive compensation,</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convertible debt, convertible preferred stock and exchangeable interests, net of</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22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Lazard Ltd - diluted</w:t>
            </w: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$66,756</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$126,284</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6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of Class A common stock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115,326,051</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100,608,379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113,503,750</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93,717,395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0"/>
              </w:rPr>
              <w:t>Add - adjustment for shares of Class A common stock issuable on a non-contingent basis</w:t>
            </w:r>
          </w:p>
        </w:tc>
        <w:tc>
          <w:tcPr>
            <w:tcW w:w="1040" w:type="dxa"/>
            <w:vAlign w:val="bottom"/>
          </w:tcPr>
          <w:p>
            <w:pPr>
              <w:jc w:val="right"/>
              <w:spacing w:after="0"/>
              <w:rPr>
                <w:sz w:val="20"/>
                <w:szCs w:val="20"/>
                <w:color w:val="auto"/>
              </w:rPr>
            </w:pPr>
            <w:r>
              <w:rPr>
                <w:rFonts w:ascii="Arial" w:cs="Arial" w:eastAsia="Arial" w:hAnsi="Arial"/>
                <w:sz w:val="18"/>
                <w:szCs w:val="18"/>
                <w:color w:val="auto"/>
              </w:rPr>
              <w:t>3,781,335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2,918,635</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3,717,320</w:t>
            </w:r>
          </w:p>
        </w:tc>
        <w:tc>
          <w:tcPr>
            <w:tcW w:w="2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2,914,181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of Class A common stock outstanding - basic</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119,107,386</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103,527,014</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117,221,070</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96,631,576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dilutive effect, as applicable, of:</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Weighted average number of incremental shares of Class A common stock issuable</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0"/>
              </w:rPr>
              <w:t>from share-based incentive compensation, convertible debt, convertible preferred</w:t>
            </w:r>
          </w:p>
        </w:tc>
        <w:tc>
          <w:tcPr>
            <w:tcW w:w="104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36,417,296</w:t>
            </w:r>
          </w:p>
        </w:tc>
        <w:tc>
          <w:tcPr>
            <w:tcW w:w="200" w:type="dxa"/>
            <w:vAlign w:val="bottom"/>
            <w:vMerge w:val="restart"/>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12,364,261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 and exchangeable interests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20,240,547</w:t>
            </w: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21,748,193</w:t>
            </w:r>
          </w:p>
        </w:tc>
        <w:tc>
          <w:tcPr>
            <w:tcW w:w="220" w:type="dxa"/>
            <w:vAlign w:val="bottom"/>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w w:val="97"/>
              </w:rPr>
              <w:t>Weighted average number of shares of Class A common stock outstanding - diluted</w:t>
            </w:r>
          </w:p>
        </w:tc>
        <w:tc>
          <w:tcPr>
            <w:tcW w:w="1040" w:type="dxa"/>
            <w:vAlign w:val="bottom"/>
          </w:tcPr>
          <w:p>
            <w:pPr>
              <w:jc w:val="right"/>
              <w:spacing w:after="0"/>
              <w:rPr>
                <w:sz w:val="20"/>
                <w:szCs w:val="20"/>
                <w:color w:val="auto"/>
              </w:rPr>
            </w:pPr>
            <w:r>
              <w:rPr>
                <w:rFonts w:ascii="Arial" w:cs="Arial" w:eastAsia="Arial" w:hAnsi="Arial"/>
                <w:sz w:val="18"/>
                <w:szCs w:val="18"/>
                <w:color w:val="auto"/>
              </w:rPr>
              <w:t>139,347,933</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139,944,310</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138,969,263</w:t>
            </w:r>
          </w:p>
        </w:tc>
        <w:tc>
          <w:tcPr>
            <w:tcW w:w="2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108,995,837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Lazard Ltd per share of Class A common stock:</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spacing w:after="0"/>
              <w:rPr>
                <w:sz w:val="20"/>
                <w:szCs w:val="20"/>
                <w:color w:val="auto"/>
              </w:rPr>
            </w:pPr>
            <w:r>
              <w:rPr>
                <w:rFonts w:ascii="Arial" w:cs="Arial" w:eastAsia="Arial" w:hAnsi="Arial"/>
                <w:sz w:val="18"/>
                <w:szCs w:val="18"/>
                <w:color w:val="auto"/>
              </w:rPr>
              <w:t>$0.52</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$0.43</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612"/>
              <w:spacing w:after="0"/>
              <w:rPr>
                <w:sz w:val="20"/>
                <w:szCs w:val="20"/>
                <w:color w:val="auto"/>
              </w:rPr>
            </w:pPr>
            <w:r>
              <w:rPr>
                <w:rFonts w:ascii="Arial" w:cs="Arial" w:eastAsia="Arial" w:hAnsi="Arial"/>
                <w:sz w:val="18"/>
                <w:szCs w:val="18"/>
                <w:color w:val="auto"/>
              </w:rPr>
              <w:t>34</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5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18.</w:t>
      </w:r>
      <w:r>
        <w:rPr>
          <w:sz w:val="20"/>
          <w:szCs w:val="20"/>
          <w:color w:val="auto"/>
        </w:rPr>
        <w:tab/>
      </w:r>
      <w:r>
        <w:rPr>
          <w:rFonts w:ascii="Arial" w:cs="Arial" w:eastAsia="Arial" w:hAnsi="Arial"/>
          <w:sz w:val="16"/>
          <w:szCs w:val="16"/>
          <w:b w:val="1"/>
          <w:bCs w:val="1"/>
          <w:i w:val="1"/>
          <w:iCs w:val="1"/>
          <w:color w:val="auto"/>
        </w:rPr>
        <w:t>RELATED PARTIES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receivable from, and payable to, related parties as of June 30, 2011 and December 31, 2010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12,764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24,785</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13,502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24,874</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Payables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LFCM Holdings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2,479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920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3,464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LFCM Holdings</w:t>
      </w:r>
    </w:p>
    <w:p>
      <w:pPr>
        <w:spacing w:after="0" w:line="77"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the Company’s executive officers) who were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105"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2011, amounts recorded by Lazard Group relating to the administrative services agreement amounted to $578 and $1,192, respectively, and net referral fees for underwriting, private placement, M&amp;A and restructuring transactions under the business alliance agreement amounted to $6,200 and $13,147, respectively. For the three month and six month periods ended June 30, 2010, amounts recorded by Lazard Group relating to the administrative services agreement amounted to $513 and $1,059, respectively, and net referral fees for underwriting, private placement, M&amp;A and restructuring transactions under the business alliance agreement amounted to $3,384 and $6,729,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Receivables from LFCM Holdings and its subsidiaries as of June 30, 2011 and December 31, 2010 primarily include $1,616 and $12,775, respectively, related to administrative and support services and reimbursement of expenses incurred on behalf of LFCM Holdings, and $10,397 and $11,413, respectively, related to referral fees for underwriting and private placement transactions. Payables to LFCM Holdings and its subsidiaries at June 30, 2011 and December 31, 2010 relate primarily to obligations pursuant to the tax receivable agreement of $2,361 (see Note 16 of Notes to Condensed Consolidated Financial Statements) and $118 and $458, respectively, principally relating to referral fees for Financial Advisory transactions.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LAZ-MD Holdings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 June 30, 2011, such charges amounted to $187 and $375, respectively. For the three month and six month periods ended June 30, 2010, such charges amounted to $187 and $375, respectively.</w:t>
      </w:r>
    </w:p>
    <w:p>
      <w:pPr>
        <w:spacing w:after="0" w:line="1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19.</w:t>
      </w:r>
      <w:r>
        <w:rPr>
          <w:sz w:val="20"/>
          <w:szCs w:val="20"/>
          <w:color w:val="auto"/>
        </w:rPr>
        <w:tab/>
      </w:r>
      <w:r>
        <w:rPr>
          <w:rFonts w:ascii="Arial" w:cs="Arial" w:eastAsia="Arial" w:hAnsi="Arial"/>
          <w:sz w:val="16"/>
          <w:szCs w:val="16"/>
          <w:b w:val="1"/>
          <w:bCs w:val="1"/>
          <w:i w:val="1"/>
          <w:iCs w:val="1"/>
          <w:color w:val="auto"/>
        </w:rPr>
        <w:t>REGULATORY AUTHORITIES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LFNY is a U.S. registered broker-dealer and is subject to the net capital requirements of Rule 15c3-1 under the Securities Exchange Act of 1934.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June 30, 2011, LFNY’s regulatory net capital was $142,556, which exceeded the minimum requirement by $135,750.</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June 30, 2011, the aggregate regulatory net capital of the U.K. Subsidiaries was $128,624, which exceeded the minimum requirement by $83,099.</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2011, the consolidated regulatory net capital of CFLF was $196,350, which exceeded the minimum requirement set for regulatory capital levels by $90,589.</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2011, for those subsidiaries with regulatory capital requirements, their aggregate net capital was $80,680, which exceeded the minimum required capital by $55,686.</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2011, each of these subsidiaries individually was in compliance with its regulatory capital requirements.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Lazard Ltd has been subject to supervision by the SEC as a Supervised Investment Bank Holding Company (“SIBHC”). As a SIBHC, Lazard Ltd was subject to group-wide supervision, which required it to compute allowable capital and risk allowances on a consolidated basis. However, pursuant to Section 617 of the Dodd-Frank Wall Street Reform and Consumer Protection Act (the “Dodd-Frank Act”), the SEC’s SIBHC program was eliminated on July 21, 2011. Pursuant to relevant rules in Europe, Lazard Ltd is required to be supervised by another regulatory body, either in the U.S. or Europe. The Dodd-Frank Act allows certain securities holding companies seeking consolidated supervision, including Lazard Ltd, to elect to be supervised by the Board of Governors of the Federal Reserve. Lazard Ltd anticipates that the Board of Governors of the Federal Reserve will adopt regulations pursuant to Section 618 of the Dodd-Frank Act in the near future for companies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that seek to come under their consolidated supervision. Once we understand the final scope of such regulations, Lazard Ltd will determine whether it will elect to comply with such regulations and register to come under the consolidated supervision of the Federal Reserve. Until such regulations are adopted, however, we cannot determine the full impact of such regulations on us. The Dodd-Frank Act and the rules and regulations that may be adopted thereunder (including regulations that have not yet been proposed) could have other effects on us. We continue to monitor the process as such rules are proposed and adopted.</w:t>
      </w:r>
    </w:p>
    <w:p>
      <w:pPr>
        <w:spacing w:after="0" w:line="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i w:val="1"/>
          <w:iCs w:val="1"/>
          <w:color w:val="auto"/>
        </w:rPr>
        <w:t>20.</w:t>
      </w:r>
      <w:r>
        <w:rPr>
          <w:sz w:val="20"/>
          <w:szCs w:val="20"/>
          <w:color w:val="auto"/>
        </w:rPr>
        <w:tab/>
      </w:r>
      <w:r>
        <w:rPr>
          <w:rFonts w:ascii="Arial" w:cs="Arial" w:eastAsia="Arial" w:hAnsi="Arial"/>
          <w:sz w:val="16"/>
          <w:szCs w:val="16"/>
          <w:b w:val="1"/>
          <w:bCs w:val="1"/>
          <w:i w:val="1"/>
          <w:iCs w:val="1"/>
          <w:color w:val="auto"/>
        </w:rPr>
        <w:t>SEGMENT INFORMATION</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the two business segments as described in Note 1 above – Financial Advisory and Asset Management. In addition, as described in Note 1 above, the Company records selected other activities in its Corporate segment.</w:t>
      </w:r>
    </w:p>
    <w:p>
      <w:pPr>
        <w:spacing w:after="0" w:line="99"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2011 and 2010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15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60" w:type="dxa"/>
            <w:vAlign w:val="bottom"/>
            <w:gridSpan w:val="8"/>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2"/>
              </w:rPr>
              <w:t>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Advisory</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249,191</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245,973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$478,036</w:t>
            </w:r>
          </w:p>
        </w:tc>
        <w:tc>
          <w:tcPr>
            <w:tcW w:w="6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$ 514,469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214,217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213,900</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427,783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451,700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420"/>
              <w:spacing w:after="0"/>
              <w:rPr>
                <w:sz w:val="20"/>
                <w:szCs w:val="20"/>
                <w:color w:val="auto"/>
              </w:rPr>
            </w:pPr>
            <w:r>
              <w:rPr>
                <w:rFonts w:ascii="Arial" w:cs="Arial" w:eastAsia="Arial" w:hAnsi="Arial"/>
                <w:sz w:val="18"/>
                <w:szCs w:val="18"/>
                <w:color w:val="auto"/>
              </w:rPr>
              <w:t>Operating Income (a)</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34,974</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32,073</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$ 50,253</w:t>
            </w:r>
          </w:p>
        </w:tc>
        <w:tc>
          <w:tcPr>
            <w:tcW w:w="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62,769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Management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244,855</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189,414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$471,708</w:t>
            </w:r>
          </w:p>
        </w:tc>
        <w:tc>
          <w:tcPr>
            <w:tcW w:w="6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$ 377,167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160,914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136,886</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310,118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266,326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420"/>
              <w:spacing w:after="0"/>
              <w:rPr>
                <w:sz w:val="20"/>
                <w:szCs w:val="20"/>
                <w:color w:val="auto"/>
              </w:rPr>
            </w:pPr>
            <w:r>
              <w:rPr>
                <w:rFonts w:ascii="Arial" w:cs="Arial" w:eastAsia="Arial" w:hAnsi="Arial"/>
                <w:sz w:val="18"/>
                <w:szCs w:val="18"/>
                <w:color w:val="auto"/>
              </w:rPr>
              <w:t>Operating Income (a)</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83,941</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52,528</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161,590</w:t>
            </w:r>
          </w:p>
        </w:tc>
        <w:tc>
          <w:tcPr>
            <w:tcW w:w="60" w:type="dxa"/>
            <w:vAlign w:val="bottom"/>
          </w:tcPr>
          <w:p>
            <w:pPr>
              <w:spacing w:after="0"/>
              <w:rPr>
                <w:sz w:val="19"/>
                <w:szCs w:val="19"/>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$ 110,841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w w:val="92"/>
              </w:rPr>
              <w:t>(16,754)</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(16,352)</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(34,429)</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1,198</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14,766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106,650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420"/>
              <w:spacing w:after="0"/>
              <w:rPr>
                <w:sz w:val="20"/>
                <w:szCs w:val="20"/>
                <w:color w:val="auto"/>
              </w:rPr>
            </w:pPr>
            <w:r>
              <w:rPr>
                <w:rFonts w:ascii="Arial" w:cs="Arial" w:eastAsia="Arial" w:hAnsi="Arial"/>
                <w:sz w:val="18"/>
                <w:szCs w:val="18"/>
                <w:color w:val="auto"/>
              </w:rPr>
              <w:t>Operating Loss (a)</w:t>
            </w: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92"/>
              <w:spacing w:after="0"/>
              <w:rPr>
                <w:sz w:val="20"/>
                <w:szCs w:val="20"/>
                <w:color w:val="auto"/>
              </w:rPr>
            </w:pPr>
            <w:r>
              <w:rPr>
                <w:rFonts w:ascii="Arial" w:cs="Arial" w:eastAsia="Arial" w:hAnsi="Arial"/>
                <w:sz w:val="18"/>
                <w:szCs w:val="18"/>
                <w:color w:val="auto"/>
                <w:w w:val="92"/>
              </w:rPr>
              <w:t>(29,713)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(17,550)</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 (49,195)</w:t>
            </w:r>
          </w:p>
        </w:tc>
        <w:tc>
          <w:tcPr>
            <w:tcW w:w="1320" w:type="dxa"/>
            <w:vAlign w:val="bottom"/>
            <w:gridSpan w:val="5"/>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(141,040)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Net Revenue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477,292</w:t>
            </w:r>
          </w:p>
        </w:tc>
        <w:tc>
          <w:tcPr>
            <w:tcW w:w="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419,035</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$915,315</w:t>
            </w:r>
          </w:p>
        </w:tc>
        <w:tc>
          <w:tcPr>
            <w:tcW w:w="6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$ 857,246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388,090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351,984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752,667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824,676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2420"/>
              <w:spacing w:after="0"/>
              <w:rPr>
                <w:sz w:val="20"/>
                <w:szCs w:val="20"/>
                <w:color w:val="auto"/>
              </w:rPr>
            </w:pPr>
            <w:r>
              <w:rPr>
                <w:rFonts w:ascii="Arial" w:cs="Arial" w:eastAsia="Arial" w:hAnsi="Arial"/>
                <w:sz w:val="18"/>
                <w:szCs w:val="18"/>
                <w:color w:val="auto"/>
              </w:rPr>
              <w:t>Operating Income (a)</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89,202</w:t>
            </w:r>
          </w:p>
        </w:tc>
        <w:tc>
          <w:tcPr>
            <w:tcW w:w="5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67,051</w:t>
            </w:r>
          </w:p>
        </w:tc>
        <w:tc>
          <w:tcPr>
            <w:tcW w:w="1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162,648</w:t>
            </w:r>
          </w:p>
        </w:tc>
        <w:tc>
          <w:tcPr>
            <w:tcW w:w="6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1"/>
                <w:szCs w:val="11"/>
                <w:color w:val="auto"/>
              </w:rPr>
            </w:pP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52"/>
              <w:spacing w:after="0"/>
              <w:rPr>
                <w:sz w:val="20"/>
                <w:szCs w:val="20"/>
                <w:color w:val="auto"/>
              </w:rPr>
            </w:pPr>
            <w:r>
              <w:rPr>
                <w:rFonts w:ascii="Arial" w:cs="Arial" w:eastAsia="Arial" w:hAnsi="Arial"/>
                <w:sz w:val="18"/>
                <w:szCs w:val="18"/>
                <w:color w:val="auto"/>
                <w:w w:val="93"/>
              </w:rPr>
              <w:t>$  731,184</w:t>
            </w: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799,090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689,118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687,323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152"/>
              <w:spacing w:after="0"/>
              <w:rPr>
                <w:sz w:val="20"/>
                <w:szCs w:val="20"/>
                <w:color w:val="auto"/>
              </w:rPr>
            </w:pPr>
            <w:r>
              <w:rPr>
                <w:rFonts w:ascii="Arial" w:cs="Arial" w:eastAsia="Arial" w:hAnsi="Arial"/>
                <w:sz w:val="18"/>
                <w:szCs w:val="18"/>
                <w:color w:val="auto"/>
                <w:w w:val="99"/>
              </w:rPr>
              <w:t>1,660,712</w:t>
            </w:r>
          </w:p>
        </w:tc>
        <w:tc>
          <w:tcPr>
            <w:tcW w:w="60" w:type="dxa"/>
            <w:vAlign w:val="bottom"/>
          </w:tcPr>
          <w:p>
            <w:pPr>
              <w:spacing w:after="0"/>
              <w:rPr>
                <w:sz w:val="18"/>
                <w:szCs w:val="18"/>
                <w:color w:val="auto"/>
              </w:rPr>
            </w:pPr>
          </w:p>
        </w:tc>
        <w:tc>
          <w:tcPr>
            <w:tcW w:w="1320" w:type="dxa"/>
            <w:vAlign w:val="bottom"/>
            <w:gridSpan w:val="5"/>
          </w:tcPr>
          <w:p>
            <w:pPr>
              <w:jc w:val="right"/>
              <w:ind w:right="100"/>
              <w:spacing w:after="0"/>
              <w:rPr>
                <w:sz w:val="20"/>
                <w:szCs w:val="20"/>
                <w:color w:val="auto"/>
              </w:rPr>
            </w:pPr>
            <w:r>
              <w:rPr>
                <w:rFonts w:ascii="Arial" w:cs="Arial" w:eastAsia="Arial" w:hAnsi="Arial"/>
                <w:sz w:val="18"/>
                <w:szCs w:val="18"/>
                <w:color w:val="auto"/>
              </w:rPr>
              <w:t>1,936,119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4"/>
              </w:rPr>
              <w:t>$ 3,081,014</w:t>
            </w:r>
          </w:p>
        </w:tc>
        <w:tc>
          <w:tcPr>
            <w:tcW w:w="6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$ 3,422,532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1052"/>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LAZARD LTD</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per share data,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jc w:val="both"/>
        <w:ind w:left="460" w:right="460" w:hanging="452"/>
        <w:spacing w:after="0" w:line="37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Operating income (loss) for the six month period ended June 30, 2010 was significantly impacted by certain charges related to the three month period ended March 31, 2010. Such impact, including the amounts attributable to each of the Company’s business segments, is described in the table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82,340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reported above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Special item:</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(141,040)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(51,545)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Acceleration of amortization expense pertaining to the amendment of Lazard’s retirement policy with respect to RSU awards</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90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144,538</w:t>
            </w: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ind w:left="5620"/>
              <w:spacing w:after="0"/>
              <w:rPr>
                <w:sz w:val="20"/>
                <w:szCs w:val="20"/>
                <w:color w:val="auto"/>
              </w:rPr>
            </w:pPr>
            <w:r>
              <w:rPr>
                <w:rFonts w:ascii="Arial" w:cs="Arial" w:eastAsia="Arial" w:hAnsi="Arial"/>
                <w:sz w:val="18"/>
                <w:szCs w:val="18"/>
                <w:color w:val="auto"/>
              </w:rPr>
              <w:t>39</w:t>
            </w: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Ltd’s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2010 (the “Form 10-K”). All references to “2011”, “2010”, “second quarter”, “first half”, or “the period” refer to, as the context requires, the three month and six month periods ended June 30, 2011 and June 30, 2010.</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 as well as wealth management.</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may expand its scope to include placements elsewhere in Europe.</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Lazard invests or may invest its own capital usually alongside capital of qualified institutional and individual investors in alternative investments or private equity investments and, since 2005, we have engaged in a number of alternative investments and private equity activities, including private equity investments in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Corporate Partners II Limited (“CP II”) and Lazard Senior Housing Partners LP (“Senior Housing”), consistent with our obligations to LFCM Holdings LLC (“LFCM Holdings”) and through The Edgewater Funds (“Edgewater”), our Chicago-based private equity firm (see Note 8 of Notes to Condensed Consolidated Financial Statements). 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Also, consistent with our obligations to LFCM Holdings, we may explore discrete capital markets opportunities.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9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r>
        <w:trPr>
          <w:trHeight w:val="20"/>
        </w:trPr>
        <w:tc>
          <w:tcPr>
            <w:tcW w:w="6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the Company’s principal sources of revenue are derived from activities in our Financial Advisory and Asset Management business segments. As our Financial Advisory revenues are for the most part dependent on the successful completion of merger, acquisition, restructuring or similar transactions, and our Asset Management revenues are primarily driven by the levels of AUM, weak economic and global financial market conditions can result in a challenging business environment for M&amp;A and fundraising activity as well as our Asset Management business, but may provide opportunities for our restructuring business, which tends to be counter-cyclical.</w:t>
      </w:r>
    </w:p>
    <w:p>
      <w:pPr>
        <w:spacing w:after="0" w:line="10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Global market performance, capital-raising and M&amp;A activity were mixed during the first half of 2011. Overall, global equity markets at June 30, 2011 were up modestly since December 31, 2010, despite volatility during both the first and second quarters of 2011. While the announced value of M&amp;A activity increased in the second quarter of 2011 as compared to the corresponding period in 2010, M&amp;A activity slowed as compared to the first quarter of 2011 due to economic uncertainty caused by concerns over the public-finance situation in Europe and continuing high U.S. unemployment. Restructuring activity continued at low levels due to the decline in the number of corporate defaults.</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the past few years we have expanded our geographic reach and industry expertise. We believe that in this environment, companies, government bodies and investors will seek independent advice with a geographic perspective, deep understanding of capital structure, informed research and knowledge of global economic conditions, and that our business model as an independent, unconflicted adviser will continue to create opportunities for us to attract new clients and key personnel.</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For the first half of 2011, the value of global completed and announced M&amp;A transactions increased significantly, while the number of such transactions reflected no significant change as compared to the 2010 period, reflecting transactions with higher average values. During the second quarter of 2011 the value of completed and announced transactions increased as compared to the corresponding period in 2010, while the number of such transactions generally declined.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5"/>
        </w:trPr>
        <w:tc>
          <w:tcPr>
            <w:tcW w:w="37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June 30,</w:t>
            </w:r>
          </w:p>
        </w:tc>
        <w:tc>
          <w:tcPr>
            <w:tcW w:w="10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r>
      <w:tr>
        <w:trPr>
          <w:trHeight w:val="129"/>
        </w:trPr>
        <w:tc>
          <w:tcPr>
            <w:tcW w:w="3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jc w:val="right"/>
              <w:ind w:right="478"/>
              <w:spacing w:after="0" w:line="12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14"/>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4"/>
                <w:szCs w:val="14"/>
                <w:color w:val="auto"/>
              </w:rPr>
            </w:pPr>
          </w:p>
        </w:tc>
        <w:tc>
          <w:tcPr>
            <w:tcW w:w="940" w:type="dxa"/>
            <w:vAlign w:val="bottom"/>
          </w:tcPr>
          <w:p>
            <w:pPr>
              <w:jc w:val="right"/>
              <w:ind w:right="516"/>
              <w:spacing w:after="0"/>
              <w:rPr>
                <w:sz w:val="20"/>
                <w:szCs w:val="20"/>
                <w:color w:val="auto"/>
              </w:rPr>
            </w:pPr>
            <w:r>
              <w:rPr>
                <w:rFonts w:ascii="Arial" w:cs="Arial" w:eastAsia="Arial" w:hAnsi="Arial"/>
                <w:sz w:val="14"/>
                <w:szCs w:val="14"/>
                <w:b w:val="1"/>
                <w:bCs w:val="1"/>
                <w:color w:val="auto"/>
              </w:rPr>
              <w:t>2010</w:t>
            </w:r>
          </w:p>
        </w:tc>
        <w:tc>
          <w:tcPr>
            <w:tcW w:w="18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 / (Decr)</w:t>
            </w:r>
          </w:p>
        </w:tc>
        <w:tc>
          <w:tcPr>
            <w:tcW w:w="180" w:type="dxa"/>
            <w:vAlign w:val="bottom"/>
          </w:tcPr>
          <w:p>
            <w:pPr>
              <w:spacing w:after="0"/>
              <w:rPr>
                <w:sz w:val="14"/>
                <w:szCs w:val="14"/>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2011</w:t>
            </w:r>
          </w:p>
        </w:tc>
        <w:tc>
          <w:tcPr>
            <w:tcW w:w="420" w:type="dxa"/>
            <w:vAlign w:val="bottom"/>
          </w:tcPr>
          <w:p>
            <w:pPr>
              <w:spacing w:after="0"/>
              <w:rPr>
                <w:sz w:val="14"/>
                <w:szCs w:val="14"/>
                <w:color w:val="auto"/>
              </w:rPr>
            </w:pPr>
          </w:p>
        </w:tc>
        <w:tc>
          <w:tcPr>
            <w:tcW w:w="9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2010</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3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3"/>
          </w:tcPr>
          <w:p>
            <w:pPr>
              <w:ind w:left="1000"/>
              <w:spacing w:after="0" w:line="155" w:lineRule="exact"/>
              <w:rPr>
                <w:sz w:val="20"/>
                <w:szCs w:val="20"/>
                <w:color w:val="auto"/>
              </w:rPr>
            </w:pPr>
            <w:r>
              <w:rPr>
                <w:rFonts w:ascii="Arial" w:cs="Arial" w:eastAsia="Arial" w:hAnsi="Arial"/>
                <w:sz w:val="14"/>
                <w:szCs w:val="14"/>
                <w:b w:val="1"/>
                <w:bCs w:val="1"/>
                <w:color w:val="auto"/>
                <w:w w:val="97"/>
              </w:rPr>
              <w:t>($ in billions)</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Global: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784</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$609</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1,483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87"/>
              </w:rPr>
              <w:t>$1,128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w w:val="83"/>
              </w:rPr>
              <w:t>10,084</w:t>
            </w:r>
          </w:p>
        </w:tc>
        <w:tc>
          <w:tcPr>
            <w:tcW w:w="460" w:type="dxa"/>
            <w:vAlign w:val="bottom"/>
          </w:tcPr>
          <w:p>
            <w:pPr>
              <w:spacing w:after="0"/>
              <w:rPr>
                <w:sz w:val="18"/>
                <w:szCs w:val="18"/>
                <w:color w:val="auto"/>
              </w:rPr>
            </w:pPr>
          </w:p>
        </w:tc>
        <w:tc>
          <w:tcPr>
            <w:tcW w:w="940" w:type="dxa"/>
            <w:vAlign w:val="bottom"/>
          </w:tcPr>
          <w:p>
            <w:pPr>
              <w:jc w:val="right"/>
              <w:ind w:right="376"/>
              <w:spacing w:after="0"/>
              <w:rPr>
                <w:sz w:val="20"/>
                <w:szCs w:val="20"/>
                <w:color w:val="auto"/>
              </w:rPr>
            </w:pPr>
            <w:r>
              <w:rPr>
                <w:rFonts w:ascii="Arial" w:cs="Arial" w:eastAsia="Arial" w:hAnsi="Arial"/>
                <w:sz w:val="18"/>
                <w:szCs w:val="18"/>
                <w:color w:val="auto"/>
                <w:w w:val="83"/>
              </w:rPr>
              <w:t>10,944</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w w:val="83"/>
              </w:rPr>
              <w:t>20,860</w:t>
            </w:r>
          </w:p>
        </w:tc>
        <w:tc>
          <w:tcPr>
            <w:tcW w:w="420" w:type="dxa"/>
            <w:vAlign w:val="bottom"/>
          </w:tcPr>
          <w:p>
            <w:pPr>
              <w:spacing w:after="0"/>
              <w:rPr>
                <w:sz w:val="18"/>
                <w:szCs w:val="18"/>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w w:val="87"/>
              </w:rPr>
              <w:t>21,311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Trans-Atlantic: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91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6"/>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121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99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378</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787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768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60" w:type="dxa"/>
            <w:vAlign w:val="bottom"/>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774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6"/>
              <w:spacing w:after="0"/>
              <w:rPr>
                <w:sz w:val="20"/>
                <w:szCs w:val="20"/>
                <w:color w:val="auto"/>
              </w:rPr>
            </w:pPr>
            <w:r>
              <w:rPr>
                <w:rFonts w:ascii="Arial" w:cs="Arial" w:eastAsia="Arial" w:hAnsi="Arial"/>
                <w:sz w:val="18"/>
                <w:szCs w:val="18"/>
                <w:color w:val="auto"/>
              </w:rPr>
              <w:t>608</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1,560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1,240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3"/>
              </w:rPr>
              <w:t>10,649</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83"/>
              </w:rPr>
              <w:t>11,024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3"/>
              </w:rPr>
              <w:t>21,723</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w w:val="87"/>
              </w:rPr>
              <w:t>21,552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r>
      <w:tr>
        <w:trPr>
          <w:trHeight w:val="216"/>
        </w:trPr>
        <w:tc>
          <w:tcPr>
            <w:tcW w:w="3760" w:type="dxa"/>
            <w:vAlign w:val="bottom"/>
          </w:tcPr>
          <w:p>
            <w:pPr>
              <w:ind w:left="440"/>
              <w:spacing w:after="0"/>
              <w:rPr>
                <w:sz w:val="20"/>
                <w:szCs w:val="20"/>
                <w:color w:val="auto"/>
              </w:rPr>
            </w:pPr>
            <w:r>
              <w:rPr>
                <w:rFonts w:ascii="Arial" w:cs="Arial" w:eastAsia="Arial" w:hAnsi="Arial"/>
                <w:sz w:val="18"/>
                <w:szCs w:val="18"/>
                <w:color w:val="auto"/>
              </w:rPr>
              <w:t>Trans-Atlantic:</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52</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106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r>
      <w:tr>
        <w:trPr>
          <w:trHeight w:val="222"/>
        </w:trPr>
        <w:tc>
          <w:tcPr>
            <w:tcW w:w="3760" w:type="dxa"/>
            <w:vAlign w:val="bottom"/>
          </w:tcPr>
          <w:p>
            <w:pPr>
              <w:ind w:left="880"/>
              <w:spacing w:after="0"/>
              <w:rPr>
                <w:sz w:val="20"/>
                <w:szCs w:val="20"/>
                <w:color w:val="auto"/>
              </w:rPr>
            </w:pPr>
            <w:r>
              <w:rPr>
                <w:rFonts w:ascii="Arial" w:cs="Arial" w:eastAsia="Arial" w:hAnsi="Arial"/>
                <w:sz w:val="18"/>
                <w:szCs w:val="18"/>
                <w:color w:val="auto"/>
              </w:rPr>
              <w:t>Number</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54"/>
              <w:spacing w:after="0"/>
              <w:rPr>
                <w:sz w:val="20"/>
                <w:szCs w:val="20"/>
                <w:color w:val="auto"/>
              </w:rPr>
            </w:pPr>
            <w:r>
              <w:rPr>
                <w:rFonts w:ascii="Arial" w:cs="Arial" w:eastAsia="Arial" w:hAnsi="Arial"/>
                <w:sz w:val="18"/>
                <w:szCs w:val="18"/>
                <w:color w:val="auto"/>
              </w:rPr>
              <w:t>409</w:t>
            </w:r>
          </w:p>
        </w:tc>
        <w:tc>
          <w:tcPr>
            <w:tcW w:w="46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Arial" w:cs="Arial" w:eastAsia="Arial" w:hAnsi="Arial"/>
                <w:sz w:val="18"/>
                <w:szCs w:val="18"/>
                <w:color w:val="auto"/>
              </w:rPr>
              <w:t>400</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ind w:right="94"/>
              <w:spacing w:after="0"/>
              <w:rPr>
                <w:sz w:val="20"/>
                <w:szCs w:val="20"/>
                <w:color w:val="auto"/>
              </w:rPr>
            </w:pPr>
            <w:r>
              <w:rPr>
                <w:rFonts w:ascii="Arial" w:cs="Arial" w:eastAsia="Arial" w:hAnsi="Arial"/>
                <w:sz w:val="18"/>
                <w:szCs w:val="18"/>
                <w:color w:val="auto"/>
              </w:rPr>
              <w:t>833</w:t>
            </w:r>
          </w:p>
        </w:tc>
        <w:tc>
          <w:tcPr>
            <w:tcW w:w="420" w:type="dxa"/>
            <w:vAlign w:val="bottom"/>
          </w:tcPr>
          <w:p>
            <w:pPr>
              <w:spacing w:after="0"/>
              <w:rPr>
                <w:sz w:val="19"/>
                <w:szCs w:val="19"/>
                <w:color w:val="auto"/>
              </w:rPr>
            </w:pPr>
          </w:p>
        </w:tc>
        <w:tc>
          <w:tcPr>
            <w:tcW w:w="920" w:type="dxa"/>
            <w:vAlign w:val="bottom"/>
          </w:tcPr>
          <w:p>
            <w:pPr>
              <w:jc w:val="right"/>
              <w:ind w:right="336"/>
              <w:spacing w:after="0"/>
              <w:rPr>
                <w:sz w:val="20"/>
                <w:szCs w:val="20"/>
                <w:color w:val="auto"/>
              </w:rPr>
            </w:pPr>
            <w:r>
              <w:rPr>
                <w:rFonts w:ascii="Arial" w:cs="Arial" w:eastAsia="Arial" w:hAnsi="Arial"/>
                <w:sz w:val="18"/>
                <w:szCs w:val="18"/>
                <w:color w:val="auto"/>
              </w:rPr>
              <w:t>765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July 8, 2011.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believe that we are relatively well positioned as our clients refinance, restructure and reposition their asset portfolios for growth.</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Global restructuring activity during the 2011 six month period decreased from the corresponding prior year period due to the decelerating pace of corporate debt defaults. According to Moody’s Investors Service, Inc., in the twelve month period ended June 30, 2011 a total of 43 issuers defaulted, as compared to 121 in the twelve months ended June 30, 2010, which includes a total of 12 issuers in the six month period ended June 30, 2011, as compared to 27 in the corresponding 2010 period. We believe that the number and value of corporate defaults for the full year of 2011 will be significantly lower as compared to 2010, but due to our Restructuring assignments currently in progress, we expect that our Restructuring business will remain active, albeit at a lower level as compared to the prior year. Our Restructuring activities include advising companies on matters relating to debt restructurings, refinancings and other on- and off-balance sheet assignments. Our Restructuring assignments are generally executed over a six- to eighteen-month period.</w:t>
      </w:r>
    </w:p>
    <w:p>
      <w:pPr>
        <w:spacing w:after="0" w:line="105"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Private Fund Advisory Group, which is part of our Financial Advisory segment and is conducted in the U.S. through Lazard Freres &amp; Co. LLC (“LFNY”), an SEC-registered broker-dealer and municipal advisor and member of the Financial Industry Regulatory Authority (“FINRA”) and the Municipal Securities Rulemaking Board (the “MSRB”),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California and New Mexico, and similar measures are being considered or have been implemented in other jurisdictions. On June 22, 2011, the SEC approved an amendment to its June 30, 2010 rule which, among other things, will place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certain restrictions on the use of placement agents. As amended, the SEC rule will prohibit investment advisors from paying a third-party placement agent for soliciting investment advisory business from a U.S. governmental entity, unless the placement agent is (i) an SEC-registered investment advisor complying with the rule, (ii) an SEC-registered broker-dealer that is a member of FINRA and thus subject to FINRA’s forthcoming “pay-to-play” rule, or (iii) a “municipal advisor” that is registered with the SEC under Section 15B of the Securities Exchange Act of 1934, as amended, and subject to the “pay-to-play” rules that will be adopted by the MSRB. We are continuing to evaluate the potential impact of state, local and other restrictions on our Private Fund Advisory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As shown in the table below, major global market indices at June 30, 2011 were generally unchanged in most markets as compared to such indices at March 31, 2011 and increased modestly as compared to December 31, 2010, with more significant increases as compared to June 30, 2010.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Percentage Change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7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rPr>
              <w:t>June 30, 2011 vs.</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7040" w:type="dxa"/>
            <w:vAlign w:val="bottom"/>
          </w:tcPr>
          <w:p>
            <w:pPr>
              <w:spacing w:after="0"/>
              <w:rPr>
                <w:sz w:val="11"/>
                <w:szCs w:val="11"/>
                <w:color w:val="auto"/>
              </w:rPr>
            </w:pPr>
          </w:p>
        </w:tc>
        <w:tc>
          <w:tcPr>
            <w:tcW w:w="116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92"/>
              </w:rPr>
              <w:t>March 31,</w:t>
            </w:r>
          </w:p>
        </w:tc>
        <w:tc>
          <w:tcPr>
            <w:tcW w:w="580" w:type="dxa"/>
            <w:vAlign w:val="bottom"/>
          </w:tcPr>
          <w:p>
            <w:pPr>
              <w:spacing w:after="0"/>
              <w:rPr>
                <w:sz w:val="11"/>
                <w:szCs w:val="11"/>
                <w:color w:val="auto"/>
              </w:rPr>
            </w:pPr>
          </w:p>
        </w:tc>
        <w:tc>
          <w:tcPr>
            <w:tcW w:w="1960" w:type="dxa"/>
            <w:vAlign w:val="bottom"/>
            <w:gridSpan w:val="2"/>
          </w:tcPr>
          <w:p>
            <w:pPr>
              <w:jc w:val="center"/>
              <w:ind w:right="11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r>
      <w:tr>
        <w:trPr>
          <w:trHeight w:val="161"/>
        </w:trPr>
        <w:tc>
          <w:tcPr>
            <w:tcW w:w="70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2010</w:t>
            </w:r>
          </w:p>
        </w:tc>
        <w:tc>
          <w:tcPr>
            <w:tcW w:w="11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MSCI World Index</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CAC 40</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2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FTSE 100</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54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MSCI Emerging Market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2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NASDAQ</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2540" w:type="dxa"/>
            <w:vAlign w:val="bottom"/>
            <w:gridSpan w:val="3"/>
          </w:tcPr>
          <w:p>
            <w:pPr>
              <w:jc w:val="right"/>
              <w:ind w:right="1020"/>
              <w:spacing w:after="0"/>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254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bl>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Our AUM at June 30, 2011 increased 4% versus AUM at December 31, 2010, with our average AUM during the first half of 2011 increasing 23%, as compared to our average AUM for the corresponding period of 2010, the latter primarily reflecting significant market appreciation as well as net inflows in the six month period ended December 31, 2010. The higher level of AUM contributed to significantly higher management fee revenues in the 2011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from public and private securities offerings for referring opportunities to LFCM Holdings for underwriting and distribution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of securities.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Lazard’s Asset Management segment principally includes LAM, Lazard Frères Gestion SAS (“LFG”), Edgewater and Lazard Wealth Management LLC.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alternative investments (such as hedge funds) and private equity investments, and lower fees earned on fixed income and cash management products.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Corporate segment net revenue consists primarily of interest income and interest expense, including amounts earned at LFB, investment gains and losses on the Company’s “seed investments” in LAM equity funds and principal investments in equities and alternative investment funds, investments at LFB, and “equity method” investments. Corporate net revenue can fluctuate due to changes in the fair value of investments classified as “trading”, and with respect to “available-for-sale” investments, when realized, or, with respect to “available-for-sale” and “held-to-maturity” investments, when a decline is determined to be other than temporary, as well as due to changes in interest and currency exchange rates and in the levels of cash, investments and indebtedness. As of December 31, 2010, the Company no longer held “available-for-sale” or “held-to-maturity” investments.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Corporate segment net revenue during the first half of 2011 represented (4)% of Lazard’s net revenue, total assets in Corporate represented 54% of Lazard’s consolidated total assets as of June 30, 2011, which is attributable to assets associated with LFB, investments in government bonds, fixed income funds, LAM-managed funds and other securities, private equity investments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(i) salaries and benefits, (ii) amortization of the relevant portion of (a) share-based incentive compensation under the Lazard Ltd 2005 Equity Incentive Plan (“2005 Plan”) and the Lazard Ltd 2008 Incentive Compensation Plan (the “2008 Plan”) and (b) Lazard Fund Interests, with such aggregate amortization generally determined on a straight-line basis over the applicable vesting periods, and not on the basis of revenue recognition (see Note 13 of Notes to Condensed Consolidated Financial Statements) and (iii) a provision for discretionary bonuses and profit pools. Compensation expense in any given period is dependent on many factors, including general economic and market conditions, our operating and financial performance, staffing levels, competitive pay conditions, the nature of revenues earned, as well as the mix between current and deferred compensation. As reflected in the tables below, our compensation expense-to-operating revenue ratios for the second quarters of 2011 and 2010 were 58.1% and 59.8%, respectively, and for the six month periods of 2011 and 2010 were 58.5% and 60.0%, respectively (with such ratio for the six month period of 2010 excluding the compensation charge of approximately $25 million in connection with the accelerated vesting of share-based incentive awards related to the Company’s change in retirement policy).</w:t>
      </w:r>
    </w:p>
    <w:p>
      <w:pPr>
        <w:spacing w:after="0" w:line="109"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(which includes costs for occupancy and equipment, marketing and business development, technology and information services, professional services, fund administration and outsourced services and other expenses), amortization of intangible assets related to acquisitions and, in 2010, restructuring expense. Amortization of intangible assets relates primarily to the acquisition of Edgewater. Restructuring expense relates to certain staff reductions and realignment of personnel in the first quarter of 2010, and includes severance and related benefits expense, the acceleration of unrecognized expense pertaining to restricted stock unit awards denominated in shares of Lazard Ltd Class A common stock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principally related to non-U.S. entities and to New York City Unincorporated Business Tax (“UBT”) attributable to Lazard’s operations apportioned to New York City. The Company’s provision for income taxes also includes a U.S. income tax provision attributable to Lazard Ltd’s ownership interest in Lazard Group’s operating income.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Noncontrolling interests primarily relate to the charge attributable to LAZ-MD Holdings’ ownership interest in the net income attributable to Lazard Group, amounts related to Edgewater and various LAM-related general partnership interests (“GPs”) in limited partnerships held directly by certain of our LAM managing directors. See Note 12 of Notes to Condensed Consolidated Financial Statements for information regarding the Company’s noncontrolling interests.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Lazard’s consolidated financial statements are presented in U.S. dollars. Many of our non-U.S. subsidiaries have a functional currency (</w:t>
      </w:r>
      <w:r>
        <w:rPr>
          <w:rFonts w:ascii="Arial" w:cs="Arial" w:eastAsia="Arial" w:hAnsi="Arial"/>
          <w:sz w:val="18"/>
          <w:szCs w:val="18"/>
          <w:i w:val="1"/>
          <w:iCs w:val="1"/>
          <w:color w:val="auto"/>
        </w:rPr>
        <w:t>i.e</w:t>
      </w:r>
      <w:r>
        <w:rPr>
          <w:rFonts w:ascii="Arial" w:cs="Arial" w:eastAsia="Arial" w:hAnsi="Arial"/>
          <w:sz w:val="18"/>
          <w:szCs w:val="18"/>
          <w:color w:val="auto"/>
        </w:rPr>
        <w:t>., the currency in which operational activities are primarily conducted) that is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members’/stockholders’ equity</w:t>
      </w:r>
      <w:r>
        <w:rPr>
          <w:rFonts w:ascii="Arial" w:cs="Arial" w:eastAsia="Arial" w:hAnsi="Arial"/>
          <w:sz w:val="18"/>
          <w:szCs w:val="18"/>
          <w:i w:val="1"/>
          <w:iCs w:val="1"/>
          <w:color w:val="auto"/>
        </w:rPr>
        <w:t>.</w:t>
      </w:r>
      <w:r>
        <w:rPr>
          <w:rFonts w:ascii="Arial" w:cs="Arial" w:eastAsia="Arial" w:hAnsi="Arial"/>
          <w:sz w:val="18"/>
          <w:szCs w:val="18"/>
          <w:color w:val="auto"/>
        </w:rPr>
        <w:t xml:space="preserve"> Foreign currency remeasurement gains and losses on transactions in non-functional currencies are included in the consolidated statements of operations.</w:t>
      </w:r>
    </w:p>
    <w:p>
      <w:pPr>
        <w:spacing w:after="0" w:line="1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first quarter of 2010, the Company reported certain charges (the “2010 special items”) that adversely impacted operating results for that period. The impact of such special items on the Company’s condensed consolidated statements of operations for the first half of 2010 is described in more detail in the table below. There were no special items recorded in the 2011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 2010</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94"/>
              </w:rPr>
              <w:t>RSU</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Restructuring</w:t>
            </w:r>
          </w:p>
        </w:tc>
        <w:tc>
          <w:tcPr>
            <w:tcW w:w="320" w:type="dxa"/>
            <w:vAlign w:val="bottom"/>
          </w:tcPr>
          <w:p>
            <w:pPr>
              <w:spacing w:after="0"/>
              <w:rPr>
                <w:sz w:val="12"/>
                <w:szCs w:val="12"/>
                <w:color w:val="auto"/>
              </w:rPr>
            </w:pPr>
          </w:p>
        </w:tc>
        <w:tc>
          <w:tcPr>
            <w:tcW w:w="13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Amendment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Pr>
          <w:p>
            <w:pPr>
              <w:spacing w:after="0"/>
              <w:rPr>
                <w:sz w:val="14"/>
                <w:szCs w:val="1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center"/>
              <w:ind w:right="300"/>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24,860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(87,108)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(24,860)</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5"/>
              </w:rPr>
              <w:t>(111,968)</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7,043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Benefit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7940" w:type="dxa"/>
            <w:vAlign w:val="bottom"/>
            <w:gridSpan w:val="3"/>
          </w:tcPr>
          <w:p>
            <w:pPr>
              <w:spacing w:after="0"/>
              <w:rPr>
                <w:sz w:val="20"/>
                <w:szCs w:val="20"/>
                <w:color w:val="auto"/>
              </w:rPr>
            </w:pPr>
            <w:r>
              <w:rPr>
                <w:rFonts w:ascii="Arial" w:cs="Arial" w:eastAsia="Arial" w:hAnsi="Arial"/>
                <w:sz w:val="18"/>
                <w:szCs w:val="18"/>
                <w:color w:val="auto"/>
              </w:rPr>
              <w:t>Net Loss Attributable to Lazard Ltd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(63,028)</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(17,509)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(80,537)</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Restructuring plan announced in the first quarter of 2010.</w:t>
      </w:r>
    </w:p>
    <w:p>
      <w:pPr>
        <w:spacing w:after="0" w:line="15"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Accelerated amortization expense recognized in connection with the vesting of share-based incentive awards related to the amendment of the Company’s retirement policy.</w:t>
      </w:r>
    </w:p>
    <w:p>
      <w:pPr>
        <w:spacing w:after="0" w:line="124"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A discussion of the Company’s consolidated results of operations for the 2011 and 2010 periods is set forth below, followed by a more detailed discussion of business segment results. For comparability purposes in the discussion that follows, the results for the six month period of 2010 are shown in the table below, on both an “as reported” U.S. GAAP and “excluding special items” non-U.S. GAAP basis that management believes provides the most meaningful comparison between historical, present and future periods. There were no special items in the 2011 periods.</w:t>
      </w:r>
    </w:p>
    <w:p>
      <w:pPr>
        <w:spacing w:after="0" w:line="95"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-7620</wp:posOffset>
            </wp:positionV>
            <wp:extent cx="12522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96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477,292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419,035</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286,480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263,021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 expense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99,904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388,090</w:t>
            </w: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351,984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4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62,004</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60" w:type="dxa"/>
            <w:vAlign w:val="bottom"/>
            <w:vMerge w:val="restart"/>
          </w:tcPr>
          <w:p>
            <w:pPr>
              <w:jc w:val="right"/>
              <w:ind w:right="3352"/>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w w:val="87"/>
              </w:rPr>
              <w:t>Six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22"/>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6"/>
              <w:spacing w:after="0" w:line="136"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U.S. GAAP</w:t>
            </w:r>
          </w:p>
        </w:tc>
        <w:tc>
          <w:tcPr>
            <w:tcW w:w="220" w:type="dxa"/>
            <w:vAlign w:val="bottom"/>
          </w:tcPr>
          <w:p>
            <w:pPr>
              <w:spacing w:after="0"/>
              <w:rPr>
                <w:sz w:val="12"/>
                <w:szCs w:val="12"/>
                <w:color w:val="auto"/>
              </w:rPr>
            </w:pPr>
          </w:p>
        </w:tc>
        <w:tc>
          <w:tcPr>
            <w:tcW w:w="1240" w:type="dxa"/>
            <w:vAlign w:val="bottom"/>
            <w:gridSpan w:val="2"/>
          </w:tcPr>
          <w:p>
            <w:pPr>
              <w:jc w:val="center"/>
              <w:ind w:right="472"/>
              <w:spacing w:after="0" w:line="149" w:lineRule="exact"/>
              <w:rPr>
                <w:sz w:val="20"/>
                <w:szCs w:val="20"/>
                <w:color w:val="auto"/>
              </w:rPr>
            </w:pPr>
            <w:r>
              <w:rPr>
                <w:rFonts w:ascii="Arial" w:cs="Arial" w:eastAsia="Arial" w:hAnsi="Arial"/>
                <w:sz w:val="14"/>
                <w:szCs w:val="14"/>
                <w:b w:val="1"/>
                <w:bCs w:val="1"/>
                <w:color w:val="auto"/>
                <w:w w:val="92"/>
              </w:rPr>
              <w:t>U.S. GAAP</w:t>
            </w:r>
          </w:p>
        </w:tc>
        <w:tc>
          <w:tcPr>
            <w:tcW w:w="9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9"/>
              </w:rPr>
              <w:t>Impact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As</w:t>
            </w:r>
          </w:p>
        </w:tc>
        <w:tc>
          <w:tcPr>
            <w:tcW w:w="220" w:type="dxa"/>
            <w:vAlign w:val="bottom"/>
          </w:tcPr>
          <w:p>
            <w:pPr>
              <w:spacing w:after="0"/>
              <w:rPr>
                <w:sz w:val="12"/>
                <w:szCs w:val="12"/>
                <w:color w:val="auto"/>
              </w:rPr>
            </w:pPr>
          </w:p>
        </w:tc>
        <w:tc>
          <w:tcPr>
            <w:tcW w:w="124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77"/>
              </w:rPr>
              <w:t>As</w:t>
            </w:r>
          </w:p>
        </w:tc>
        <w:tc>
          <w:tcPr>
            <w:tcW w:w="9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1"/>
              </w:rPr>
              <w:t>Special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220" w:type="dxa"/>
            <w:vAlign w:val="bottom"/>
          </w:tcPr>
          <w:p>
            <w:pPr>
              <w:spacing w:after="0"/>
              <w:rPr>
                <w:sz w:val="14"/>
                <w:szCs w:val="14"/>
                <w:color w:val="auto"/>
              </w:rPr>
            </w:pPr>
          </w:p>
        </w:tc>
        <w:tc>
          <w:tcPr>
            <w:tcW w:w="1240" w:type="dxa"/>
            <w:vAlign w:val="bottom"/>
            <w:gridSpan w:val="2"/>
          </w:tcPr>
          <w:p>
            <w:pPr>
              <w:jc w:val="center"/>
              <w:ind w:right="472"/>
              <w:spacing w:after="0"/>
              <w:rPr>
                <w:sz w:val="20"/>
                <w:szCs w:val="20"/>
                <w:color w:val="auto"/>
              </w:rPr>
            </w:pPr>
            <w:r>
              <w:rPr>
                <w:rFonts w:ascii="Arial" w:cs="Arial" w:eastAsia="Arial" w:hAnsi="Arial"/>
                <w:sz w:val="14"/>
                <w:szCs w:val="14"/>
                <w:b w:val="1"/>
                <w:bCs w:val="1"/>
                <w:color w:val="auto"/>
                <w:w w:val="87"/>
              </w:rPr>
              <w:t>Reported</w:t>
            </w:r>
          </w:p>
        </w:tc>
        <w:tc>
          <w:tcPr>
            <w:tcW w:w="96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Items (a)</w:t>
            </w:r>
          </w:p>
        </w:tc>
        <w:tc>
          <w:tcPr>
            <w:tcW w:w="22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4"/>
              </w:rPr>
              <w:t>Special Items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85"/>
              </w:rPr>
              <w:t>($ in thousands)</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55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915,315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857,246</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6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556,479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563,398</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w w:val="94"/>
              </w:rPr>
              <w:t>$ 24,860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ind w:left="420"/>
              <w:spacing w:after="0"/>
              <w:rPr>
                <w:sz w:val="20"/>
                <w:szCs w:val="20"/>
                <w:color w:val="auto"/>
              </w:rPr>
            </w:pPr>
            <w:r>
              <w:rPr>
                <w:rFonts w:ascii="Arial" w:cs="Arial" w:eastAsia="Arial" w:hAnsi="Arial"/>
                <w:sz w:val="18"/>
                <w:szCs w:val="18"/>
                <w:color w:val="auto"/>
              </w:rPr>
              <w:t>Non-compensation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193,008</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170,631</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560" w:type="dxa"/>
            <w:vAlign w:val="bottom"/>
          </w:tcPr>
          <w:p>
            <w:pPr>
              <w:spacing w:after="0"/>
              <w:rPr>
                <w:sz w:val="19"/>
                <w:szCs w:val="19"/>
                <w:color w:val="auto"/>
              </w:rPr>
            </w:pPr>
          </w:p>
        </w:tc>
        <w:tc>
          <w:tcPr>
            <w:tcW w:w="960" w:type="dxa"/>
            <w:vAlign w:val="bottom"/>
          </w:tcPr>
          <w:p>
            <w:pPr>
              <w:jc w:val="right"/>
              <w:ind w:right="202"/>
              <w:spacing w:after="0"/>
              <w:rPr>
                <w:sz w:val="20"/>
                <w:szCs w:val="20"/>
                <w:color w:val="auto"/>
              </w:rPr>
            </w:pPr>
            <w:r>
              <w:rPr>
                <w:rFonts w:ascii="Arial" w:cs="Arial" w:eastAsia="Arial" w:hAnsi="Arial"/>
                <w:sz w:val="18"/>
                <w:szCs w:val="18"/>
                <w:color w:val="auto"/>
              </w:rPr>
              <w:t>87,108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752,667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824,676</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712,708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162,648</w:t>
            </w: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32,570</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144,538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19,936</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(7,043)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131,549</w:t>
            </w: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12,634</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117,559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Less – Net Income (Loss) Attributable to Noncontrolling Interests</w:t>
            </w:r>
          </w:p>
        </w:tc>
        <w:tc>
          <w:tcPr>
            <w:tcW w:w="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(24,388)</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Net Income Attributable to Lazard Ltd</w:t>
            </w: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117,011</w:t>
            </w:r>
          </w:p>
        </w:tc>
        <w:tc>
          <w:tcPr>
            <w:tcW w:w="360" w:type="dxa"/>
            <w:vAlign w:val="bottom"/>
          </w:tcPr>
          <w:p>
            <w:pPr>
              <w:spacing w:after="0"/>
              <w:rPr>
                <w:sz w:val="19"/>
                <w:szCs w:val="19"/>
                <w:color w:val="auto"/>
              </w:rPr>
            </w:pPr>
          </w:p>
        </w:tc>
        <w:tc>
          <w:tcPr>
            <w:tcW w:w="1460" w:type="dxa"/>
            <w:vAlign w:val="bottom"/>
            <w:gridSpan w:val="3"/>
          </w:tcPr>
          <w:p>
            <w:pPr>
              <w:jc w:val="right"/>
              <w:ind w:right="492"/>
              <w:spacing w:after="0"/>
              <w:rPr>
                <w:sz w:val="20"/>
                <w:szCs w:val="20"/>
                <w:color w:val="auto"/>
              </w:rPr>
            </w:pPr>
            <w:r>
              <w:rPr>
                <w:rFonts w:ascii="Arial" w:cs="Arial" w:eastAsia="Arial" w:hAnsi="Arial"/>
                <w:sz w:val="18"/>
                <w:szCs w:val="18"/>
                <w:color w:val="auto"/>
              </w:rPr>
              <w:t>$  11,038</w:t>
            </w:r>
          </w:p>
        </w:tc>
        <w:tc>
          <w:tcPr>
            <w:tcW w:w="9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91,575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4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4%</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20 of Notes to Condensed Consolidated Financial Statements.</w:t>
      </w:r>
    </w:p>
    <w:p>
      <w:pPr>
        <w:spacing w:after="0" w:line="19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compensation and benefits expense and non-compensation expense, and related key ratios, non-U.S. GAAP measures used by the Company to manage total compensation and benefits expense and non-compensation expense. Management believes such non-GAAP measures provide the most meaningful basis for comparison between present, historical and future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8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1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gridSpan w:val="4"/>
          </w:tcPr>
          <w:p>
            <w:pPr>
              <w:jc w:val="right"/>
              <w:ind w:right="740"/>
              <w:spacing w:after="0" w:line="142"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$500,605</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$443,153</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$961,946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$906,961</w:t>
            </w:r>
          </w:p>
        </w:tc>
        <w:tc>
          <w:tcPr>
            <w:tcW w:w="100" w:type="dxa"/>
            <w:vAlign w:val="bottom"/>
          </w:tcPr>
          <w:p>
            <w:pPr>
              <w:spacing w:after="0"/>
              <w:rPr>
                <w:sz w:val="18"/>
                <w:szCs w:val="18"/>
                <w:color w:val="auto"/>
              </w:rPr>
            </w:pPr>
          </w:p>
        </w:tc>
      </w:tr>
      <w:tr>
        <w:trPr>
          <w:trHeight w:val="216"/>
        </w:trPr>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8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(970)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(1,987)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(2,034)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(4,546)</w:t>
            </w:r>
          </w:p>
        </w:tc>
      </w:tr>
      <w:tr>
        <w:trPr>
          <w:trHeight w:val="216"/>
        </w:trPr>
        <w:tc>
          <w:tcPr>
            <w:tcW w:w="7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(7,862)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(11,288)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(7,137)</w:t>
            </w:r>
          </w:p>
        </w:tc>
      </w:tr>
      <w:tr>
        <w:trPr>
          <w:trHeight w:val="222"/>
        </w:trPr>
        <w:tc>
          <w:tcPr>
            <w:tcW w:w="748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491,773</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438,368</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948,624</w:t>
            </w: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895,278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2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 expense incurred by LFB is reported as a charge in determining operating revenue because LFB is a commercial bank and we consider its interest expense to be a cost directly related to the revenues of its business.</w:t>
      </w:r>
    </w:p>
    <w:p>
      <w:pPr>
        <w:ind w:left="460" w:right="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June 31,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June 31,</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7"/>
          </w:tcPr>
          <w:p>
            <w:pPr>
              <w:jc w:val="right"/>
              <w:ind w:right="90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Compensation and benefits expense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$286,480</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$263,021</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$556,479</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$563,398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2010 special item</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(24,860)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Amount related to noncontrolling interests (a)</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(835)</w:t>
            </w:r>
          </w:p>
        </w:tc>
        <w:tc>
          <w:tcPr>
            <w:tcW w:w="11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(832)</w:t>
            </w:r>
          </w:p>
        </w:tc>
        <w:tc>
          <w:tcPr>
            <w:tcW w:w="126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(1,913)</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22"/>
        </w:trPr>
        <w:tc>
          <w:tcPr>
            <w:tcW w:w="7020" w:type="dxa"/>
            <w:vAlign w:val="bottom"/>
            <w:gridSpan w:val="3"/>
          </w:tcPr>
          <w:p>
            <w:pPr>
              <w:spacing w:after="0"/>
              <w:rPr>
                <w:sz w:val="20"/>
                <w:szCs w:val="20"/>
                <w:color w:val="auto"/>
              </w:rPr>
            </w:pPr>
            <w:r>
              <w:rPr>
                <w:rFonts w:ascii="Arial" w:cs="Arial" w:eastAsia="Arial" w:hAnsi="Arial"/>
                <w:sz w:val="18"/>
                <w:szCs w:val="18"/>
                <w:color w:val="auto"/>
              </w:rPr>
              <w:t>Adjusted compensation and benefits expense</w:t>
            </w: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285,645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262,189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554,566</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536,838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58.1%</w:t>
            </w: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59.8%</w:t>
            </w:r>
          </w:p>
        </w:tc>
        <w:tc>
          <w:tcPr>
            <w:tcW w:w="126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58.5%</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24"/>
                <w:szCs w:val="24"/>
                <w:color w:val="auto"/>
              </w:rPr>
            </w:pPr>
          </w:p>
        </w:tc>
        <w:tc>
          <w:tcPr>
            <w:tcW w:w="20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2"/>
              </w:rPr>
              <w:t>June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5"/>
              </w:rPr>
              <w:t>June 31,</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7"/>
          </w:tcPr>
          <w:p>
            <w:pPr>
              <w:jc w:val="right"/>
              <w:ind w:right="96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Non-compensation expense</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840" w:type="dxa"/>
            <w:vAlign w:val="bottom"/>
            <w:gridSpan w:val="3"/>
          </w:tcPr>
          <w:p>
            <w:pPr>
              <w:jc w:val="right"/>
              <w:ind w:right="126"/>
              <w:spacing w:after="0"/>
              <w:rPr>
                <w:sz w:val="20"/>
                <w:szCs w:val="20"/>
                <w:color w:val="auto"/>
              </w:rPr>
            </w:pPr>
            <w:r>
              <w:rPr>
                <w:rFonts w:ascii="Arial" w:cs="Arial" w:eastAsia="Arial" w:hAnsi="Arial"/>
                <w:sz w:val="18"/>
                <w:szCs w:val="18"/>
                <w:color w:val="auto"/>
                <w:w w:val="95"/>
              </w:rPr>
              <w:t>$99,904</w:t>
            </w:r>
          </w:p>
        </w:tc>
        <w:tc>
          <w:tcPr>
            <w:tcW w:w="3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$87,194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3"/>
          </w:tcPr>
          <w:p>
            <w:pPr>
              <w:jc w:val="right"/>
              <w:ind w:right="26"/>
              <w:spacing w:after="0"/>
              <w:rPr>
                <w:sz w:val="20"/>
                <w:szCs w:val="20"/>
                <w:color w:val="auto"/>
              </w:rPr>
            </w:pPr>
            <w:r>
              <w:rPr>
                <w:rFonts w:ascii="Arial" w:cs="Arial" w:eastAsia="Arial" w:hAnsi="Arial"/>
                <w:sz w:val="18"/>
                <w:szCs w:val="18"/>
                <w:color w:val="auto"/>
                <w:w w:val="93"/>
              </w:rPr>
              <w:t>$193,008</w:t>
            </w:r>
          </w:p>
        </w:tc>
        <w:tc>
          <w:tcPr>
            <w:tcW w:w="4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$170,631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Amount related to noncontrolling interests (a)</w:t>
            </w:r>
          </w:p>
        </w:tc>
        <w:tc>
          <w:tcPr>
            <w:tcW w:w="840" w:type="dxa"/>
            <w:vAlign w:val="bottom"/>
            <w:gridSpan w:val="3"/>
          </w:tcPr>
          <w:p>
            <w:pPr>
              <w:jc w:val="right"/>
              <w:ind w:right="66"/>
              <w:spacing w:after="0"/>
              <w:rPr>
                <w:sz w:val="20"/>
                <w:szCs w:val="20"/>
                <w:color w:val="auto"/>
              </w:rPr>
            </w:pPr>
            <w:r>
              <w:rPr>
                <w:rFonts w:ascii="Arial" w:cs="Arial" w:eastAsia="Arial" w:hAnsi="Arial"/>
                <w:sz w:val="18"/>
                <w:szCs w:val="18"/>
                <w:color w:val="auto"/>
              </w:rPr>
              <w:t>(324)</w:t>
            </w:r>
          </w:p>
        </w:tc>
        <w:tc>
          <w:tcPr>
            <w:tcW w:w="300" w:type="dxa"/>
            <w:vAlign w:val="bottom"/>
          </w:tcPr>
          <w:p>
            <w:pPr>
              <w:spacing w:after="0"/>
              <w:rPr>
                <w:sz w:val="18"/>
                <w:szCs w:val="18"/>
                <w:color w:val="auto"/>
              </w:rPr>
            </w:pPr>
          </w:p>
        </w:tc>
        <w:tc>
          <w:tcPr>
            <w:tcW w:w="820" w:type="dxa"/>
            <w:vAlign w:val="bottom"/>
            <w:gridSpan w:val="3"/>
          </w:tcPr>
          <w:p>
            <w:pPr>
              <w:jc w:val="right"/>
              <w:ind w:right="52"/>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(658)</w:t>
            </w:r>
          </w:p>
        </w:tc>
        <w:tc>
          <w:tcPr>
            <w:tcW w:w="44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99,580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86,999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192,350</w:t>
            </w:r>
          </w:p>
        </w:tc>
        <w:tc>
          <w:tcPr>
            <w:tcW w:w="44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170,234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3"/>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20.2</w:t>
            </w: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19.8</w:t>
            </w:r>
            <w:r>
              <w:rPr>
                <w:rFonts w:ascii="Arial" w:cs="Arial" w:eastAsia="Arial" w:hAnsi="Arial"/>
                <w:sz w:val="18"/>
                <w:szCs w:val="18"/>
                <w:i w:val="1"/>
                <w:iCs w:val="1"/>
                <w:color w:val="auto"/>
              </w:rPr>
              <w:t>%</w:t>
            </w:r>
          </w:p>
        </w:tc>
        <w:tc>
          <w:tcPr>
            <w:tcW w:w="300" w:type="dxa"/>
            <w:vAlign w:val="bottom"/>
          </w:tcPr>
          <w:p>
            <w:pPr>
              <w:spacing w:after="0"/>
              <w:rPr>
                <w:sz w:val="18"/>
                <w:szCs w:val="18"/>
                <w:color w:val="auto"/>
              </w:rPr>
            </w:pPr>
          </w:p>
        </w:tc>
        <w:tc>
          <w:tcPr>
            <w:tcW w:w="1260" w:type="dxa"/>
            <w:vAlign w:val="bottom"/>
            <w:gridSpan w:val="4"/>
          </w:tcPr>
          <w:p>
            <w:pPr>
              <w:jc w:val="right"/>
              <w:ind w:right="400"/>
              <w:spacing w:after="0"/>
              <w:rPr>
                <w:sz w:val="20"/>
                <w:szCs w:val="20"/>
                <w:color w:val="auto"/>
              </w:rPr>
            </w:pPr>
            <w:r>
              <w:rPr>
                <w:rFonts w:ascii="Arial" w:cs="Arial" w:eastAsia="Arial" w:hAnsi="Arial"/>
                <w:sz w:val="18"/>
                <w:szCs w:val="18"/>
                <w:color w:val="auto"/>
              </w:rPr>
              <w:t>20.3%</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20" w:hanging="452"/>
        <w:spacing w:after="0" w:line="419" w:lineRule="auto"/>
        <w:tabs>
          <w:tab w:leader="none" w:pos="4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 Certain additional key ratios, statistics and headcount information for the 2011 and 2010 periods are set forth below:</w:t>
      </w:r>
    </w:p>
    <w:tbl>
      <w:tblPr>
        <w:tblLayout w:type="fixed"/>
        <w:tblInd w:w="0" w:type="dxa"/>
        <w:tblCellMar>
          <w:top w:w="0" w:type="dxa"/>
          <w:left w:w="0" w:type="dxa"/>
          <w:bottom w:w="0" w:type="dxa"/>
          <w:right w:w="0" w:type="dxa"/>
        </w:tblCellMar>
      </w:tblPr>
      <w:tr>
        <w:trPr>
          <w:trHeight w:val="150"/>
        </w:trPr>
        <w:tc>
          <w:tcPr>
            <w:tcW w:w="4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60" w:type="dxa"/>
            <w:vAlign w:val="bottom"/>
            <w:gridSpan w:val="11"/>
          </w:tcPr>
          <w:p>
            <w:pPr>
              <w:jc w:val="center"/>
              <w:ind w:right="640"/>
              <w:spacing w:after="0" w:line="150" w:lineRule="exact"/>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9"/>
          </w:tcPr>
          <w:p>
            <w:pPr>
              <w:jc w:val="center"/>
              <w:ind w:right="180"/>
              <w:spacing w:after="0" w:line="150" w:lineRule="exact"/>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4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9"/>
          </w:tcPr>
          <w:p>
            <w:pPr>
              <w:jc w:val="center"/>
              <w:ind w:right="110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780" w:type="dxa"/>
            <w:vAlign w:val="bottom"/>
          </w:tcPr>
          <w:p>
            <w:pPr>
              <w:spacing w:after="0"/>
              <w:rPr>
                <w:sz w:val="12"/>
                <w:szCs w:val="12"/>
                <w:color w:val="auto"/>
              </w:rPr>
            </w:pPr>
          </w:p>
        </w:tc>
        <w:tc>
          <w:tcPr>
            <w:tcW w:w="52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3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20" w:type="dxa"/>
            <w:vAlign w:val="bottom"/>
            <w:gridSpan w:val="2"/>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1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6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2820" w:type="dxa"/>
            <w:vAlign w:val="bottom"/>
            <w:gridSpan w:val="2"/>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jc w:val="center"/>
              <w:ind w:right="560"/>
              <w:spacing w:after="0"/>
              <w:rPr>
                <w:sz w:val="20"/>
                <w:szCs w:val="20"/>
                <w:color w:val="auto"/>
              </w:rPr>
            </w:pPr>
            <w:r>
              <w:rPr>
                <w:rFonts w:ascii="Arial" w:cs="Arial" w:eastAsia="Arial" w:hAnsi="Arial"/>
                <w:sz w:val="14"/>
                <w:szCs w:val="14"/>
                <w:b w:val="1"/>
                <w:bCs w:val="1"/>
                <w:color w:val="auto"/>
                <w:w w:val="90"/>
              </w:rPr>
              <w:t>As Of</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6"/>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1220" w:type="dxa"/>
            <w:vAlign w:val="bottom"/>
            <w:gridSpan w:val="8"/>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gridSpan w:val="4"/>
          </w:tcPr>
          <w:p>
            <w:pPr>
              <w:jc w:val="right"/>
              <w:ind w:right="40"/>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5"/>
          </w:tcPr>
          <w:p>
            <w:pPr>
              <w:jc w:val="center"/>
              <w:ind w:left="116"/>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560" w:type="dxa"/>
            <w:vAlign w:val="bottom"/>
            <w:vMerge w:val="continue"/>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8"/>
                <w:szCs w:val="18"/>
                <w:color w:val="auto"/>
              </w:rPr>
              <w:t>68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1,146</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1,131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1,106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2,386</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2,332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2,292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1452"/>
              <w:spacing w:after="0"/>
              <w:rPr>
                <w:sz w:val="20"/>
                <w:szCs w:val="20"/>
                <w:color w:val="auto"/>
              </w:rPr>
            </w:pPr>
            <w:r>
              <w:rPr>
                <w:rFonts w:ascii="Arial" w:cs="Arial" w:eastAsia="Arial" w:hAnsi="Arial"/>
                <w:sz w:val="18"/>
                <w:szCs w:val="18"/>
                <w:color w:val="auto"/>
              </w:rPr>
              <w:t>49</w:t>
            </w: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special items had a significant impact on the Company’s reported operating results for the six month period of 2010. Lazard management believes that comparisons between periods are most meaningful after excluding the impact of such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reported net income attributable to Lazard Ltd of $62 million, as compared to net income of $45 million in the 2010 period. The changes in the Company’s operating results during these periods are described below.</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Net revenue and operating revenue increased by $58 million, or 14%, and $53 million, or 12%, respectively, as compared to the 2010 period. Fees from investment banking and other advisory activities declined $2 million, or 1%, and were principally driven by a decline in Restructuring fee revenues, substantially offset by increases in M&amp;A and Strategic Advisory and Capital Markets Advisory revenues. The decline in Restructuring revenue reflects a reduction in restructuring activity as the economy improved and the number of corporate debt defaults declined. Money management fees, including incentive fees, increased $50 million, or 28%, principally due to a $32 billion, or 25%, increase in average AUM for the 2011 period, which resulted from market appreciation and net inflows during the last twelve months, and a favorable change in the mix of AUM into higher margin equity products, partially offset by lower incentive fees earned on traditional long-only products in the 2011 period. Interest income decreased $1 million, or 21%, due primarily to a shift in asset allocation at LFB (with a corresponding decrease in interest expense). Other revenue increased $11 million, or 94%, primarily due to increases in underwriting fees, foreign exchange remeasurement and higher commission revenue. Interest expense decreased $1 million, or 3%.</w:t>
      </w:r>
    </w:p>
    <w:p>
      <w:pPr>
        <w:spacing w:after="0" w:line="10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Compensation and benefits expense was $286 million as compared to $263 million in the 2010 period, an increase of $23 million, or 9%, with the rate of increase being consistent with the Company’s goal to grow compensation expense at a slower rate than revenues.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Non-compensation expense increased $13 million, or 15%. The increase in non-compensation expense was primarily due to increases related to technology and business development expenses, and the adverse impact of the weakening of the U.S. dollar versus foreign currencies, as well as fund administration expenses related to the growth in AUM.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Operating income was $89 million, an increase of $22 million, as compared to operating income of $67 million in the 2010 period and, as a percentage of net revenue, was 19% as compared to 16% in the 2010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was $18 million, an increase of $4 million as compared to the 2010 period.</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Net income attributable to noncontrolling interests increased $1 million as compared to the 2010 period, with increases in the noncontrolling interest relating to Edgewater in the 2011 period, substantially offset by a reduction in LAZ-MD’s noncontrolling interest as a result of its reduced ownership interest in Lazard Group in the period.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reported net income attributable to Lazard Ltd of $117 million, as compared to net income of $11 million in the 2010 period. The Company’s results in the 2010 period were adversely affected by the 2010 special items, which served to decrease the net income attributable to Lazard Ltd by $81 million. Excluding the after-tax impact of the 2010 special items, net income attributable to Lazard Ltd in the 2011 period increased $25 million, or 28%, as compared to the 2010 period. The changes in the Company’s operating results during these periods are described below.</w:t>
      </w:r>
    </w:p>
    <w:p>
      <w:pPr>
        <w:spacing w:after="0" w:line="99"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Net revenue and operating revenue increased $58 million, or 7%, and $53 million, or 6%, respectively, as compared to the 2010 period. Fees from investment banking and other advisory activities declined $51 million, or 10%, and were principally driven by a decline in Restructuring fee revenues, partially offset by increases in M&amp;A and Strategic Advisory and Capital Markets Advisory revenues. The decline in Restructuring revenue reflects a reduction in restructuring activity as the economy improved and the number of corporate debt defaults declined. Money management fees, including incentive fees, increased $88 million, or 24%, principally due to a $30 billion, or 23%, increase in average AUM for the 2011 period, which resulted from market appreciation and net inflows during the last twelve months, and a favorable change in the mix of AUM into higher margin equity products, partially offset by lower incentive fees earned on traditional long-only products in the 2011 period. Interest income decreased $3 million, or 26%, due primarily to a shift in asset allocation at LFB (with a corresponding decrease in interest expense). Other revenue increased $21 million, or 89%, and included an $8 million increase in underwriting fees, a</w:t>
      </w:r>
    </w:p>
    <w:p>
      <w:pPr>
        <w:spacing w:after="0" w:line="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$6 million increase in foreign exchange gains (as compared to losses in the 2010 period), a $3 million increase in investment income and higher commission revenue. Interest expense decreased $3 million, or 6%.</w:t>
      </w:r>
    </w:p>
    <w:p>
      <w:pPr>
        <w:spacing w:after="0" w:line="12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Compensation and benefits expense was $556 million as compared to $563 million in the 2010 period. When excluding the 2010 special item of $25 million related to the accelerated amortization expense recognized in connection with the vesting of share-based incentive awards related to the amendment of the Company’s retirement policy, compensation and benefits expense increased $18 million, or 3%, with the rate of increase being consistent with the Company’s goal to grow compensation expense at a slower rate than revenues.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Non-compensation expense increased $22 million, or 13%. The increase in non-compensation expense was primarily due to increases related to technology and business development expenses, and the adverse impact of the weakening of the U.S. dollar versus foreign currencies, as well as fund administration expenses related to the growth in AUM.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remained substantially unchanged as compared to the 2010 period.</w:t>
      </w:r>
    </w:p>
    <w:p>
      <w:pPr>
        <w:spacing w:after="0" w:line="158"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In the first quarter of 2010, the Company announced plans to reduce certain staff and realign personnel. As a result, the 2010 special items include a restructuring charge of $87 million in connection with severance and benefit payments, the acceleration of unrecognized expense pertaining to share-based incentive compensation previously granted to individuals who were terminated and certain other costs related to the restructuring initiatives.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Operating income was $163 million, an increase of $130 million, as compared to operating income of $33 million in the 2010 period (with such latter amount including the impact of the 2010 special items) and, as a percentage of net revenue, was 18% as compared to 4% in the 2010 period. Excluding the impact of the 2010 special items, operating income in the 2011 period increased $18 million, or 13%, as compared to operating income of $145 million in the 2010 period, and, as a percentage of net revenue, was 18%, as compared to 17% in the 2010 period.</w:t>
      </w:r>
    </w:p>
    <w:p>
      <w:pPr>
        <w:spacing w:after="0" w:line="13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provision for income taxes was $31 million, an increase of $11 million as compared to the 2010 period. When excluding the tax benefit of $7 million related to the 2010 special items, the income tax provision in the 2011 period increased $4 million as compared to the 2010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Net income attributable to noncontrolling interests increased $13 million as compared to the 2010 period. When excluding the impact of the 2010 special items of $24 million, net income attributable to noncontrolling interests decreased $11 million, with such decrease principally reflecting LAZ-MD Holdings’ reduced ownership interest in Lazard Group in the 2011 period, partially offset by an increase in the noncontrolling interest relating to Edgewater in the 2011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for the six month period of 2010 are presented, as applicable, on an “as reported” and “excluding special items” basis (see Note 20 of Notes to Condensed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following tables summarize the operating results of the Financial Advisory segment for the 2011 and 2010 periods. Operating results for the six month period of 2010 are shown before and after the charge attributable to the Financial Advisory segment related to the 2010 special item.</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center"/>
              <w:ind w:right="14"/>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170,568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Capital Markets and Other Advisory</w:t>
            </w: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30,290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20,240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200,858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166,094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Restructuring</w:t>
            </w: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rPr>
              <w:t>48,333</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79,879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4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w w:val="86"/>
              </w:rPr>
              <w:t>249,191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Operating Expenses (c)</w:t>
            </w: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72"/>
              <w:spacing w:after="0"/>
              <w:rPr>
                <w:sz w:val="20"/>
                <w:szCs w:val="20"/>
                <w:color w:val="auto"/>
              </w:rPr>
            </w:pPr>
            <w:r>
              <w:rPr>
                <w:rFonts w:ascii="Arial" w:cs="Arial" w:eastAsia="Arial" w:hAnsi="Arial"/>
                <w:sz w:val="18"/>
                <w:szCs w:val="18"/>
                <w:color w:val="auto"/>
                <w:w w:val="86"/>
              </w:rPr>
              <w:t>214,217</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34,974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4560" w:type="dxa"/>
            <w:vAlign w:val="bottom"/>
            <w:vMerge w:val="restart"/>
          </w:tcPr>
          <w:p>
            <w:pPr>
              <w:jc w:val="right"/>
              <w:ind w:right="3352"/>
              <w:spacing w:after="0"/>
              <w:rPr>
                <w:sz w:val="20"/>
                <w:szCs w:val="20"/>
                <w:color w:val="auto"/>
              </w:rPr>
            </w:pPr>
            <w:r>
              <w:rPr>
                <w:rFonts w:ascii="Arial" w:cs="Arial" w:eastAsia="Arial" w:hAnsi="Arial"/>
                <w:sz w:val="18"/>
                <w:szCs w:val="18"/>
                <w:color w:val="auto"/>
              </w:rPr>
              <w:t>52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808"/>
              <w:spacing w:after="0"/>
              <w:rPr>
                <w:sz w:val="20"/>
                <w:szCs w:val="20"/>
                <w:color w:val="auto"/>
              </w:rPr>
            </w:pPr>
            <w:r>
              <w:rPr>
                <w:rFonts w:ascii="Arial" w:cs="Arial" w:eastAsia="Arial" w:hAnsi="Arial"/>
                <w:sz w:val="14"/>
                <w:szCs w:val="14"/>
                <w:b w:val="1"/>
                <w:bCs w:val="1"/>
                <w:color w:val="auto"/>
                <w:w w:val="87"/>
              </w:rPr>
              <w:t>Six Months Ended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5"/>
              </w:rPr>
              <w:t>June 30,</w:t>
            </w: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28"/>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U.S. GAAP</w:t>
            </w:r>
          </w:p>
        </w:tc>
        <w:tc>
          <w:tcPr>
            <w:tcW w:w="78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U.S. GAAP</w:t>
            </w:r>
          </w:p>
        </w:tc>
        <w:tc>
          <w:tcPr>
            <w:tcW w:w="130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86"/>
              </w:rPr>
              <w:t>Impact of</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As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992"/>
              <w:spacing w:after="0" w:line="149" w:lineRule="exact"/>
              <w:rPr>
                <w:sz w:val="20"/>
                <w:szCs w:val="20"/>
                <w:color w:val="auto"/>
              </w:rPr>
            </w:pPr>
            <w:r>
              <w:rPr>
                <w:rFonts w:ascii="Arial" w:cs="Arial" w:eastAsia="Arial" w:hAnsi="Arial"/>
                <w:sz w:val="14"/>
                <w:szCs w:val="14"/>
                <w:b w:val="1"/>
                <w:bCs w:val="1"/>
                <w:color w:val="auto"/>
              </w:rPr>
              <w:t>As</w:t>
            </w:r>
          </w:p>
        </w:tc>
        <w:tc>
          <w:tcPr>
            <w:tcW w:w="1300" w:type="dxa"/>
            <w:vAlign w:val="bottom"/>
          </w:tcPr>
          <w:p>
            <w:pPr>
              <w:jc w:val="center"/>
              <w:ind w:right="608"/>
              <w:spacing w:after="0" w:line="149" w:lineRule="exact"/>
              <w:rPr>
                <w:sz w:val="20"/>
                <w:szCs w:val="20"/>
                <w:color w:val="auto"/>
              </w:rPr>
            </w:pPr>
            <w:r>
              <w:rPr>
                <w:rFonts w:ascii="Arial" w:cs="Arial" w:eastAsia="Arial" w:hAnsi="Arial"/>
                <w:sz w:val="14"/>
                <w:szCs w:val="14"/>
                <w:b w:val="1"/>
                <w:bCs w:val="1"/>
                <w:color w:val="auto"/>
                <w:w w:val="85"/>
              </w:rPr>
              <w:t>Special</w:t>
            </w:r>
          </w:p>
        </w:tc>
        <w:tc>
          <w:tcPr>
            <w:tcW w:w="1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780" w:type="dxa"/>
            <w:vAlign w:val="bottom"/>
          </w:tcPr>
          <w:p>
            <w:pPr>
              <w:spacing w:after="0"/>
              <w:rPr>
                <w:sz w:val="14"/>
                <w:szCs w:val="14"/>
                <w:color w:val="auto"/>
              </w:rPr>
            </w:pPr>
          </w:p>
        </w:tc>
        <w:tc>
          <w:tcPr>
            <w:tcW w:w="1460" w:type="dxa"/>
            <w:vAlign w:val="bottom"/>
            <w:gridSpan w:val="3"/>
          </w:tcPr>
          <w:p>
            <w:pPr>
              <w:jc w:val="right"/>
              <w:ind w:right="772"/>
              <w:spacing w:after="0"/>
              <w:rPr>
                <w:sz w:val="20"/>
                <w:szCs w:val="20"/>
                <w:color w:val="auto"/>
              </w:rPr>
            </w:pPr>
            <w:r>
              <w:rPr>
                <w:rFonts w:ascii="Arial" w:cs="Arial" w:eastAsia="Arial" w:hAnsi="Arial"/>
                <w:sz w:val="14"/>
                <w:szCs w:val="14"/>
                <w:b w:val="1"/>
                <w:bCs w:val="1"/>
                <w:color w:val="auto"/>
                <w:w w:val="97"/>
              </w:rPr>
              <w:t>Reported</w:t>
            </w:r>
          </w:p>
        </w:tc>
        <w:tc>
          <w:tcPr>
            <w:tcW w:w="1300" w:type="dxa"/>
            <w:vAlign w:val="bottom"/>
          </w:tcPr>
          <w:p>
            <w:pPr>
              <w:jc w:val="center"/>
              <w:ind w:right="608"/>
              <w:spacing w:after="0"/>
              <w:rPr>
                <w:sz w:val="20"/>
                <w:szCs w:val="20"/>
                <w:color w:val="auto"/>
              </w:rPr>
            </w:pPr>
            <w:r>
              <w:rPr>
                <w:rFonts w:ascii="Arial" w:cs="Arial" w:eastAsia="Arial" w:hAnsi="Arial"/>
                <w:sz w:val="14"/>
                <w:szCs w:val="14"/>
                <w:b w:val="1"/>
                <w:bCs w:val="1"/>
                <w:color w:val="auto"/>
                <w:w w:val="92"/>
              </w:rPr>
              <w:t>Item (a)</w:t>
            </w: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Item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left="318"/>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334,320</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w w:val="86"/>
              </w:rPr>
              <w:t>293,411</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293,411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Capital Markets and Other Advisory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59,826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12"/>
              <w:spacing w:after="0"/>
              <w:rPr>
                <w:sz w:val="20"/>
                <w:szCs w:val="20"/>
                <w:color w:val="auto"/>
              </w:rPr>
            </w:pPr>
            <w:r>
              <w:rPr>
                <w:rFonts w:ascii="Arial" w:cs="Arial" w:eastAsia="Arial" w:hAnsi="Arial"/>
                <w:sz w:val="18"/>
                <w:szCs w:val="18"/>
                <w:color w:val="auto"/>
              </w:rPr>
              <w:t>40,991</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40,991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394,146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w w:val="86"/>
              </w:rPr>
              <w:t>334,402</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334,402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83,890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12"/>
              <w:spacing w:after="0"/>
              <w:rPr>
                <w:sz w:val="20"/>
                <w:szCs w:val="20"/>
                <w:color w:val="auto"/>
              </w:rPr>
            </w:pPr>
            <w:r>
              <w:rPr>
                <w:rFonts w:ascii="Arial" w:cs="Arial" w:eastAsia="Arial" w:hAnsi="Arial"/>
                <w:sz w:val="18"/>
                <w:szCs w:val="18"/>
                <w:color w:val="auto"/>
                <w:w w:val="86"/>
              </w:rPr>
              <w:t>180,067</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180,067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478,036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w w:val="86"/>
              </w:rPr>
              <w:t>514,469</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514,469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Operating Expenses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427,783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12"/>
              <w:spacing w:after="0"/>
              <w:rPr>
                <w:sz w:val="20"/>
                <w:szCs w:val="20"/>
                <w:color w:val="auto"/>
              </w:rPr>
            </w:pPr>
            <w:r>
              <w:rPr>
                <w:rFonts w:ascii="Arial" w:cs="Arial" w:eastAsia="Arial" w:hAnsi="Arial"/>
                <w:sz w:val="18"/>
                <w:szCs w:val="18"/>
                <w:color w:val="auto"/>
                <w:w w:val="86"/>
              </w:rPr>
              <w:t>451,700</w:t>
            </w:r>
          </w:p>
        </w:tc>
        <w:tc>
          <w:tcPr>
            <w:tcW w:w="1300" w:type="dxa"/>
            <w:vAlign w:val="bottom"/>
          </w:tcPr>
          <w:p>
            <w:pPr>
              <w:jc w:val="center"/>
              <w:ind w:right="608"/>
              <w:spacing w:after="0"/>
              <w:rPr>
                <w:sz w:val="20"/>
                <w:szCs w:val="20"/>
                <w:color w:val="auto"/>
              </w:rPr>
            </w:pPr>
            <w:r>
              <w:rPr>
                <w:rFonts w:ascii="Arial" w:cs="Arial" w:eastAsia="Arial" w:hAnsi="Arial"/>
                <w:sz w:val="18"/>
                <w:szCs w:val="18"/>
                <w:color w:val="auto"/>
                <w:w w:val="89"/>
              </w:rPr>
              <w:t>$19,571</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432,129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50,253</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62,769</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32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940" w:type="dxa"/>
            <w:vAlign w:val="bottom"/>
            <w:gridSpan w:val="4"/>
          </w:tcPr>
          <w:p>
            <w:pPr>
              <w:jc w:val="right"/>
              <w:ind w:right="1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5"/>
          </w:tcPr>
          <w:p>
            <w:pPr>
              <w:ind w:left="40"/>
              <w:spacing w:after="0" w:line="129" w:lineRule="exact"/>
              <w:rPr>
                <w:sz w:val="20"/>
                <w:szCs w:val="20"/>
                <w:color w:val="auto"/>
              </w:rPr>
            </w:pPr>
            <w:r>
              <w:rPr>
                <w:rFonts w:ascii="Arial" w:cs="Arial" w:eastAsia="Arial" w:hAnsi="Arial"/>
                <w:sz w:val="14"/>
                <w:szCs w:val="14"/>
                <w:b w:val="1"/>
                <w:bCs w:val="1"/>
                <w:color w:val="auto"/>
              </w:rPr>
              <w:t>June 30,</w:t>
            </w:r>
          </w:p>
        </w:tc>
        <w:tc>
          <w:tcPr>
            <w:tcW w:w="112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20" w:type="dxa"/>
            <w:vAlign w:val="bottom"/>
          </w:tcPr>
          <w:p>
            <w:pPr>
              <w:spacing w:after="0"/>
              <w:rPr>
                <w:sz w:val="11"/>
                <w:szCs w:val="11"/>
                <w:color w:val="auto"/>
              </w:rPr>
            </w:pPr>
          </w:p>
        </w:tc>
        <w:tc>
          <w:tcPr>
            <w:tcW w:w="56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(d):</w:t>
            </w:r>
          </w:p>
        </w:tc>
        <w:tc>
          <w:tcPr>
            <w:tcW w:w="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138</w:t>
            </w:r>
          </w:p>
        </w:tc>
        <w:tc>
          <w:tcPr>
            <w:tcW w:w="6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684</w:t>
            </w:r>
          </w:p>
        </w:tc>
        <w:tc>
          <w:tcPr>
            <w:tcW w:w="6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673</w:t>
            </w:r>
          </w:p>
        </w:tc>
        <w:tc>
          <w:tcPr>
            <w:tcW w:w="3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8"/>
                <w:szCs w:val="18"/>
                <w:color w:val="auto"/>
              </w:rPr>
              <w:t>1,052</w:t>
            </w:r>
          </w:p>
        </w:tc>
        <w:tc>
          <w:tcPr>
            <w:tcW w:w="64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20 of Notes to Condensed Consolidated Financial Statements).</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2"/>
                <w:szCs w:val="12"/>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5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78"/>
              </w:rPr>
              <w:t>49</w:t>
            </w: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M&amp;A and Strategic Advisory</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35</w:t>
            </w:r>
          </w:p>
        </w:tc>
        <w:tc>
          <w:tcPr>
            <w:tcW w:w="160" w:type="dxa"/>
            <w:vAlign w:val="bottom"/>
          </w:tcPr>
          <w:p>
            <w:pPr>
              <w:spacing w:after="0"/>
              <w:rPr>
                <w:sz w:val="18"/>
                <w:szCs w:val="18"/>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8"/>
                <w:szCs w:val="18"/>
                <w:color w:val="auto"/>
              </w:rPr>
              <w:t>34</w:t>
            </w: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r>
      <w:tr>
        <w:trPr>
          <w:trHeight w:val="23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3"/>
              </w:rPr>
              <w:t>38%</w:t>
            </w:r>
          </w:p>
        </w:tc>
        <w:tc>
          <w:tcPr>
            <w:tcW w:w="20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3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$1 billion (a)</w:t>
            </w:r>
          </w:p>
        </w:tc>
        <w:tc>
          <w:tcPr>
            <w:tcW w:w="540" w:type="dxa"/>
            <w:vAlign w:val="bottom"/>
          </w:tcPr>
          <w:p>
            <w:pPr>
              <w:ind w:left="380"/>
              <w:spacing w:after="0"/>
              <w:rPr>
                <w:sz w:val="20"/>
                <w:szCs w:val="20"/>
                <w:color w:val="auto"/>
              </w:rPr>
            </w:pPr>
            <w:r>
              <w:rPr>
                <w:rFonts w:ascii="Arial" w:cs="Arial" w:eastAsia="Arial" w:hAnsi="Arial"/>
                <w:sz w:val="16"/>
                <w:szCs w:val="16"/>
                <w:color w:val="auto"/>
                <w:w w:val="78"/>
              </w:rPr>
              <w:t>16</w:t>
            </w:r>
          </w:p>
        </w:tc>
        <w:tc>
          <w:tcPr>
            <w:tcW w:w="160" w:type="dxa"/>
            <w:vAlign w:val="bottom"/>
          </w:tcPr>
          <w:p>
            <w:pPr>
              <w:spacing w:after="0"/>
              <w:rPr>
                <w:sz w:val="19"/>
                <w:szCs w:val="19"/>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8"/>
                <w:szCs w:val="18"/>
                <w:color w:val="auto"/>
              </w:rPr>
              <w:t>9</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July 8, 2011.</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(principally in the U.K., France, Italy, Spain and Germany) and the rest of the world (principally in Australia) and therefore may not be reflective of the geography in which the clients are located.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70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7"/>
              </w:rPr>
              <w:t>Six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180" w:firstLine="456"/>
        <w:spacing w:after="0" w:line="316" w:lineRule="auto"/>
        <w:rPr>
          <w:sz w:val="20"/>
          <w:szCs w:val="20"/>
          <w:color w:val="auto"/>
        </w:rPr>
      </w:pPr>
      <w:r>
        <w:rPr>
          <w:rFonts w:ascii="Arial" w:cs="Arial" w:eastAsia="Arial" w:hAnsi="Arial"/>
          <w:sz w:val="15"/>
          <w:szCs w:val="15"/>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six month period of 2010. Lazard management believes that comparisons between periods are most meaningful after excluding the impact of such item.</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M&amp;A and Strategic Advisory, Capital Markets and Other Advisory net revenue, in the aggregate, increased $35 million, or 21%, as compared to the 2010 period, with M&amp;A and Strategic Advisory net revenue increasing $25 million, or 17%, and Capital Markets and Other Advisory net revenue increasing $10 million, or 50%. Partially offsetting these increases was a decline in Restructuring net revenue of $32 million, or 39%.</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increase in M&amp;A and Strategic Advisory revenue was principally due to higher average fees per M&amp;A and Strategic Advisory transaction. Our major clients, which in the aggregate represented a significant portion of our M&amp;A and Strategic Advisory revenue in the second quarter of 2011, included Asda Stores, Caisse des Dépôts, Hilite International, Lazard Real Estate Partners’ Sale of Atria Senior Living Group, Mitsubishi UFJ Financial Group, Smurfit-Stone Container, Stirling Square Capital Partners and A2A, Vodafone and Wind Telecom.</w:t>
      </w:r>
    </w:p>
    <w:p>
      <w:pPr>
        <w:spacing w:after="0" w:line="13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increase in Capital Markets and Other Advisory revenue principally reflected the increased value of fund closings by our Private Fund Advisory Group and increased underwriting fees from public offerings.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was driven by a reduction in global restructuring activity, resulting in a decline in the number of active assignments in the 2011 period as compared to the corresponding prior year period, and a corresponding decrease in completion fees. Notable assignments completed in the second quarter of 2011 included Capmark Financial Group, Pfleiderer, Satélites Mexicanos and Station Casinos.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remained substantially unchanged as compared to the 2010 period.</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Financial Advisory operating income was $35 million, an increase of $3 million, as compared to operating income of $32 million in the 2010 period and, as a percentage of net revenue, was 14% as compared to 13% in 2010.</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M&amp;A and Strategic Advisory, Capital Markets and Other Advisory net revenue, in the aggregate, increased $60 million, or 18%, as compared to the 2010 period, with M&amp;A and Strategic Advisory net revenue increasing $41 million, or 14%, and Capital Markets and Other Advisory net revenue increasing $19 million, or 46%. Offsetting these increases was a decline in Restructuring net revenue of $96 million, or 53%.</w:t>
      </w:r>
    </w:p>
    <w:p>
      <w:pPr>
        <w:spacing w:after="0" w:line="93"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increase in M&amp;A and Strategic Advisory revenue was principally due to higher average fees per M&amp;A and Strategic Advisory transaction. The increase in Capital Markets and Other Advisory revenue principally reflected the increased value of fund closings by our Private Fund Advisory Group and increased underwriting fees from public offerings.</w:t>
      </w:r>
    </w:p>
    <w:p>
      <w:pPr>
        <w:spacing w:after="0" w:line="12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Restructuring revenue is derived from various activities including bankruptcy assignments, global debt and financing restructurings, distressed asset sales and advice on complex on- and off-balance sheet assignments. The decrease in Restructuring revenue was driven by a reduction in global restructuring activity, resulting in a decline in the number of active assignments in the 2011 period as compared to the corresponding prior year period, and a corresponding decrease in completion fees.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Operating expenses decreased $24 million, or 5%, as compared to the 2010 period. Excluding the impact of the 2010 special item attributable to the Financial Advisory segment, operating expenses decreased $4 million, or 1%. The principal contributor to the decrease was a decline in compensation expense, partially offset by higher costs related to travel and other business development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Financial Advisory operating income was $50 million, a decrease of $13 million, as compared to operating income of $63 million in the 2010 period (with such latter amount including the impact of the 2010 special item) and, as a percentage of net revenue, was 11% as compared to 12% in 2010. Excluding the impact of the 2010 special item, operating income in the 2011 period decreased $32 million, as compared to operating income of $82 million in the 2010 period, and, as a percentage of net revenue, was 11%, as compared to 16% in the 2010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79"/>
              </w:rPr>
              <w:t>As of</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9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4"/>
                <w:szCs w:val="14"/>
                <w:color w:val="auto"/>
              </w:rPr>
            </w:pPr>
          </w:p>
        </w:tc>
      </w:tr>
      <w:tr>
        <w:trPr>
          <w:trHeight w:val="142"/>
        </w:trPr>
        <w:tc>
          <w:tcPr>
            <w:tcW w:w="9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left="41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International Equities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33,348</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32,037</w:t>
            </w: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80,791</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77,965</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U.S. Equities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22,039</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136,178</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131,300</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12,764</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19"/>
                <w:szCs w:val="19"/>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U.S. Fixed Income</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3,217</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17,939</w:t>
            </w:r>
          </w:p>
        </w:tc>
        <w:tc>
          <w:tcPr>
            <w:tcW w:w="5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w:t>
            </w:r>
          </w:p>
        </w:tc>
        <w:tc>
          <w:tcPr>
            <w:tcW w:w="100" w:type="dxa"/>
            <w:vAlign w:val="bottom"/>
            <w:shd w:val="clear" w:color="auto" w:fill="CCEEFF"/>
          </w:tcPr>
          <w:p>
            <w:pPr>
              <w:spacing w:after="0"/>
              <w:rPr>
                <w:sz w:val="18"/>
                <w:szCs w:val="18"/>
                <w:color w:val="auto"/>
              </w:rPr>
            </w:pPr>
          </w:p>
        </w:tc>
      </w:tr>
      <w:tr>
        <w:trPr>
          <w:trHeight w:val="221"/>
        </w:trPr>
        <w:tc>
          <w:tcPr>
            <w:tcW w:w="932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5,877</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5,524</w:t>
            </w:r>
          </w:p>
        </w:tc>
        <w:tc>
          <w:tcPr>
            <w:tcW w:w="100" w:type="dxa"/>
            <w:vAlign w:val="bottom"/>
          </w:tcPr>
          <w:p>
            <w:pPr>
              <w:spacing w:after="0"/>
              <w:rPr>
                <w:sz w:val="19"/>
                <w:szCs w:val="19"/>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Cash Management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161,597</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155,337</w:t>
            </w:r>
          </w:p>
        </w:tc>
        <w:tc>
          <w:tcPr>
            <w:tcW w:w="100" w:type="dxa"/>
            <w:vAlign w:val="bottom"/>
            <w:shd w:val="clear" w:color="auto" w:fill="CCEEFF"/>
          </w:tcPr>
          <w:p>
            <w:pPr>
              <w:spacing w:after="0"/>
              <w:rPr>
                <w:sz w:val="18"/>
                <w:szCs w:val="18"/>
                <w:color w:val="auto"/>
              </w:rPr>
            </w:pP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2011 and 2010 periods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Three Months Ended</w:t>
            </w: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1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$ 161,024</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$ 129,227</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$ 159,129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$ 129,333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Total AUM at June 30, 2011 increased $6 billion, or 4%, as compared to that at December 31, 2010. Average AUM for the three month and six month periods in 2011 was 25% and 23% higher, respectively, than the average AUM for the corresponding periods in 2010, principally the result of market appreciation (which was generally consistent with the industry as a whole) and net inflows occurring during the six month period ended December 31, 2010. International, Global and U.S. equities represented 21%, 50% and 14% of total AUM at June 30, 2011, unchanged versus December 31, 2010.</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30, 2011 and December 31, 2010, approximately 90% of our AUM was managed on behalf of institutional clients, including corporations, labor unions, public pension funds, insurance companies and banks, and through sub-advisory relationships, mutual fund sponsors, broker-dealers and registered advisors, and, as of such dates, 10% of our AUM was managed on behalf of individual client relationships, which are principally with family offices and high-net worth individuals.</w:t>
      </w:r>
    </w:p>
    <w:p>
      <w:pPr>
        <w:spacing w:after="0" w:line="13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As of June 30, 2011, AUM denominated in foreign currencies represented approximately 47% of our total AUM, as compared to 45% at December 31, 2010. Foreign denominated AUM declines in value with the strengthening of the U.S. dollar and increases in value as the U.S. dollar weakens.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2011 and 2010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40" w:type="dxa"/>
            <w:vAlign w:val="bottom"/>
            <w:gridSpan w:val="5"/>
          </w:tcPr>
          <w:p>
            <w:pPr>
              <w:ind w:left="500"/>
              <w:spacing w:after="0" w:line="142" w:lineRule="exact"/>
              <w:rPr>
                <w:sz w:val="20"/>
                <w:szCs w:val="20"/>
                <w:color w:val="auto"/>
              </w:rPr>
            </w:pPr>
            <w:r>
              <w:rPr>
                <w:rFonts w:ascii="Arial" w:cs="Arial" w:eastAsia="Arial" w:hAnsi="Arial"/>
                <w:sz w:val="14"/>
                <w:szCs w:val="14"/>
                <w:b w:val="1"/>
                <w:bCs w:val="1"/>
                <w:color w:val="auto"/>
              </w:rPr>
              <w:t>($ in millions)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AUM—Beginning of Period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$160,451</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$134,972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$155,337</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Net Flows (a)</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2,064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AUM—End of Period</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8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161,597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123,483</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161,597</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inflows of $5,310 and $9,275 and outflows of $5,637 and $7,211 for the three month periods in 2011 and 2010, respectively, and inflows of $11,075 and $18,281 and outflows of $10,707 and $13,250 for the six month periods in 2011 and 2010, respectively.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Inflows in the first half of 2011 were principally in Global Equities due to increased investments in existing accounts, as well as new accounts gained.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Outflows in the period occurred primarily in Global and International Equities and, to a lesser extent, certain International and Fixed Income products.</w:t>
      </w:r>
    </w:p>
    <w:p>
      <w:pPr>
        <w:spacing w:after="0" w:line="174"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As of July 22, 2011, AUM was $162.7 billion, a $1.1 billion increase since June 30, 2011. The change in AUM was due to market/foreign exchange appreciation of $1.8 billion and net outflows of $0.7 billion. Market appreciation was approximately 1% of AUM since June 30, 2011, which was generally consistent with the increase in global market indices during that period.</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tables summarize the operating results of the Asset Management segment. Operating results for the six month period of 2010 are shown before and after the charge attributable to the Asset Management segment related to the 2010 special item.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15"/>
              <w:spacing w:after="0" w:line="142" w:lineRule="exact"/>
              <w:rPr>
                <w:sz w:val="20"/>
                <w:szCs w:val="20"/>
                <w:color w:val="auto"/>
              </w:rPr>
            </w:pPr>
            <w:r>
              <w:rPr>
                <w:rFonts w:ascii="Arial" w:cs="Arial" w:eastAsia="Arial" w:hAnsi="Arial"/>
                <w:sz w:val="14"/>
                <w:szCs w:val="14"/>
                <w:b w:val="1"/>
                <w:bCs w:val="1"/>
                <w:color w:val="auto"/>
                <w:w w:val="86"/>
              </w:rPr>
              <w:t>($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221,217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166,987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244,855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189,414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 (c)</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160,914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136,886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83,941</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vMerge w:val="restart"/>
          </w:tcPr>
          <w:p>
            <w:pPr>
              <w:jc w:val="right"/>
              <w:ind w:right="3352"/>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8"/>
              </w:rPr>
              <w:t>Six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25"/>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9"/>
              </w:rPr>
              <w:t>Impact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2"/>
              <w:spacing w:after="0" w:line="12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gridSpan w:val="2"/>
          </w:tcPr>
          <w:p>
            <w:pPr>
              <w:jc w:val="center"/>
              <w:ind w:right="652"/>
              <w:spacing w:after="0" w:line="149" w:lineRule="exact"/>
              <w:rPr>
                <w:sz w:val="20"/>
                <w:szCs w:val="20"/>
                <w:color w:val="auto"/>
              </w:rPr>
            </w:pPr>
            <w:r>
              <w:rPr>
                <w:rFonts w:ascii="Arial" w:cs="Arial" w:eastAsia="Arial" w:hAnsi="Arial"/>
                <w:sz w:val="14"/>
                <w:szCs w:val="14"/>
                <w:b w:val="1"/>
                <w:bCs w:val="1"/>
                <w:color w:val="auto"/>
                <w:w w:val="92"/>
              </w:rPr>
              <w:t>U.S. GAAP</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Special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gridSpan w:val="2"/>
          </w:tcPr>
          <w:p>
            <w:pPr>
              <w:jc w:val="center"/>
              <w:ind w:right="672"/>
              <w:spacing w:after="0" w:line="149" w:lineRule="exact"/>
              <w:rPr>
                <w:sz w:val="20"/>
                <w:szCs w:val="20"/>
                <w:color w:val="auto"/>
              </w:rPr>
            </w:pPr>
            <w:r>
              <w:rPr>
                <w:rFonts w:ascii="Arial" w:cs="Arial" w:eastAsia="Arial" w:hAnsi="Arial"/>
                <w:sz w:val="14"/>
                <w:szCs w:val="14"/>
                <w:b w:val="1"/>
                <w:bCs w:val="1"/>
                <w:color w:val="auto"/>
                <w:w w:val="89"/>
              </w:rPr>
              <w:t>As</w:t>
            </w:r>
          </w:p>
        </w:tc>
        <w:tc>
          <w:tcPr>
            <w:tcW w:w="40" w:type="dxa"/>
            <w:vAlign w:val="bottom"/>
          </w:tcPr>
          <w:p>
            <w:pPr>
              <w:spacing w:after="0"/>
              <w:rPr>
                <w:sz w:val="12"/>
                <w:szCs w:val="12"/>
                <w:color w:val="auto"/>
              </w:rPr>
            </w:pPr>
          </w:p>
        </w:tc>
        <w:tc>
          <w:tcPr>
            <w:tcW w:w="1440" w:type="dxa"/>
            <w:vAlign w:val="bottom"/>
            <w:gridSpan w:val="3"/>
          </w:tcPr>
          <w:p>
            <w:pPr>
              <w:jc w:val="right"/>
              <w:ind w:right="692"/>
              <w:spacing w:after="0" w:line="149" w:lineRule="exact"/>
              <w:rPr>
                <w:sz w:val="20"/>
                <w:szCs w:val="20"/>
                <w:color w:val="auto"/>
              </w:rPr>
            </w:pPr>
            <w:r>
              <w:rPr>
                <w:rFonts w:ascii="Arial" w:cs="Arial" w:eastAsia="Arial" w:hAnsi="Arial"/>
                <w:sz w:val="14"/>
                <w:szCs w:val="14"/>
                <w:b w:val="1"/>
                <w:bCs w:val="1"/>
                <w:color w:val="auto"/>
                <w:w w:val="92"/>
              </w:rPr>
              <w:t>U.S. GAAP</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Item</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gridSpan w:val="2"/>
          </w:tcPr>
          <w:p>
            <w:pPr>
              <w:jc w:val="center"/>
              <w:ind w:right="652"/>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4"/>
                <w:szCs w:val="14"/>
                <w:color w:val="auto"/>
              </w:rPr>
            </w:pPr>
          </w:p>
        </w:tc>
        <w:tc>
          <w:tcPr>
            <w:tcW w:w="144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w w:val="84"/>
              </w:rPr>
              <w:t>As Reported</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4"/>
                <w:szCs w:val="14"/>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Special Item (b)</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4"/>
          </w:tcPr>
          <w:p>
            <w:pPr>
              <w:jc w:val="center"/>
              <w:ind w:right="720"/>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Management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$427,985</w:t>
            </w:r>
          </w:p>
        </w:tc>
        <w:tc>
          <w:tcPr>
            <w:tcW w:w="7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2"/>
              </w:rPr>
              <w:t>$ 328,783</w:t>
            </w: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2"/>
              <w:spacing w:after="0"/>
              <w:rPr>
                <w:sz w:val="20"/>
                <w:szCs w:val="20"/>
                <w:color w:val="auto"/>
              </w:rPr>
            </w:pPr>
            <w:r>
              <w:rPr>
                <w:rFonts w:ascii="Arial" w:cs="Arial" w:eastAsia="Arial" w:hAnsi="Arial"/>
                <w:sz w:val="18"/>
                <w:szCs w:val="18"/>
                <w:color w:val="auto"/>
              </w:rPr>
              <w:t>328,783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Incentive Fees</w:t>
            </w:r>
          </w:p>
        </w:tc>
        <w:tc>
          <w:tcPr>
            <w:tcW w:w="2620" w:type="dxa"/>
            <w:vAlign w:val="bottom"/>
            <w:gridSpan w:val="3"/>
            <w:shd w:val="clear" w:color="auto" w:fill="CCEEFF"/>
          </w:tcPr>
          <w:p>
            <w:pPr>
              <w:jc w:val="right"/>
              <w:ind w:right="632"/>
              <w:spacing w:after="0"/>
              <w:rPr>
                <w:sz w:val="20"/>
                <w:szCs w:val="20"/>
                <w:color w:val="auto"/>
              </w:rPr>
            </w:pPr>
            <w:r>
              <w:rPr>
                <w:rFonts w:ascii="Arial" w:cs="Arial" w:eastAsia="Arial" w:hAnsi="Arial"/>
                <w:sz w:val="18"/>
                <w:szCs w:val="18"/>
                <w:color w:val="auto"/>
              </w:rPr>
              <w:t>11,477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26,422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Other Income</w:t>
            </w:r>
          </w:p>
        </w:tc>
        <w:tc>
          <w:tcPr>
            <w:tcW w:w="1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32,246</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21,962</w:t>
            </w: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21,962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Net Revenue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471,708</w:t>
            </w:r>
          </w:p>
        </w:tc>
        <w:tc>
          <w:tcPr>
            <w:tcW w:w="7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377,167</w:t>
            </w: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377,167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Expenses (c)</w:t>
            </w:r>
          </w:p>
        </w:tc>
        <w:tc>
          <w:tcPr>
            <w:tcW w:w="2620" w:type="dxa"/>
            <w:vAlign w:val="bottom"/>
            <w:gridSpan w:val="3"/>
          </w:tcPr>
          <w:p>
            <w:pPr>
              <w:jc w:val="right"/>
              <w:ind w:right="632"/>
              <w:spacing w:after="0"/>
              <w:rPr>
                <w:sz w:val="20"/>
                <w:szCs w:val="20"/>
                <w:color w:val="auto"/>
              </w:rPr>
            </w:pPr>
            <w:r>
              <w:rPr>
                <w:rFonts w:ascii="Arial" w:cs="Arial" w:eastAsia="Arial" w:hAnsi="Arial"/>
                <w:sz w:val="18"/>
                <w:szCs w:val="18"/>
                <w:color w:val="auto"/>
              </w:rPr>
              <w:t>310,118</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266,326</w:t>
            </w:r>
          </w:p>
        </w:tc>
        <w:tc>
          <w:tcPr>
            <w:tcW w:w="720" w:type="dxa"/>
            <w:vAlign w:val="bottom"/>
          </w:tcPr>
          <w:p>
            <w:pPr>
              <w:spacing w:after="0"/>
              <w:rPr>
                <w:sz w:val="19"/>
                <w:szCs w:val="19"/>
                <w:color w:val="auto"/>
              </w:rPr>
            </w:pPr>
          </w:p>
        </w:tc>
        <w:tc>
          <w:tcPr>
            <w:tcW w:w="800" w:type="dxa"/>
            <w:vAlign w:val="bottom"/>
          </w:tcPr>
          <w:p>
            <w:pPr>
              <w:jc w:val="center"/>
              <w:ind w:right="45"/>
              <w:spacing w:after="0"/>
              <w:rPr>
                <w:sz w:val="20"/>
                <w:szCs w:val="20"/>
                <w:color w:val="auto"/>
              </w:rPr>
            </w:pPr>
            <w:r>
              <w:rPr>
                <w:rFonts w:ascii="Arial" w:cs="Arial" w:eastAsia="Arial" w:hAnsi="Arial"/>
                <w:sz w:val="18"/>
                <w:szCs w:val="18"/>
                <w:color w:val="auto"/>
                <w:w w:val="93"/>
              </w:rPr>
              <w:t>$ 2,902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2"/>
              <w:spacing w:after="0"/>
              <w:rPr>
                <w:sz w:val="20"/>
                <w:szCs w:val="20"/>
                <w:color w:val="auto"/>
              </w:rPr>
            </w:pPr>
            <w:r>
              <w:rPr>
                <w:rFonts w:ascii="Arial" w:cs="Arial" w:eastAsia="Arial" w:hAnsi="Arial"/>
                <w:sz w:val="18"/>
                <w:szCs w:val="18"/>
                <w:color w:val="auto"/>
              </w:rPr>
              <w:t>263,424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$161,590</w:t>
            </w:r>
          </w:p>
        </w:tc>
        <w:tc>
          <w:tcPr>
            <w:tcW w:w="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$ 110,841</w:t>
            </w: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113,743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1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20" w:type="dxa"/>
            <w:vAlign w:val="bottom"/>
            <w:gridSpan w:val="2"/>
            <w:vMerge w:val="continue"/>
          </w:tcPr>
          <w:p>
            <w:pPr>
              <w:spacing w:after="0" w:line="20" w:lineRule="exact"/>
              <w:rPr>
                <w:sz w:val="1"/>
                <w:szCs w:val="1"/>
                <w:color w:val="auto"/>
              </w:rPr>
            </w:pPr>
          </w:p>
        </w:tc>
        <w:tc>
          <w:tcPr>
            <w:tcW w:w="12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vMerge w:val="restart"/>
          </w:tcPr>
          <w:p>
            <w:pPr>
              <w:jc w:val="right"/>
              <w:ind w:right="492"/>
              <w:spacing w:after="0" w:line="202" w:lineRule="exact"/>
              <w:rPr>
                <w:sz w:val="20"/>
                <w:szCs w:val="20"/>
                <w:color w:val="auto"/>
              </w:rPr>
            </w:pPr>
            <w:r>
              <w:rPr>
                <w:rFonts w:ascii="Arial" w:cs="Arial" w:eastAsia="Arial" w:hAnsi="Arial"/>
                <w:sz w:val="18"/>
                <w:szCs w:val="18"/>
                <w:color w:val="auto"/>
                <w:w w:val="74"/>
              </w:rPr>
              <w:t>%</w:t>
            </w: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680" w:type="dxa"/>
            <w:vAlign w:val="bottom"/>
          </w:tcPr>
          <w:p>
            <w:pPr>
              <w:jc w:val="right"/>
              <w:spacing w:after="0" w:line="204" w:lineRule="exact"/>
              <w:rPr>
                <w:sz w:val="20"/>
                <w:szCs w:val="20"/>
                <w:color w:val="auto"/>
              </w:rPr>
            </w:pPr>
            <w:r>
              <w:rPr>
                <w:rFonts w:ascii="Arial" w:cs="Arial" w:eastAsia="Arial" w:hAnsi="Arial"/>
                <w:sz w:val="18"/>
                <w:szCs w:val="18"/>
                <w:color w:val="auto"/>
              </w:rPr>
              <w:t>34</w:t>
            </w:r>
          </w:p>
        </w:tc>
        <w:tc>
          <w:tcPr>
            <w:tcW w:w="720" w:type="dxa"/>
            <w:vAlign w:val="bottom"/>
            <w:vMerge w:val="continue"/>
          </w:tcPr>
          <w:p>
            <w:pPr>
              <w:spacing w:after="0"/>
              <w:rPr>
                <w:sz w:val="17"/>
                <w:szCs w:val="17"/>
                <w:color w:val="auto"/>
              </w:rPr>
            </w:pPr>
          </w:p>
        </w:tc>
        <w:tc>
          <w:tcPr>
            <w:tcW w:w="1480" w:type="dxa"/>
            <w:vAlign w:val="bottom"/>
            <w:gridSpan w:val="4"/>
          </w:tcPr>
          <w:p>
            <w:pPr>
              <w:jc w:val="right"/>
              <w:ind w:right="512"/>
              <w:spacing w:after="0" w:line="204" w:lineRule="exact"/>
              <w:rPr>
                <w:sz w:val="20"/>
                <w:szCs w:val="20"/>
                <w:color w:val="auto"/>
              </w:rPr>
            </w:pPr>
            <w:r>
              <w:rPr>
                <w:rFonts w:ascii="Arial" w:cs="Arial" w:eastAsia="Arial" w:hAnsi="Arial"/>
                <w:sz w:val="18"/>
                <w:szCs w:val="18"/>
                <w:color w:val="auto"/>
              </w:rPr>
              <w:t>29%</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30</w:t>
            </w:r>
          </w:p>
        </w:tc>
        <w:tc>
          <w:tcPr>
            <w:tcW w:w="2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As Of</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80" w:type="dxa"/>
            <w:vAlign w:val="bottom"/>
            <w:gridSpan w:val="4"/>
          </w:tcPr>
          <w:p>
            <w:pPr>
              <w:jc w:val="right"/>
              <w:ind w:right="932"/>
              <w:spacing w:after="0" w:line="129" w:lineRule="exact"/>
              <w:rPr>
                <w:sz w:val="20"/>
                <w:szCs w:val="20"/>
                <w:color w:val="auto"/>
              </w:rPr>
            </w:pPr>
            <w:r>
              <w:rPr>
                <w:rFonts w:ascii="Arial" w:cs="Arial" w:eastAsia="Arial" w:hAnsi="Arial"/>
                <w:sz w:val="14"/>
                <w:szCs w:val="14"/>
                <w:b w:val="1"/>
                <w:bCs w:val="1"/>
                <w:color w:val="auto"/>
                <w:w w:val="82"/>
              </w:rPr>
              <w:t>June 30,</w:t>
            </w:r>
          </w:p>
        </w:tc>
        <w:tc>
          <w:tcPr>
            <w:tcW w:w="10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(d):</w:t>
            </w:r>
          </w:p>
        </w:tc>
        <w:tc>
          <w:tcPr>
            <w:tcW w:w="1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20 of Notes to Condensed Consolidated Financial Statements).</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ind w:right="140" w:firstLine="456"/>
        <w:spacing w:after="0" w:line="323"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the respective AUM amounts. Such geographical distribution may not be reflective of the geography of the investment products or clients.</w:t>
      </w:r>
    </w:p>
    <w:tbl>
      <w:tblPr>
        <w:tblLayout w:type="fixed"/>
        <w:tblInd w:w="0" w:type="dxa"/>
        <w:tblCellMar>
          <w:top w:w="0" w:type="dxa"/>
          <w:left w:w="0" w:type="dxa"/>
          <w:bottom w:w="0" w:type="dxa"/>
          <w:right w:w="0" w:type="dxa"/>
        </w:tblCellMar>
      </w:tblPr>
      <w:tr>
        <w:trPr>
          <w:trHeight w:val="149"/>
        </w:trPr>
        <w:tc>
          <w:tcPr>
            <w:tcW w:w="6800" w:type="dxa"/>
            <w:vAlign w:val="bottom"/>
          </w:tcPr>
          <w:p>
            <w:pPr>
              <w:spacing w:after="0"/>
              <w:rPr>
                <w:sz w:val="12"/>
                <w:szCs w:val="12"/>
                <w:color w:val="auto"/>
              </w:rPr>
            </w:pPr>
          </w:p>
        </w:tc>
        <w:tc>
          <w:tcPr>
            <w:tcW w:w="2760" w:type="dxa"/>
            <w:vAlign w:val="bottom"/>
            <w:gridSpan w:val="5"/>
          </w:tcPr>
          <w:p>
            <w:pPr>
              <w:jc w:val="right"/>
              <w:ind w:right="1180"/>
              <w:spacing w:after="0" w:line="149" w:lineRule="exact"/>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6"/>
          </w:tcPr>
          <w:p>
            <w:pPr>
              <w:jc w:val="right"/>
              <w:ind w:right="50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61"/>
        </w:trPr>
        <w:tc>
          <w:tcPr>
            <w:tcW w:w="6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right"/>
              <w:ind w:right="156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85"/>
              </w:rPr>
              <w:t>June 30,</w:t>
            </w: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84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2060" w:type="dxa"/>
            <w:vAlign w:val="bottom"/>
            <w:gridSpan w:val="3"/>
          </w:tcPr>
          <w:p>
            <w:pPr>
              <w:jc w:val="right"/>
              <w:ind w:right="84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06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2060" w:type="dxa"/>
            <w:vAlign w:val="bottom"/>
            <w:gridSpan w:val="3"/>
          </w:tcPr>
          <w:p>
            <w:pPr>
              <w:jc w:val="right"/>
              <w:ind w:right="70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300" w:type="dxa"/>
            <w:vAlign w:val="bottom"/>
            <w:gridSpan w:val="4"/>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Management segment had a significant impact on the segment’s reported operating results for the six month period of 2010. Lazard management believes that comparisons between periods are most meaningful after excluding the impact of such item.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Asset Management net revenue increased $55 million, or 29%, as compared to the 2010 period. Management fees increased $54 million, or 32%, as compared to the 2010 period, driven primarily by a 25% increase in average AUM, due principally to the increase in equity market indices since June 30, 2010, and, to a lesser extent, a favorable change in the mix of AUM into higher margin equity products. Incentive fees, consisting of traditional long-only investment strategies, decreased $6 million, or 50%, as compared to the 2010 period. Other revenue increased $7 million, or 77%, as compared to the 2010 period, principally due to increased investment income and custody fees.</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Operating expenses increased $24 million, or 18%, as compared to the 2010 period, principally due to higher compensation expense, as well as higher fees for fund administration and business development expenses for travel and market related data due to the increased level of business activity and AUM.</w:t>
      </w:r>
    </w:p>
    <w:p>
      <w:pPr>
        <w:spacing w:after="0" w:line="7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Asset Management operating income was $84 million, an increase of $31 million, as compared to operating income of $53 million in the 2010 period and, as a percentage of net revenue, was 34% as compared to 28% in 2010.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Asset Management net revenue increased $95 million, or 25%, as compared to the 2010 period. Management fees increased $99 million, or 30%, as compared to the 2010 period, driven primarily by a 23% increase in average AUM, due principally to the increase in equity market indices since June 30, 2010, and, to a lesser extent, a favorable change in the mix of AUM into higher margin equity products. Incentive fees, consisting of traditional long-only investment strategies, decreased $15 million, or 57%, as compared to the 2010 period. Other revenue increased $10 million, or 47%, as compared to the 2010 period, principally due to increased investment and commission income.</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expenses increased $44 million, or 16%, as compared to the 2010 period. Excluding the impact of the 2010 special item attributable to the Asset Management segment, operating expenses increased $47 million, or 18%, principally due to higher compensation expense, as well as higher fees for fund administration and business development expenses for travel and market related data due to the increased level of business activity and AUM.</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Asset Management operating income was $162 million, an increase of $51 million, as compared to operating income of $111 million in the 2010 period (with such latter amount including the impact of the 2010 special item) and, as a percentage of net revenue, was 34% as compared to 29% in 2010. Excluding the impact of the 2010 special item, operating income in the 2011 period increased $48 million, as compared to operating income of $114 million in the 2010 period, and, as a percentage of net revenue, was 34%, as compared to 30% in the 2010 period.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auto"/>
            </w:tcBorders>
            <w:gridSpan w:val="4"/>
          </w:tcPr>
          <w:p>
            <w:pPr>
              <w:jc w:val="center"/>
              <w:ind w:left="463"/>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center"/>
              <w:ind w:right="22"/>
              <w:spacing w:after="0" w:line="142" w:lineRule="exact"/>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1,622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(22,626)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(23,836)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(19,865)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(16,352)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(29,713)</w:t>
            </w:r>
          </w:p>
        </w:tc>
        <w:tc>
          <w:tcPr>
            <w:tcW w:w="10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8"/>
          </w:tcPr>
          <w:p>
            <w:pPr>
              <w:jc w:val="center"/>
              <w:ind w:right="620"/>
              <w:spacing w:after="0"/>
              <w:rPr>
                <w:sz w:val="20"/>
                <w:szCs w:val="20"/>
                <w:color w:val="auto"/>
              </w:rPr>
            </w:pPr>
            <w:r>
              <w:rPr>
                <w:rFonts w:ascii="Arial" w:cs="Arial" w:eastAsia="Arial" w:hAnsi="Arial"/>
                <w:sz w:val="14"/>
                <w:szCs w:val="14"/>
                <w:b w:val="1"/>
                <w:bCs w:val="1"/>
                <w:color w:val="auto"/>
                <w:w w:val="87"/>
              </w:rPr>
              <w:t>Six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3"/>
              </w:rPr>
              <w:t>2011</w:t>
            </w:r>
          </w:p>
        </w:tc>
        <w:tc>
          <w:tcPr>
            <w:tcW w:w="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563"/>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Non-U.S.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U.S. GAAP</w:t>
            </w:r>
          </w:p>
        </w:tc>
        <w:tc>
          <w:tcPr>
            <w:tcW w:w="150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U.S. GAAP</w:t>
            </w:r>
          </w:p>
        </w:tc>
        <w:tc>
          <w:tcPr>
            <w:tcW w:w="10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Impact of</w:t>
            </w:r>
          </w:p>
        </w:tc>
        <w:tc>
          <w:tcPr>
            <w:tcW w:w="260" w:type="dxa"/>
            <w:vAlign w:val="bottom"/>
          </w:tcPr>
          <w:p>
            <w:pPr>
              <w:spacing w:after="0"/>
              <w:rPr>
                <w:sz w:val="12"/>
                <w:szCs w:val="12"/>
                <w:color w:val="auto"/>
              </w:rPr>
            </w:pPr>
          </w:p>
        </w:tc>
        <w:tc>
          <w:tcPr>
            <w:tcW w:w="7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77"/>
              </w:rPr>
              <w:t>As</w:t>
            </w:r>
          </w:p>
        </w:tc>
        <w:tc>
          <w:tcPr>
            <w:tcW w:w="100" w:type="dxa"/>
            <w:vAlign w:val="bottom"/>
          </w:tcPr>
          <w:p>
            <w:pPr>
              <w:spacing w:after="0"/>
              <w:rPr>
                <w:sz w:val="12"/>
                <w:szCs w:val="12"/>
                <w:color w:val="auto"/>
              </w:rPr>
            </w:pPr>
          </w:p>
        </w:tc>
        <w:tc>
          <w:tcPr>
            <w:tcW w:w="140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As</w:t>
            </w:r>
          </w:p>
        </w:tc>
        <w:tc>
          <w:tcPr>
            <w:tcW w:w="10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Special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4"/>
                <w:szCs w:val="14"/>
                <w:color w:val="auto"/>
              </w:rPr>
            </w:pPr>
          </w:p>
        </w:tc>
        <w:tc>
          <w:tcPr>
            <w:tcW w:w="140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87"/>
              </w:rPr>
              <w:t>Reported</w:t>
            </w:r>
          </w:p>
        </w:tc>
        <w:tc>
          <w:tcPr>
            <w:tcW w:w="10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Items (a)</w:t>
            </w:r>
          </w:p>
        </w:tc>
        <w:tc>
          <w:tcPr>
            <w:tcW w:w="260" w:type="dxa"/>
            <w:vAlign w:val="bottom"/>
          </w:tcPr>
          <w:p>
            <w:pPr>
              <w:spacing w:after="0"/>
              <w:rPr>
                <w:sz w:val="14"/>
                <w:szCs w:val="14"/>
                <w:color w:val="auto"/>
              </w:rPr>
            </w:pPr>
          </w:p>
        </w:tc>
        <w:tc>
          <w:tcPr>
            <w:tcW w:w="7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Items (b)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ind w:left="399"/>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(45,353)</w:t>
            </w:r>
          </w:p>
        </w:tc>
        <w:tc>
          <w:tcPr>
            <w:tcW w:w="100" w:type="dxa"/>
            <w:vAlign w:val="bottom"/>
          </w:tcPr>
          <w:p>
            <w:pPr>
              <w:spacing w:after="0"/>
              <w:rPr>
                <w:sz w:val="18"/>
                <w:szCs w:val="18"/>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(48,536)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(48,536)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(42,147)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(40,084)</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(40,084)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7,718</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(34,429)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(34,390)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(34,390)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14,766</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106,650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363"/>
              <w:spacing w:after="0"/>
              <w:rPr>
                <w:sz w:val="20"/>
                <w:szCs w:val="20"/>
                <w:color w:val="auto"/>
              </w:rPr>
            </w:pPr>
            <w:r>
              <w:rPr>
                <w:rFonts w:ascii="Arial" w:cs="Arial" w:eastAsia="Arial" w:hAnsi="Arial"/>
                <w:sz w:val="18"/>
                <w:szCs w:val="18"/>
                <w:color w:val="auto"/>
                <w:w w:val="89"/>
              </w:rPr>
              <w:t>$89,495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17,155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(49,195)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8"/>
              </w:rPr>
              <w:t>(141,040)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(51,545)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1"/>
                <w:szCs w:val="11"/>
                <w:color w:val="auto"/>
              </w:rPr>
            </w:pPr>
          </w:p>
        </w:tc>
        <w:tc>
          <w:tcPr>
            <w:tcW w:w="7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82"/>
              </w:rPr>
              <w:t>June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4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020" w:type="dxa"/>
            <w:vAlign w:val="bottom"/>
            <w:gridSpan w:val="3"/>
          </w:tcPr>
          <w:p>
            <w:pPr>
              <w:jc w:val="right"/>
              <w:ind w:right="123"/>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Headcount (c):</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8"/>
                <w:szCs w:val="18"/>
                <w:color w:val="auto"/>
              </w:rPr>
              <w:t>11</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portion of the 2010 special items attributable to the Corporate segment (see Note 20 of Notes to Condensed Consolidated Financial Statements).</w:t>
      </w: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special items had a significant impact on the segment’s reported operating results for the six month period of 2010. Lazard management believes that comparisons between periods are most meaningful after excluding the impact of such items.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2011 versus June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and other revenue was substantially unchanged as compared to the 2010 period.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in the 2011 period increased $12 million, principally due to increased compensation expense.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2011 versus June 30, 2010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interest expense and other revenue was substantially unchanged as compared to the 2010 period.</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Operating expenses in the 2011 period decreased $92 million, or 86%, substantially all of which related to the net impact in the prior year’s period of the 2010 special items attributable to the Corporate segment. When excluding the impact of the 2010 special items, operating expenses decreased $2 million, or 14%, principally due to expenses related to secondary offerings in the 2010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left="276"/>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131.5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179.7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221.8</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8"/>
              </w:rPr>
              <w:t>(296.3)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(325.8)</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8"/>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00" w:type="dxa"/>
            <w:vAlign w:val="bottom"/>
          </w:tcPr>
          <w:p>
            <w:pPr>
              <w:spacing w:after="0"/>
              <w:rPr>
                <w:sz w:val="18"/>
                <w:szCs w:val="18"/>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98"/>
              </w:rPr>
              <w:t>(254.5)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(103.7)</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72"/>
              <w:spacing w:after="0"/>
              <w:rPr>
                <w:sz w:val="20"/>
                <w:szCs w:val="20"/>
                <w:color w:val="auto"/>
              </w:rPr>
            </w:pPr>
            <w:r>
              <w:rPr>
                <w:rFonts w:ascii="Arial" w:cs="Arial" w:eastAsia="Arial" w:hAnsi="Arial"/>
                <w:sz w:val="18"/>
                <w:szCs w:val="18"/>
                <w:color w:val="auto"/>
                <w:w w:val="98"/>
              </w:rPr>
              <w:t>(225.7)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(119.9)</w:t>
            </w:r>
          </w:p>
        </w:tc>
        <w:tc>
          <w:tcPr>
            <w:tcW w:w="0" w:type="dxa"/>
            <w:vAlign w:val="bottom"/>
          </w:tcPr>
          <w:p>
            <w:pPr>
              <w:spacing w:after="0"/>
              <w:rPr>
                <w:sz w:val="1"/>
                <w:szCs w:val="1"/>
                <w:color w:val="auto"/>
              </w:rPr>
            </w:pPr>
          </w:p>
        </w:tc>
      </w:tr>
      <w:tr>
        <w:trPr>
          <w:trHeight w:val="218"/>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w w:val="86"/>
              </w:rPr>
              <w:t>1,209.7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917.3</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984.0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797.4</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8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48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8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stock units and interest rate hedge</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164.7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207.8</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12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179.7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221.8</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8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62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primarily of activity in the 2010 period relating to proceeds from sales and maturities of “available-for-sale” securities and the distribution received relating to our equity method investment in Sapphire.</w:t>
      </w:r>
    </w:p>
    <w:p>
      <w:pPr>
        <w:ind w:left="460" w:right="4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primarily of distributions to noncontrolling interest holders, settlements of vested RSUs, Class A common stock dividends and purchases of shares of Class A common stock and common membership interests from LAZ-MD Holdings.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 operating income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has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members’/stockholders’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June 30, 2011, Lazard had approximately $1.1 billion of cash and liquid securities (including $32 million of U.S. Government debt and agencies securities and $111 million of investments in equity securities), with such aggregate amount including approximately $310 million held at Lazard’s foreign operations. Since Lazard provides for U.S. income taxes on substantially all of its unrepatriated foreign earnings, no material amount of additional U.S. income taxes would be recognized upon receipt of dividends or distributions of such earnings from its foreign operations.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maintain lines of credit in excess of anticipated liquidity requirements. As of June 30, 2011, Lazard had approximately $285 million in unused lines of credit available to it, including a $150 million, three-year, senior revolving credit facility with a group of lenders that matures in April 2013 (the “Credit Facility”) (see “—Financing” below) and unused lines of credit available to LFB of approximately $107 million (at June 30, 2011 exchange rates) and Edgewater of $20 million. In addition, LFB has access to the Eurosystem Covered Bond Purchase Program of the Banque de France.</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Credit Facility contains customary terms and conditions, including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table below sets forth our corporate indebtedness as of June 30, 2011 and December 31, 2010. The agreements with respect to this indebtedness are discussed in more detail in our consolidated financial statements and related notes included elsewhere in this Form 10-Q and in our Form 10-K.</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As of</w:t>
            </w:r>
          </w:p>
        </w:tc>
        <w:tc>
          <w:tcPr>
            <w:tcW w:w="62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June 30,</w:t>
            </w:r>
          </w:p>
        </w:tc>
        <w:tc>
          <w:tcPr>
            <w:tcW w:w="7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December 31,</w:t>
            </w:r>
          </w:p>
        </w:tc>
        <w:tc>
          <w:tcPr>
            <w:tcW w:w="74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right"/>
              <w:ind w:right="99"/>
              <w:spacing w:after="0"/>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ind w:left="72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5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5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Subordinated Debt (a):</w:t>
            </w: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3.25%</w:t>
            </w:r>
          </w:p>
        </w:tc>
        <w:tc>
          <w:tcPr>
            <w:tcW w:w="55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8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1,226.9</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9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Until June 30, 2011 the note had a conversion feature which permitted the holder to convert the note into a maximum of 2,631,570 shares of Class A common stock at an effective conversion price of $57 per share. No conversions had occurred through that date and the note was no longer convertible. On July 22, 2011, the Company repurchased its outstanding 3.25% subordinated note, at a cost, excluding accrued interest, of $131.8 million. Such repurchase resulted in a pre-tax gain of $18.2 million, which is being recognized by the Company in the third quarter of 2011.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2011 Lazard Group was in compliance with such ratios, with its Consolidated Leverage Ratio being 1.67 to 1.00 and its Consolidated Interest Coverage Ratio being 10.83 to 1.00. In any event, no amounts were outstanding under the Credit Facility as of June 30, 2011.</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Credit Facility, indenture and supplemental indentures relating to Lazard Group’s senior notes, contain certain other covenants (none of which relate to financial condition), events of default and other customary provisions. At June 30, 2011,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30" w:lineRule="exact"/>
        <w:rPr>
          <w:sz w:val="20"/>
          <w:szCs w:val="20"/>
          <w:color w:val="auto"/>
        </w:rPr>
      </w:pPr>
    </w:p>
    <w:p>
      <w:pPr>
        <w:ind w:right="1240" w:firstLine="456"/>
        <w:spacing w:after="0" w:line="375" w:lineRule="auto"/>
        <w:rPr>
          <w:sz w:val="20"/>
          <w:szCs w:val="20"/>
          <w:color w:val="auto"/>
        </w:rPr>
      </w:pPr>
      <w:r>
        <w:rPr>
          <w:rFonts w:ascii="Arial" w:cs="Arial" w:eastAsia="Arial" w:hAnsi="Arial"/>
          <w:sz w:val="18"/>
          <w:szCs w:val="18"/>
          <w:color w:val="auto"/>
        </w:rPr>
        <w:t xml:space="preserve">See Note 10 of Notes to Condensed Consolidated Financial Statements for additional information regarding senior and subordinated debt. </w:t>
      </w:r>
      <w:r>
        <w:rPr>
          <w:rFonts w:ascii="Arial" w:cs="Arial" w:eastAsia="Arial" w:hAnsi="Arial"/>
          <w:sz w:val="18"/>
          <w:szCs w:val="18"/>
          <w:b w:val="1"/>
          <w:bCs w:val="1"/>
          <w:i w:val="1"/>
          <w:iCs w:val="1"/>
          <w:color w:val="auto"/>
        </w:rPr>
        <w:t>Stockholders’ Equity</w:t>
      </w:r>
    </w:p>
    <w:p>
      <w:pPr>
        <w:spacing w:after="0" w:line="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June 30, 2011, total stockholders’ equity was $858 million as compared to $796 million at December 31, 2010, including $147 million and $144 million of noncontrolling interests on the respective dates. The net activity in stockholders’ equity in the six month period ended June 30, 2011 is reflected in the table below (in millions of dollars):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 December 31, 2010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2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AOCI (including noncontrolling interests’ portion thereof)(*)</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Delivery of Class A common stock in connection with share-based incentive compensation</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 common stock dividends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Purchase of Class A common stock and Lazard Group common membership interests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noncontrolling interests – net</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 June 30, 2011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 Includes:</w:t>
            </w: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7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positive foreign currency translation adjustments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Employee benefit plan and other adjustments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00" w:type="dxa"/>
            <w:vAlign w:val="bottom"/>
            <w:tcBorders>
              <w:top w:val="single" w:sz="8" w:color="CCEEFF"/>
              <w:bottom w:val="single" w:sz="8" w:color="CCEEFF"/>
            </w:tcBorders>
            <w:vMerge w:val="restart"/>
          </w:tcPr>
          <w:p>
            <w:pPr>
              <w:ind w:left="4460"/>
              <w:spacing w:after="0"/>
              <w:rPr>
                <w:sz w:val="20"/>
                <w:szCs w:val="20"/>
                <w:color w:val="auto"/>
              </w:rPr>
            </w:pPr>
            <w:r>
              <w:rPr>
                <w:rFonts w:ascii="Arial" w:cs="Arial" w:eastAsia="Arial" w:hAnsi="Arial"/>
                <w:sz w:val="18"/>
                <w:szCs w:val="18"/>
                <w:color w:val="auto"/>
              </w:rPr>
              <w:t>64</w:t>
            </w: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vMerge w:val="continue"/>
          </w:tcPr>
          <w:p>
            <w:pPr>
              <w:spacing w:after="0"/>
              <w:rPr>
                <w:sz w:val="24"/>
                <w:szCs w:val="24"/>
                <w:color w:val="auto"/>
              </w:rPr>
            </w:pPr>
          </w:p>
        </w:tc>
        <w:tc>
          <w:tcPr>
            <w:tcW w:w="77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In February 2011, the Board of Directors of Lazard Ltd authorized the repurchase of up to an additional $250 million in aggregate cost of Lazard Ltd Class A common stock and Lazard Group common membership interests through December 31, 2012. During the six month period ended June 30, 2011 the Company repurchased 3,156,416 shares of Class A common stock, at an aggregate cost of $126 million and 19,032 Lazard Group common membership interests at an aggregate cost of $1 million. As of June 30, 2011, $166 million of the $450 million share purchase authorization remained available for future repurchases. In addition to the repurchases of Class A common stock and Lazard Group common membership interests described herein, during the six month period ended June 30, 2011, in order, among other reasons, to help neutralize the dilutive effect of our share-based incentive compensation plans, the Company utilized $96 million to satisfy certain employees’ withholding tax obligations on vested RSUs and vested shares of restricted Class A common stock in lieu of issuing 2,295,695 shares of Class A common stock directly by Lazard Ltd or by delivery of shares held by Lazard Group.</w:t>
      </w:r>
    </w:p>
    <w:p>
      <w:pPr>
        <w:spacing w:after="0" w:line="109"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See Note 12 of Notes to Condensed Consolidated Financial Statements for information regarding (i) the issuance of Class A common stock, (ii) secondary offerings of Class A common stock, (iii) exchanges of Lazard Group common membership interests and (iv) the share repurchase program.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19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w w:val="91"/>
              </w:rPr>
              <w:t>Less than</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1-3 Years</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0"/>
              </w:rPr>
              <w:t>5 Years</w:t>
            </w:r>
          </w:p>
        </w:tc>
      </w:tr>
      <w:tr>
        <w:trPr>
          <w:trHeight w:val="142"/>
        </w:trPr>
        <w:tc>
          <w:tcPr>
            <w:tcW w:w="11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$ 1,586,245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$ 208,618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$ 150,435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$641,280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585,912</w:t>
            </w:r>
          </w:p>
        </w:tc>
        <w:tc>
          <w:tcPr>
            <w:tcW w:w="80" w:type="dxa"/>
            <w:vAlign w:val="bottom"/>
            <w:shd w:val="clear" w:color="auto" w:fill="CCEEFF"/>
          </w:tcPr>
          <w:p>
            <w:pPr>
              <w:spacing w:after="0"/>
              <w:rPr>
                <w:sz w:val="18"/>
                <w:szCs w:val="18"/>
                <w:color w:val="auto"/>
              </w:rPr>
            </w:pPr>
          </w:p>
        </w:tc>
      </w:tr>
      <w:tr>
        <w:trPr>
          <w:trHeight w:val="208"/>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Leases (exclusive of $185,784 of</w:t>
            </w:r>
          </w:p>
        </w:tc>
        <w:tc>
          <w:tcPr>
            <w:tcW w:w="1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5180" w:type="dxa"/>
            <w:vAlign w:val="bottom"/>
            <w:gridSpan w:val="2"/>
          </w:tcPr>
          <w:p>
            <w:pPr>
              <w:ind w:left="220"/>
              <w:spacing w:after="0"/>
              <w:rPr>
                <w:sz w:val="20"/>
                <w:szCs w:val="20"/>
                <w:color w:val="auto"/>
              </w:rPr>
            </w:pPr>
            <w:r>
              <w:rPr>
                <w:rFonts w:ascii="Arial" w:cs="Arial" w:eastAsia="Arial" w:hAnsi="Arial"/>
                <w:sz w:val="18"/>
                <w:szCs w:val="18"/>
                <w:color w:val="auto"/>
              </w:rPr>
              <w:t>sublease income) (b)</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1,085,916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65,975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115,435</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125,569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778,937</w:t>
            </w:r>
          </w:p>
        </w:tc>
        <w:tc>
          <w:tcPr>
            <w:tcW w:w="80" w:type="dxa"/>
            <w:vAlign w:val="bottom"/>
          </w:tcPr>
          <w:p>
            <w:pPr>
              <w:spacing w:after="0"/>
              <w:rPr>
                <w:sz w:val="19"/>
                <w:szCs w:val="19"/>
                <w:color w:val="auto"/>
              </w:rPr>
            </w:pPr>
          </w:p>
        </w:tc>
      </w:tr>
      <w:tr>
        <w:trPr>
          <w:trHeight w:val="218"/>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(c)</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28,562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4,130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7,358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11,254</w:t>
            </w:r>
          </w:p>
        </w:tc>
        <w:tc>
          <w:tcPr>
            <w:tcW w:w="8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(b)</w:t>
            </w:r>
          </w:p>
        </w:tc>
        <w:tc>
          <w:tcPr>
            <w:tcW w:w="14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22"/>
        </w:trPr>
        <w:tc>
          <w:tcPr>
            <w:tcW w:w="5180" w:type="dxa"/>
            <w:vAlign w:val="bottom"/>
            <w:gridSpan w:val="2"/>
          </w:tcPr>
          <w:p>
            <w:pPr>
              <w:spacing w:after="0"/>
              <w:rPr>
                <w:sz w:val="20"/>
                <w:szCs w:val="20"/>
                <w:color w:val="auto"/>
              </w:rPr>
            </w:pPr>
            <w:r>
              <w:rPr>
                <w:rFonts w:ascii="Arial" w:cs="Arial" w:eastAsia="Arial" w:hAnsi="Arial"/>
                <w:sz w:val="18"/>
                <w:szCs w:val="18"/>
                <w:color w:val="auto"/>
              </w:rPr>
              <w:t>Total (d)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$ 2,794,093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$ 372,093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$ 273,228</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8"/>
              </w:rPr>
              <w:t>$772,669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1,376,103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right="84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Gives effect to the Company’s July 2011 repurchase of its 3.25% subordinated note. See Note 10 of Notes to Condensed Consolidated Financial Statements.</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 (see “Financial Statement Overview”).</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 or litigation has commenced.</w:t>
      </w:r>
    </w:p>
    <w:p>
      <w:pPr>
        <w:spacing w:after="0" w:line="9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At June 30, 2011 and December 31, 2010, the Company had receivables past due of approximately $18 million and $17 million, respectively, and its allowance for doubtful accounts was $17 million and $15 million at such respective dates.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and amortization. These temporary differences, and any net operating loss and tax credit carryforwards, result in deferred tax assets and liabilities, as applicable,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At December 31, 2010, the Company recorded deferred tax assets of approximately $1.3 billion, with such amount partially offset by a valuation allowance of approximately $1.2 billion due to the uncertainty of realizing the benefits of the book versus tax basis differences and certain net operating loss carry-forwards.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if such circumstances indicate that the valuation allowance should be reduced or is no longer necessary. The portion reduced would result in a reduction in the provision for income taxes. A change in the valuation allowance could materially impact 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10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Tax contingencies can involve complex issues and may require an extended period of time to resolve. Changes in the geographic mix or estimated level of annual pre-tax income can affect Lazard’s overall effective tax rate. Furthermore, Lazard’s interpretation of complex tax laws may impact its recognition and measurement of current and deferred income taxes.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 As of December 31, 2010 and June 30, 2011, there were no securities designated as “available-for-sale” or “held-to-maturity”.</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net investments at June 30, 2011 and December 31, 2010 is set forth below (in millions of dollars):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CCEEFF"/>
            </w:tcBorders>
          </w:tcPr>
          <w:p>
            <w:pPr>
              <w:spacing w:after="0"/>
              <w:rPr>
                <w:sz w:val="19"/>
                <w:szCs w:val="19"/>
                <w:color w:val="auto"/>
              </w:rPr>
            </w:pPr>
          </w:p>
        </w:tc>
        <w:tc>
          <w:tcPr>
            <w:tcW w:w="58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securities (a)</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8"/>
        </w:trPr>
        <w:tc>
          <w:tcPr>
            <w:tcW w:w="7020" w:type="dxa"/>
            <w:vAlign w:val="bottom"/>
            <w:gridSpan w:val="2"/>
          </w:tcPr>
          <w:p>
            <w:pPr>
              <w:spacing w:after="0"/>
              <w:rPr>
                <w:sz w:val="20"/>
                <w:szCs w:val="20"/>
                <w:color w:val="auto"/>
              </w:rPr>
            </w:pPr>
            <w:r>
              <w:rPr>
                <w:rFonts w:ascii="Arial" w:cs="Arial" w:eastAsia="Arial" w:hAnsi="Arial"/>
                <w:sz w:val="18"/>
                <w:szCs w:val="18"/>
                <w:color w:val="auto"/>
                <w:w w:val="94"/>
              </w:rPr>
              <w:t>Equity securities (net of $1 and $3 of securities sold, not yet purchased, at June 30, 2011 and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December 31, 2010, respectively) (b)</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LAM alternative asset management funds (principally GP interests in LAM-managed hedge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funds) (c)</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Private equity (d)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Net investments</w:t>
            </w: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gridSpan w:val="2"/>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434</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415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3,081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Net investments, as a percentage of total assets</w:t>
            </w: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1160" w:type="dxa"/>
            <w:vAlign w:val="bottom"/>
            <w:tcBorders>
              <w:bottom w:val="single" w:sz="8" w:color="auto"/>
            </w:tcBorders>
          </w:tcPr>
          <w:p>
            <w:pPr>
              <w:spacing w:after="0"/>
              <w:rPr>
                <w:sz w:val="6"/>
                <w:szCs w:val="6"/>
                <w:color w:val="auto"/>
              </w:rPr>
            </w:pPr>
          </w:p>
        </w:tc>
        <w:tc>
          <w:tcPr>
            <w:tcW w:w="5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4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securities primarily consist of securities issued by the U.S. Government and its agencies, and funds seeding products of our Asset Management segment, and, at June 30, 2011, fixed income funds with a fair value of $2 million held in connection with Lazard Fund Interest awards granted, all of which subject Lazard to market risk.</w:t>
      </w:r>
    </w:p>
    <w:p>
      <w:pPr>
        <w:spacing w:after="0" w:line="45" w:lineRule="exact"/>
        <w:rPr>
          <w:rFonts w:ascii="Arial" w:cs="Arial" w:eastAsia="Arial" w:hAnsi="Arial"/>
          <w:sz w:val="18"/>
          <w:szCs w:val="18"/>
          <w:color w:val="auto"/>
        </w:rPr>
      </w:pPr>
    </w:p>
    <w:p>
      <w:pPr>
        <w:ind w:left="460" w:right="60" w:hanging="452"/>
        <w:spacing w:after="0" w:line="294"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Company’s equity securities principally represent investments in marketable equity securities of large-, mid- and small-cap domestic, international and global companies to seed new Asset Management products and includes investments in public and private asset management funds managed both by LAM and third-party asset managers and, at June 30, 2011, equity fund interests with a fair value of $23 million held in connection with Lazard Fund Interest awards granted. Hedging strategies are employed to reduce market risk, and, in turn, the volatility to earnings. Additional information regarding equity securities as of June 30, 2011 and December 31, 2010 is shown below:</w:t>
      </w:r>
    </w:p>
    <w:p>
      <w:pPr>
        <w:spacing w:after="0" w:line="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June</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82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90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82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9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196"/>
        </w:trPr>
        <w:tc>
          <w:tcPr>
            <w:tcW w:w="828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8280" w:type="dxa"/>
            <w:vAlign w:val="bottom"/>
          </w:tcPr>
          <w:p>
            <w:pPr>
              <w:ind w:left="1480"/>
              <w:spacing w:after="0"/>
              <w:rPr>
                <w:sz w:val="20"/>
                <w:szCs w:val="20"/>
                <w:color w:val="auto"/>
              </w:rPr>
            </w:pPr>
            <w:r>
              <w:rPr>
                <w:rFonts w:ascii="Arial" w:cs="Arial" w:eastAsia="Arial" w:hAnsi="Arial"/>
                <w:sz w:val="18"/>
                <w:szCs w:val="18"/>
                <w:color w:val="auto"/>
              </w:rPr>
              <w:t>Consumer</w:t>
            </w: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82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Financials</w:t>
            </w:r>
          </w:p>
        </w:tc>
        <w:tc>
          <w:tcPr>
            <w:tcW w:w="12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r>
      <w:tr>
        <w:trPr>
          <w:trHeight w:val="216"/>
        </w:trPr>
        <w:tc>
          <w:tcPr>
            <w:tcW w:w="828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1220" w:type="dxa"/>
            <w:vAlign w:val="bottom"/>
            <w:gridSpan w:val="2"/>
          </w:tcPr>
          <w:p>
            <w:pPr>
              <w:jc w:val="right"/>
              <w:ind w:right="900"/>
              <w:spacing w:after="0"/>
              <w:rPr>
                <w:sz w:val="20"/>
                <w:szCs w:val="20"/>
                <w:color w:val="auto"/>
              </w:rPr>
            </w:pPr>
            <w:r>
              <w:rPr>
                <w:rFonts w:ascii="Arial" w:cs="Arial" w:eastAsia="Arial" w:hAnsi="Arial"/>
                <w:sz w:val="18"/>
                <w:szCs w:val="18"/>
                <w:color w:val="auto"/>
              </w:rPr>
              <w:t>11</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r>
      <w:tr>
        <w:trPr>
          <w:trHeight w:val="216"/>
        </w:trPr>
        <w:tc>
          <w:tcPr>
            <w:tcW w:w="828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9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r>
      <w:tr>
        <w:trPr>
          <w:trHeight w:val="222"/>
        </w:trPr>
        <w:tc>
          <w:tcPr>
            <w:tcW w:w="8280" w:type="dxa"/>
            <w:vAlign w:val="bottom"/>
          </w:tcPr>
          <w:p>
            <w:pPr>
              <w:ind w:left="1900"/>
              <w:spacing w:after="0"/>
              <w:rPr>
                <w:sz w:val="20"/>
                <w:szCs w:val="20"/>
                <w:color w:val="auto"/>
              </w:rPr>
            </w:pPr>
            <w:r>
              <w:rPr>
                <w:rFonts w:ascii="Arial" w:cs="Arial" w:eastAsia="Arial" w:hAnsi="Arial"/>
                <w:sz w:val="18"/>
                <w:szCs w:val="18"/>
                <w:color w:val="auto"/>
              </w:rPr>
              <w:t>Total</w:t>
            </w:r>
          </w:p>
        </w:tc>
        <w:tc>
          <w:tcPr>
            <w:tcW w:w="1220" w:type="dxa"/>
            <w:vAlign w:val="bottom"/>
            <w:gridSpan w:val="2"/>
          </w:tcPr>
          <w:p>
            <w:pPr>
              <w:jc w:val="right"/>
              <w:ind w:right="760"/>
              <w:spacing w:after="0"/>
              <w:rPr>
                <w:sz w:val="20"/>
                <w:szCs w:val="20"/>
                <w:color w:val="auto"/>
              </w:rPr>
            </w:pPr>
            <w:r>
              <w:rPr>
                <w:rFonts w:ascii="Arial" w:cs="Arial" w:eastAsia="Arial" w:hAnsi="Arial"/>
                <w:sz w:val="18"/>
                <w:szCs w:val="18"/>
                <w:color w:val="auto"/>
                <w:w w:val="95"/>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8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10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fair value of such interests reflects the pro-rata value of the ownership of the underlying securities in the funds. Such funds are broadly diversified and may incorporate particular strategies; however, there are no investments in funds with a single sector strategy.</w:t>
      </w:r>
    </w:p>
    <w:p>
      <w:pPr>
        <w:spacing w:after="0" w:line="37" w:lineRule="exact"/>
        <w:rPr>
          <w:rFonts w:ascii="Arial" w:cs="Arial" w:eastAsia="Arial" w:hAnsi="Arial"/>
          <w:sz w:val="18"/>
          <w:szCs w:val="18"/>
          <w:color w:val="auto"/>
        </w:rPr>
      </w:pPr>
    </w:p>
    <w:p>
      <w:pPr>
        <w:ind w:left="460" w:right="8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Comprised of investments in private equity funds and direct private equity interests that are generally not subject to short-term market fluctuation, but may subject Lazard to market or credit risk.</w:t>
      </w:r>
    </w:p>
    <w:p>
      <w:pPr>
        <w:ind w:left="460" w:right="60"/>
        <w:spacing w:after="0" w:line="281" w:lineRule="auto"/>
        <w:rPr>
          <w:rFonts w:ascii="Arial" w:cs="Arial" w:eastAsia="Arial" w:hAnsi="Arial"/>
          <w:sz w:val="18"/>
          <w:szCs w:val="18"/>
          <w:color w:val="auto"/>
        </w:rPr>
      </w:pPr>
      <w:r>
        <w:rPr>
          <w:rFonts w:ascii="Arial" w:cs="Arial" w:eastAsia="Arial" w:hAnsi="Arial"/>
          <w:sz w:val="16"/>
          <w:szCs w:val="16"/>
          <w:color w:val="auto"/>
        </w:rPr>
        <w:t>Private equity investments primarily include (i) a mezzanine fund, which invests in mezzanine debt of a diversified selection of small-to mid-cap European companies; (ii) CP II, a private equity fund targeting significant noncontrolling investments in established public and private companies; and (iii) Senior Housing, which acquires companies and assets in senior housing, extended stay and shopping center sectors.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Private equity investments represent approximately 3% of total assets at both June 30, 2011 and December 31, 2010.</w:t>
      </w:r>
    </w:p>
    <w:p>
      <w:pPr>
        <w:spacing w:after="0" w:line="70" w:lineRule="exact"/>
        <w:rPr>
          <w:rFonts w:ascii="Arial" w:cs="Arial" w:eastAsia="Arial" w:hAnsi="Arial"/>
          <w:sz w:val="18"/>
          <w:szCs w:val="18"/>
          <w:color w:val="auto"/>
        </w:rPr>
      </w:pPr>
    </w:p>
    <w:p>
      <w:pPr>
        <w:ind w:left="460" w:right="480" w:hanging="452"/>
        <w:spacing w:after="0" w:line="306"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investments (i) accounted for under the equity method of accounting and (ii) private equity and general partnership interests that are consolidated but owned by noncontrolling interests, and therefore do not subject the Company to market or credit risk. The applicable noncontrolling interests are presented within “stockholders’ equity” on the consolidated statements of financial condition.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June 30, 2011, the Company’s investments in U.S Government and agency debt securities as well as its corporate and other debt securities are considered Level 1 assets with the respective fair values based on unadjusted quoted prices in active markets. The Company’s investments in fixed income funds are considered Level 1 assets when their fair values are based on the reported closing price for the fund or Level 2 assets when their fair values are primarily based on broker quotes as provided by external pricing services.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 Where information reported is based on data received from fund managers or from external pricing services, the Company reviews such information to ascertain at which level within the fair value hierarchy to classify the investment.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40" w:hanging="455"/>
        <w:spacing w:after="0" w:line="256"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40" w:hanging="455"/>
        <w:spacing w:after="0" w:line="332" w:lineRule="auto"/>
        <w:tabs>
          <w:tab w:leader="none" w:pos="1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is determined to be the primary beneficiary are consolidated in accordance with the applicable accounting guidance. Those VIEs include company-sponsored venture capital investment vehicles established in connection with Lazard’s compensation plans.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“Critical Accounting Policies and Estimates—Investments” above.</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June 30, 2011 and December 31, 2010, derivative contracts related primarily to interest rate swaps, equity and fixed income swaps and foreign currency exchange rate contracts, and are recorded at fair value. Derivative assets amounted to $2 million at both June 30, 2011 and December 31, 2010, and derivative liabilities amounted to $2 million and $3 million at such respective dates.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primary market risks associated with LFB’s foreign currency exchange hedging and lending activities are sensitivity to changes in the general level of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six month period ended June 30, 2011:</w:t>
      </w:r>
    </w:p>
    <w:p>
      <w:pPr>
        <w:spacing w:after="0" w:line="18" w:lineRule="exact"/>
        <w:rPr>
          <w:sz w:val="20"/>
          <w:szCs w:val="20"/>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$700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$2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June 30, 2011, total receivables amounted to $532 million, net of an allowance for doubtful accounts of $17 million. As of that date, financial advisory and asset management fees, customer and related party receivables comprised 79%, 19% and 2% of total receivables, respectively. At December 31, 2010, total receivables amounted to $569 million, net of an allowance for doubtful accounts of $15 million. As of that date, financial advisory and asset management fees, customer and related party receivables comprised 85%, 11% and 4% of total receivables, respectively. See also “Critical Accounting Policies and Estimates—Revenue Recognition” above and Note 3 of Notes to Condensed Consolidated Financial Statements for additional information regarding receivables.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June 30, 2011, excluding deposits with inter-bank counterparties, LFB had no exposure to an individual counterparty that exceeded $33 million, with such amount being fully collateralized.</w:t>
      </w:r>
    </w:p>
    <w:p>
      <w:pPr>
        <w:spacing w:after="0" w:line="127"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With respect to activities outside LFB, as of June 30, 2011, the Company’s largest individual counterparty exposure was a Financial Advisory fee receivable of $20 million, the terms of which require payment over a remaining period of 24 months, including accrued interest.</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significant portion of the Company’s indebtedness has fixed interest rates, while its cash and short-term investments generally have floating interest rates. Based on account balances as of June 30, 2011, Lazard estimates that its annual operating income relating to cash and short-term investments and corporate indebtedness would increase by approximately $12 million in the event interest rates were to increase by 1% and decrease by approximately $4 million if rates were to decrease by 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2011, the Company’s cash and cash equivalents totaled approximately $984 million. Substantially all of the Company’s cash and cash equivalents were invested in highly liquid institutional money market funds (a significant majority of which were invested solely in U.S. Government or agency securities) or in short-term interest earning accounts at a number of leading banks throughout the world, or in short-term certificates of deposit from such banks. On a regular basis, management reviews and updates its list of approved depositor banks as well as deposit and investment thresholds.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0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does experience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On May 10, 2011, Lazard Ltd issued 728,385 shares of Class A common stock in reliance on Section 4(2) of the Securities Act of 1933 in connection with the exchange of 728,385 common membership interests of Lazard Group held by certain members of LAZ-MD Holdings as provided for in the Master Separation Agreement, dated as of May 10, 2005, by and among Lazard Ltd, Lazard Group, LAZ-MD Holdings and LFCM Holdings and other related documents.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Lazard’s purchases of its Class A common stock on a monthly basis during the second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 are recorded on a trade date basis.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Total Number</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Purchased</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as Part of</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Total</w:t>
            </w:r>
          </w:p>
        </w:tc>
        <w:tc>
          <w:tcPr>
            <w:tcW w:w="440" w:type="dxa"/>
            <w:vAlign w:val="bottom"/>
          </w:tcPr>
          <w:p>
            <w:pPr>
              <w:spacing w:after="0"/>
              <w:rPr>
                <w:sz w:val="12"/>
                <w:szCs w:val="12"/>
                <w:color w:val="auto"/>
              </w:rPr>
            </w:pPr>
          </w:p>
        </w:tc>
        <w:tc>
          <w:tcPr>
            <w:tcW w:w="14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Average</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Publicly</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Price</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Announced</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49"/>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2"/>
                <w:szCs w:val="12"/>
                <w:color w:val="auto"/>
              </w:rPr>
            </w:pPr>
          </w:p>
        </w:tc>
        <w:tc>
          <w:tcPr>
            <w:tcW w:w="1460" w:type="dxa"/>
            <w:vAlign w:val="bottom"/>
            <w:gridSpan w:val="3"/>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Paid per</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Plans</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 or</w:t>
            </w:r>
          </w:p>
        </w:tc>
        <w:tc>
          <w:tcPr>
            <w:tcW w:w="0" w:type="dxa"/>
            <w:vAlign w:val="bottom"/>
          </w:tcPr>
          <w:p>
            <w:pPr>
              <w:spacing w:after="0"/>
              <w:rPr>
                <w:sz w:val="1"/>
                <w:szCs w:val="1"/>
                <w:color w:val="auto"/>
              </w:rPr>
            </w:pPr>
          </w:p>
        </w:tc>
      </w:tr>
      <w:tr>
        <w:trPr>
          <w:trHeight w:val="148"/>
        </w:trPr>
        <w:tc>
          <w:tcPr>
            <w:tcW w:w="5360" w:type="dxa"/>
            <w:vAlign w:val="bottom"/>
            <w:gridSpan w:val="3"/>
            <w:vMerge w:val="continue"/>
          </w:tcPr>
          <w:p>
            <w:pPr>
              <w:spacing w:after="0"/>
              <w:rPr>
                <w:sz w:val="12"/>
                <w:szCs w:val="12"/>
                <w:color w:val="auto"/>
              </w:rPr>
            </w:pPr>
          </w:p>
        </w:tc>
        <w:tc>
          <w:tcPr>
            <w:tcW w:w="12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3"/>
              </w:rPr>
              <w:t>Purchased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7"/>
              </w:rPr>
              <w:t>Share</w:t>
            </w:r>
          </w:p>
        </w:tc>
        <w:tc>
          <w:tcPr>
            <w:tcW w:w="12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or Programs</w:t>
            </w:r>
          </w:p>
        </w:tc>
        <w:tc>
          <w:tcPr>
            <w:tcW w:w="460" w:type="dxa"/>
            <w:vAlign w:val="bottom"/>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April 1, 2011 – April 30, 2011</w:t>
            </w: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Share Repurchase Program (1)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101,000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40.85</w:t>
            </w:r>
          </w:p>
        </w:tc>
        <w:tc>
          <w:tcPr>
            <w:tcW w:w="8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101,000</w:t>
            </w:r>
          </w:p>
        </w:tc>
        <w:tc>
          <w:tcPr>
            <w:tcW w:w="16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$ 255.2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Employee Transactions (2)</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110,161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May 1, 2011 – May 31, 2011</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Share Repurchase Program (1)</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1,983,902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1,983,902</w:t>
            </w:r>
          </w:p>
        </w:tc>
        <w:tc>
          <w:tcPr>
            <w:tcW w:w="164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3"/>
              </w:rPr>
              <w:t>$ 176.8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Employee Transactions (2)</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115,059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40.53</w:t>
            </w:r>
          </w:p>
        </w:tc>
        <w:tc>
          <w:tcPr>
            <w:tcW w:w="88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June 1, 2011 – June 30, 2011</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Share Repurchase Program (1)</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304,700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36.37</w:t>
            </w:r>
          </w:p>
        </w:tc>
        <w:tc>
          <w:tcPr>
            <w:tcW w:w="8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304,700</w:t>
            </w:r>
          </w:p>
        </w:tc>
        <w:tc>
          <w:tcPr>
            <w:tcW w:w="16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$ 165.7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Employee Transactions (2)</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97,784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37.11</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Share Repurchase Program (1)</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2,389,602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39.15</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2,389,602</w:t>
            </w:r>
          </w:p>
        </w:tc>
        <w:tc>
          <w:tcPr>
            <w:tcW w:w="1640" w:type="dxa"/>
            <w:vAlign w:val="bottom"/>
            <w:gridSpan w:val="3"/>
            <w:shd w:val="clear" w:color="auto" w:fill="CCEEFF"/>
          </w:tcPr>
          <w:p>
            <w:pPr>
              <w:jc w:val="center"/>
              <w:ind w:left="272"/>
              <w:spacing w:after="0"/>
              <w:rPr>
                <w:sz w:val="20"/>
                <w:szCs w:val="20"/>
                <w:color w:val="auto"/>
              </w:rPr>
            </w:pPr>
            <w:r>
              <w:rPr>
                <w:rFonts w:ascii="Arial" w:cs="Arial" w:eastAsia="Arial" w:hAnsi="Arial"/>
                <w:sz w:val="18"/>
                <w:szCs w:val="18"/>
                <w:color w:val="auto"/>
                <w:w w:val="93"/>
              </w:rPr>
              <w:t>$ 165.7 million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80"/>
              <w:spacing w:after="0"/>
              <w:rPr>
                <w:sz w:val="20"/>
                <w:szCs w:val="20"/>
                <w:color w:val="auto"/>
              </w:rPr>
            </w:pPr>
            <w:r>
              <w:rPr>
                <w:rFonts w:ascii="Arial" w:cs="Arial" w:eastAsia="Arial" w:hAnsi="Arial"/>
                <w:sz w:val="18"/>
                <w:szCs w:val="18"/>
                <w:color w:val="auto"/>
              </w:rPr>
              <w:t>Employee Transactions (2)</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323,004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39.70</w:t>
            </w:r>
          </w:p>
        </w:tc>
        <w:tc>
          <w:tcPr>
            <w:tcW w:w="880" w:type="dxa"/>
            <w:vAlign w:val="bottom"/>
          </w:tcPr>
          <w:p>
            <w:pPr>
              <w:spacing w:after="0"/>
              <w:rPr>
                <w:sz w:val="19"/>
                <w:szCs w:val="19"/>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98"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disclosed in more detail in Note 12 of Notes to Condensed Consolidated Financial Statements, in January 2010, the Board of Directors of Lazard Ltd authorized, on a cumulative basis, the repurchase of up to $200 million in aggregate cost of Lazard Ltd Class A common stock and Lazard Group common membership interests through December 31, 2011. In addition, in February 2011, the Board of Directors of Lazard Ltd authorized the repurchase of up to an additional $250 million in aggregate cost of Lazard Ltd Class A common stock and Lazard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302" w:lineRule="auto"/>
        <w:rPr>
          <w:sz w:val="20"/>
          <w:szCs w:val="20"/>
          <w:color w:val="auto"/>
        </w:rPr>
      </w:pPr>
      <w:r>
        <w:rPr>
          <w:rFonts w:ascii="Arial" w:cs="Arial" w:eastAsia="Arial" w:hAnsi="Arial"/>
          <w:sz w:val="15"/>
          <w:szCs w:val="15"/>
          <w:color w:val="auto"/>
        </w:rPr>
        <w:t>Group common membership interests through December 31, 2012. The share repurchase program is used primarily to offset a portion of the shares to be issued under Lazard Ltd’s 2005 Plan and the 2008 Plan. Purchases under the share repurchase program may be made in the open market or through privately negotiated transactions. Amounts shown in this line item include repurchases of both Class A common stock and Lazard Group common membership interests, and exclude the shares of Class A common stock withheld by the Company to cover estimated income taxes as described below.</w:t>
      </w:r>
    </w:p>
    <w:p>
      <w:pPr>
        <w:spacing w:after="0" w:line="3" w:lineRule="exact"/>
        <w:rPr>
          <w:sz w:val="20"/>
          <w:szCs w:val="20"/>
          <w:color w:val="auto"/>
        </w:rPr>
      </w:pPr>
    </w:p>
    <w:p>
      <w:pPr>
        <w:ind w:left="460" w:right="100" w:hanging="452"/>
        <w:spacing w:after="0" w:line="320"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Under the terms of the 2005 Plan and the 2008 Plan, upon the vesting of RSUs and shares of restricted Class A common stock, shares of Class A common stock may be withheld by the Company to cover estimated income taxes. During the three month period ended June 30, 2011, the Company satisfied certain employees’ tax obligations in lieu of issuing (i) 279,358 shares of Class A common stock to cover estimated taxes upon the vesting of 937,942 RSUs and (ii) 43,646 shares of Class A common stock to cover estimated taxes upon the vesting of 143,816 shares of restricted Class A common stock.</w:t>
      </w:r>
    </w:p>
    <w:p>
      <w:pPr>
        <w:spacing w:after="0" w:line="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Amended Retention Agreement with Ashish Bhutani</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August 2, 2011, the Company, Lazard Group and Ashish Bhutani entered into a First Amendment to Mr. Bhutani’s Agreement Relating to Retention and Noncompetition and Other Covenants, dated March 15, 2005 (the “Retention Agreement”). The amended Retention Agreement supersedes Schedule I of the Retention Agreement and reflects Mr. Bhutani’s title of Vice Chairman and Managing Director of Lazard and Chief Executive Officer of Lazard Asset Management LLC. Prior to this amendment, the Retention Agreement, which was entered into prior to the Company’s initial public offering and at a time when Mr. Bhutani was not an executive officer, did not contain the standard provisions and definitions that are contained in our retention agreements with certain of our executive officers, which were generally entered into at the time of or following the Company’s initial public offering. Kenneth M. Jacobs, the Chairman and Chief Executive Officer of the Company and Lazard Group determined it was in the Company’s best interest to amend Mr. Bhutani’s existing Retention Agreement to bring the terms of Mr. Bhutani’s Retention Agreement in line with certain terms set forth in the agreements entered into with other executive officers of the Company, ensure his retention and provide him with customary executive officer protections. The Compensation Committee of the Company’s Board of Directors agreed with Mr. Jacobs’ recommendation.</w:t>
      </w:r>
    </w:p>
    <w:p>
      <w:pPr>
        <w:spacing w:after="0" w:line="10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amended Retention Agreement has a term ending March 23, 2013, which is the date that the retention agreements with the Company’s other executive officers are scheduled to expire, and provides for a minimum annual base salary of $750,000. In addition, Mr. Bhutani is entitled to an annual bonus to be determined under the applicable annual bonus plan of Lazard on the same basis as annual bonuses are determined for other executive officers. Mr. Bhutani’s annual bonus is required to be paid in the same ratio of cash to deferred awards as is applicable to other executives receiving bonuses at a level comparable to Mr. Bhutani, provided that he is employed by Lazard at the end of the applicable fiscal year.</w:t>
      </w:r>
    </w:p>
    <w:p>
      <w:pPr>
        <w:spacing w:after="0" w:line="10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amended Retention Agreement provides for certain severance benefits in the event of a termination of employment prior to March 23, 2013 by Lazard other than for cause or by Mr. Bhutani for good reason (which we refer to below as a “qualifying termination”). The level of severance benefits provided to Mr. Bhutani generally depends on whether the applicable termination occurs prior to or following a change in control pursuant to which Lazard is acquired by an entity that has an asset management business (a “Specified Change in Control”).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event of a qualifying termination of employment prior to a Specified Change in Control, Mr. Bhutani generally would be entitled to receive in a lump sum (1) any unpaid base salary accrued through the date of termination, (2) any earned but unpaid bonuses for years completed prior to the date of termination,</w:t>
      </w:r>
    </w:p>
    <w:p>
      <w:pPr>
        <w:ind w:right="80" w:firstLine="8"/>
        <w:spacing w:after="0" w:line="292" w:lineRule="auto"/>
        <w:tabs>
          <w:tab w:leader="none" w:pos="2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prorated bonus for the year of termination and (4) a severance payment equal to the sum of his base salary and average annual bonus for the two fiscal years that ended prior to the date of his termination. Upon such a qualifying termination, Mr. Bhutani and his eligible dependents would generally continue to be eligible to participate in our medical and dental benefit plans on the same basis as in effect immediately prior to the date of termination for one year following such termination (which currently requires the executive officer to pay a portion of the premiums). The period of medical and dental benefits continuation described above would generally be credited toward his credited age and service for purpose of our retiree medical program.</w:t>
      </w:r>
    </w:p>
    <w:p>
      <w:pPr>
        <w:spacing w:after="0" w:line="10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the event of a qualifying termination of Mr. Bhutani on or following a Specified Change in Control, he would receive the payments and benefits described in the preceding paragraph, except that the severance payment would be in the following amount: three times the sum of his base salary and average annual bonus for the two fiscal years that ended prior to the date of his termination. Upon such a qualifying termination, Mr. Bhutani and his eligible dependents would be eligible for continued participation in our medical and dental benefits plans as described in the preceding paragraph, except that the applicable period would be three years following the date of termination of service.</w:t>
      </w:r>
    </w:p>
    <w:p>
      <w:pPr>
        <w:spacing w:after="0" w:line="12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amended Retention Agreement includes changes to the definitions of “cause” and “good reason”, which are intended to be consistent with the definitions in the retention agreements with certain of the Company’s other executive officers and which are described in the Company’s Definitive Proxy Statement on Schedule 14A, filed on March 18, 2011 (File No. 001-32492) (the “2011 Proxy Statement”). In addition, Mr. Bhutani’s amended Retention Agreement also provides that he would be entitled to resign for “good reason” in the event that any person other than he receives the title of Chairman of Lazard’s asset management group, unless such title is given in connection with a merger or acquisition transaction involving Lazard that is approved by the Company’s Board of Directors.</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amended retention agreement does not materially modify Mr. Bhutani’s restrictive covenants relating to confidential information, noncompetition, nonsolicitation of clients, no hire of employees, nondisparagement and transfer of client relationships, which are substantially identical to the restrictive covenants in the retention agreements with the Company’s other executive officers and which are described in the 2011 Proxy Statement.</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preceding summary of the amended Retention Agreement contained in this Item 5 is qualified in its entirety by reference to the First Amendment to the Retention Agreement, attached as Exhibit 10.56 hereto, as though it were fully set forth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56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2.1</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Master Separation Agreement, dated as of May 10, 2005, by and among the Registrant, Lazard Group LLC, LAZ-MD Holdings LLC and</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LFCM Holdings LLC (incorporated by reference to Exhibit 2.1 to the Registrant’s Quarterly Report (File No. 001-32492) on Form 10-Q filed</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10560" w:type="dxa"/>
            <w:vAlign w:val="bottom"/>
          </w:tcPr>
          <w:p>
            <w:pPr>
              <w:ind w:left="480"/>
              <w:spacing w:after="0"/>
              <w:rPr>
                <w:sz w:val="20"/>
                <w:szCs w:val="20"/>
                <w:color w:val="auto"/>
              </w:rPr>
            </w:pPr>
            <w:r>
              <w:rPr>
                <w:rFonts w:ascii="Arial" w:cs="Arial" w:eastAsia="Arial" w:hAnsi="Arial"/>
                <w:sz w:val="18"/>
                <w:szCs w:val="18"/>
                <w:color w:val="auto"/>
              </w:rPr>
              <w:t>Amendment No. 1, dated as of November 6, 2006, to the Master Separation Agreement,</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dated as of May 10, 2005, by and among the Registrant, Lazard Group LLC and LAZ-MD Holdings LLC (incorporated by reference to Exhibit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2.2 to the Registrant’s Quarterly Report (File No. 001-32492) on Form 10-Q filed on November 7, 2006).</w:t>
            </w:r>
          </w:p>
        </w:tc>
      </w:tr>
      <w:tr>
        <w:trPr>
          <w:trHeight w:val="331"/>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Form 8-K (File No. 001-32492) filed on May 8,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2.4</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Class B-1 and Class C Members Transaction Agreement (incorporated by reference to Exhibit 2.2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 filed on December 17, 2004).</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and Memorandum of Association of the Registrant (incorporated by reference to Exhibit 3.1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Registration 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Certificate of Incorporation in Change of Name of the Registrant (incorporated by reference to Exhibit 3.2 to the Registrant’s Registration</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Statement (File No. 333-121407) on Form S-1/A filed on March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Amended and Restated Bye-Laws of Lazard Ltd (incorporated by reference to Exhibit 3.3 to the Registrant’s Quarterly Report (File No. 001-</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32492) on Form 10-Q filed on June 16,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3.4</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First Amendment to Amended and Restated Bye-Laws of Lazard Ltd (incorporated by reference to Exhibit 3.4 to the Registrant’s Quarterly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Report (File No. 001-32492) on Form 10-Q filed on May 9,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3.5</w:t>
            </w:r>
          </w:p>
        </w:tc>
        <w:tc>
          <w:tcPr>
            <w:tcW w:w="10560" w:type="dxa"/>
            <w:vAlign w:val="bottom"/>
          </w:tcPr>
          <w:p>
            <w:pPr>
              <w:ind w:left="480"/>
              <w:spacing w:after="0"/>
              <w:rPr>
                <w:sz w:val="20"/>
                <w:szCs w:val="20"/>
                <w:color w:val="auto"/>
              </w:rPr>
            </w:pPr>
            <w:r>
              <w:rPr>
                <w:rFonts w:ascii="Arial" w:cs="Arial" w:eastAsia="Arial" w:hAnsi="Arial"/>
                <w:sz w:val="18"/>
                <w:szCs w:val="18"/>
                <w:color w:val="auto"/>
                <w:w w:val="93"/>
              </w:rPr>
              <w:t>Second Amendment to the Amended and Restated Bye-Laws of Lazard Ltd (incorporated by reference to Exhibit 3.5 to the Registrant’s</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Quarterly Report (File No. 001-32492) on Form 10-Q filed on April 30, 2010).</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560" w:type="dxa"/>
            <w:vAlign w:val="bottom"/>
          </w:tcPr>
          <w:p>
            <w:pPr>
              <w:ind w:left="480"/>
              <w:spacing w:after="0"/>
              <w:rPr>
                <w:sz w:val="20"/>
                <w:szCs w:val="20"/>
                <w:color w:val="auto"/>
              </w:rPr>
            </w:pPr>
            <w:r>
              <w:rPr>
                <w:rFonts w:ascii="Arial" w:cs="Arial" w:eastAsia="Arial" w:hAnsi="Arial"/>
                <w:sz w:val="18"/>
                <w:szCs w:val="18"/>
                <w:color w:val="auto"/>
                <w:w w:val="90"/>
              </w:rPr>
              <w:t>Form of Specimen Certificate for Class A common stock (incorporated by reference to Exhibit 4.1 to the Registrant’s Registration Statement</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(File No. 333-121407) on Form S-1/A filed on April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560" w:type="dxa"/>
            <w:vAlign w:val="bottom"/>
          </w:tcPr>
          <w:p>
            <w:pPr>
              <w:ind w:left="480"/>
              <w:spacing w:after="0"/>
              <w:rPr>
                <w:sz w:val="20"/>
                <w:szCs w:val="20"/>
                <w:color w:val="auto"/>
              </w:rPr>
            </w:pPr>
            <w:r>
              <w:rPr>
                <w:rFonts w:ascii="Arial" w:cs="Arial" w:eastAsia="Arial" w:hAnsi="Arial"/>
                <w:sz w:val="18"/>
                <w:szCs w:val="18"/>
                <w:color w:val="auto"/>
                <w:w w:val="91"/>
              </w:rPr>
              <w:t>Amended and Restated Third Supplemental Indenture, dated as of May 15, 2008, by and among Lazard Group LLC and The Bank of New</w:t>
            </w:r>
          </w:p>
        </w:tc>
      </w:tr>
      <w:tr>
        <w:trPr>
          <w:trHeight w:val="216"/>
        </w:trPr>
        <w:tc>
          <w:tcPr>
            <w:tcW w:w="780" w:type="dxa"/>
            <w:vAlign w:val="bottom"/>
          </w:tcPr>
          <w:p>
            <w:pPr>
              <w:spacing w:after="0"/>
              <w:rPr>
                <w:sz w:val="18"/>
                <w:szCs w:val="18"/>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w w:val="92"/>
              </w:rPr>
              <w:t>York, as trustee (and incorporated by reference to Exhibit 4.1 to the Registrants’ Current Report on Form 8-K (Commission File No. 333-</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126751) filed on May 16, 2008).</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560" w:type="dxa"/>
            <w:vAlign w:val="bottom"/>
          </w:tcPr>
          <w:p>
            <w:pPr>
              <w:ind w:left="480"/>
              <w:spacing w:after="0"/>
              <w:rPr>
                <w:sz w:val="20"/>
                <w:szCs w:val="20"/>
                <w:color w:val="auto"/>
              </w:rPr>
            </w:pPr>
            <w:r>
              <w:rPr>
                <w:rFonts w:ascii="Arial" w:cs="Arial" w:eastAsia="Arial" w:hAnsi="Arial"/>
                <w:sz w:val="18"/>
                <w:szCs w:val="18"/>
                <w:color w:val="auto"/>
                <w:w w:val="88"/>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560" w:type="dxa"/>
            <w:vAlign w:val="bottom"/>
          </w:tcPr>
          <w:p>
            <w:pPr>
              <w:ind w:left="480"/>
              <w:spacing w:after="0"/>
              <w:rPr>
                <w:sz w:val="20"/>
                <w:szCs w:val="20"/>
                <w:color w:val="auto"/>
              </w:rPr>
            </w:pPr>
            <w:r>
              <w:rPr>
                <w:rFonts w:ascii="Arial" w:cs="Arial" w:eastAsia="Arial" w:hAnsi="Arial"/>
                <w:sz w:val="18"/>
                <w:szCs w:val="18"/>
                <w:color w:val="auto"/>
              </w:rPr>
              <w:t>reference to Exhibit 4.1 to the Registrant’s Current Report on Form 8-K (File No. 001-32492) filed on June 22, 2007).</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560" w:type="dxa"/>
            <w:vAlign w:val="bottom"/>
          </w:tcPr>
          <w:p>
            <w:pPr>
              <w:ind w:left="480"/>
              <w:spacing w:after="0"/>
              <w:rPr>
                <w:sz w:val="20"/>
                <w:szCs w:val="20"/>
                <w:color w:val="auto"/>
              </w:rPr>
            </w:pPr>
            <w:r>
              <w:rPr>
                <w:rFonts w:ascii="Arial" w:cs="Arial" w:eastAsia="Arial" w:hAnsi="Arial"/>
                <w:sz w:val="18"/>
                <w:szCs w:val="18"/>
                <w:color w:val="auto"/>
              </w:rPr>
              <w:t>Form of Senior Note (included in Exhibit 4.3).</w:t>
            </w:r>
          </w:p>
        </w:tc>
      </w:tr>
      <w:tr>
        <w:trPr>
          <w:trHeight w:val="365"/>
        </w:trPr>
        <w:tc>
          <w:tcPr>
            <w:tcW w:w="780" w:type="dxa"/>
            <w:vAlign w:val="bottom"/>
          </w:tcPr>
          <w:p>
            <w:pPr>
              <w:spacing w:after="0"/>
              <w:rPr>
                <w:sz w:val="24"/>
                <w:szCs w:val="24"/>
                <w:color w:val="auto"/>
              </w:rPr>
            </w:pPr>
          </w:p>
        </w:tc>
        <w:tc>
          <w:tcPr>
            <w:tcW w:w="10560" w:type="dxa"/>
            <w:vAlign w:val="bottom"/>
          </w:tcPr>
          <w:p>
            <w:pPr>
              <w:ind w:left="48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Stockholders’ Agreement, dated as of November 6, 2006, by and among LAZ-MD Holdings LLC, the Registrant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certain members of LAZ-MD Holdings LLC (incorporated by reference to Exhibit 10.1 to the Registrant’s Quarterly Report (File No. 001-</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32492) on Form 10-Q filed on November 7, 2006).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LAZ-MD Holdings LLC and Lazard Ltd. (incorporated by reference to Exhibit 10.2 to the Registrant’s Quarterly Report (File No. 001-32492)</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420"/>
              <w:spacing w:after="0"/>
              <w:rPr>
                <w:sz w:val="20"/>
                <w:szCs w:val="20"/>
                <w:color w:val="auto"/>
              </w:rPr>
            </w:pPr>
            <w:r>
              <w:rPr>
                <w:rFonts w:ascii="Arial" w:cs="Arial" w:eastAsia="Arial" w:hAnsi="Arial"/>
                <w:sz w:val="18"/>
                <w:szCs w:val="18"/>
                <w:color w:val="auto"/>
                <w:w w:val="89"/>
              </w:rPr>
              <w:t>Operating Agreement of Lazard Group LLC, dated as of May 10, 2005 (incorporated by reference to Exhibit 10.2 to the Registrant’s Quarterly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1 to the Operating Agreement of Lazard Group LLC, dated as of December 19, 2005 (incorporated by reference to Exhibit</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3.01 to Lazard Group LLC’s Current Report on Form 8-K (File No. 333-126751) filed on December 19,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No. 2, dated as of May 7, 2008,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Current Report on Form 8-K (File No. 001-32492) filed on May 8, 2008).</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Amendment No. 3, dated as of April 27, 2010, to the Operating Agreement of Lazard Group LLC, dated as of May 10, 2005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10.6 to the Registrant’s Quarterly Report (File No. 001-32492) on Form 10-Q filed on April 30, 2010).</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Tax Receivable Agreement, dated as of May 10, 2005, by and among Ltd Sub A, Ltd Sub B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10.3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Employee Benefits Agreement, dated as of May 10, 2005, by and among the Registrant, Lazard Group LLC, LAZ-MD Holdings LLC and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LFCM Holdings LLC (incorporated by reference to Exhibit 10.4 to the Registrant’s Quarterly Report (File No. 001-32492) on Form 10-Q filed</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10.5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6"/>
              </w:rPr>
              <w:t>Frères S.A.S., Lazard &amp; Co. Holdings Limited and LFCM Holdings LLC (incorporated by reference to Exhibit 10.6 to the Registrant’s</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Group LLC (incorporated by reference to Exhibit 10.7 to the Registrant’s Quarterly Report (File No. 001-32492) on Form 10-Q filed on June</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42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reference to Exhibit 10.8 to the Registrant’s Quarterly Report (File No. 001-32492) on Form 10-Q filed on June 16,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42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840" w:type="dxa"/>
            <w:vAlign w:val="bottom"/>
          </w:tcPr>
          <w:p>
            <w:pPr>
              <w:spacing w:after="0"/>
              <w:rPr>
                <w:sz w:val="18"/>
                <w:szCs w:val="18"/>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Group LLC and LFCM Holdings LLC (incorporated by reference to Exhibit 10.12 to Registrant’s Annual Report (File No. 001-32492) on Form</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10-K filed on March 2, 2009).</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40" w:type="dxa"/>
            <w:vAlign w:val="bottom"/>
          </w:tcPr>
          <w:p>
            <w:pPr>
              <w:ind w:left="42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w w:val="94"/>
              </w:rPr>
              <w:t>reference to Exhibit 10.16 to the Registrant’s Registration Statement (File No. 333-121407) on Form S-1/A filed on February 11, 2005).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40" w:type="dxa"/>
            <w:vAlign w:val="bottom"/>
          </w:tcPr>
          <w:p>
            <w:pPr>
              <w:ind w:left="42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840" w:type="dxa"/>
            <w:vAlign w:val="bottom"/>
          </w:tcPr>
          <w:p>
            <w:pPr>
              <w:spacing w:after="0"/>
              <w:rPr>
                <w:sz w:val="19"/>
                <w:szCs w:val="19"/>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Exhibit 10.19 to the Registrant’s Registration Statement (File No. 333-121407) on Form S-1/A filed on February 11, 2005).</w:t>
            </w:r>
          </w:p>
        </w:tc>
      </w:tr>
      <w:tr>
        <w:trPr>
          <w:trHeight w:val="365"/>
        </w:trPr>
        <w:tc>
          <w:tcPr>
            <w:tcW w:w="840" w:type="dxa"/>
            <w:vAlign w:val="bottom"/>
          </w:tcPr>
          <w:p>
            <w:pPr>
              <w:spacing w:after="0"/>
              <w:rPr>
                <w:sz w:val="24"/>
                <w:szCs w:val="24"/>
                <w:color w:val="auto"/>
              </w:rPr>
            </w:pPr>
          </w:p>
        </w:tc>
        <w:tc>
          <w:tcPr>
            <w:tcW w:w="10540" w:type="dxa"/>
            <w:vAlign w:val="bottom"/>
          </w:tcPr>
          <w:p>
            <w:pPr>
              <w:ind w:left="478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Amendment dated as of February 16, 2011, by and among RCPI Landmark Properties, L.L.C. (as the successor in interest to Rockefeller Center</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Properties), RCPI 30 Rock 22234849, L.L.C. and Lazard Group LLC (as the successor in interest to Lazard Frères &amp; Co. LLC), to the Lease</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dated as of January 27, 1994, by and among Rockefeller Center Properties and Lazard Frères &amp; Co. LLC (incorporated by reference to Exhibit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10.16 to the Registrant’s Quarterly Report (File No. 001-32492) on Form 10-Q 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the Registrant’s Registration Statement (File No. 333-121407) on Form S-</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Burford (Stratton) Limited, Lazard &amp; Co., Limited and Lazard LLC (incorporated by reference to Exhibit 10.21 to the Registrant’s Registration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2005 Equity Incentive Plan (incorporated by reference to Exhibit 10.21 to the Registrant’s Registration Statement (File No. 333-121407)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Form S-1/A filed on May 2,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Lazard Ltd’s 2008 Incentive Compensation Plan (incorporated by reference to Annex B to the Registrant’s Definitive Proxy Statement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2005 Bonus Plan (incorporated by reference to Exhibit 10.23 to the Registrant’s Registration Statement (File No. 333-121407) on Form S-1/A</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20" w:type="dxa"/>
            <w:vAlign w:val="bottom"/>
          </w:tcPr>
          <w:p>
            <w:pPr>
              <w:ind w:left="38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Schedule I for each of Michael J. Castellano and Scott D. Hoffman (incorporated by reference to Exhibit 10.26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20" w:type="dxa"/>
            <w:vAlign w:val="bottom"/>
          </w:tcPr>
          <w:p>
            <w:pPr>
              <w:ind w:left="380"/>
              <w:spacing w:after="0"/>
              <w:rPr>
                <w:sz w:val="20"/>
                <w:szCs w:val="20"/>
                <w:color w:val="auto"/>
              </w:rPr>
            </w:pPr>
            <w:r>
              <w:rPr>
                <w:rFonts w:ascii="Arial" w:cs="Arial" w:eastAsia="Arial" w:hAnsi="Arial"/>
                <w:sz w:val="18"/>
                <w:szCs w:val="18"/>
                <w:color w:val="auto"/>
                <w:w w:val="88"/>
              </w:rPr>
              <w:t>Form of First Amendment, dated as of May 7, 2008, to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2"/>
              </w:rPr>
              <w:t>May 4, 2005, for each of Michael J. Castellano and Scott D. Hoffman (incorporated by reference to Exhibit 10.2 to the Registrant’s Current</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on Form 8-K (File No. 001-32492) filed on May 8, 2008).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26, 2009,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1"/>
              </w:rPr>
              <w:t>of May 4, 2005 (as amended from time to time), for Michael J. Castellano (incorporated by reference to Exhibit 10.26 to Registrant’s Annual</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20" w:type="dxa"/>
            <w:vAlign w:val="bottom"/>
          </w:tcPr>
          <w:p>
            <w:pPr>
              <w:ind w:left="380"/>
              <w:spacing w:after="0"/>
              <w:rPr>
                <w:sz w:val="20"/>
                <w:szCs w:val="20"/>
                <w:color w:val="auto"/>
              </w:rPr>
            </w:pPr>
            <w:r>
              <w:rPr>
                <w:rFonts w:ascii="Arial" w:cs="Arial" w:eastAsia="Arial" w:hAnsi="Arial"/>
                <w:sz w:val="18"/>
                <w:szCs w:val="18"/>
                <w:color w:val="auto"/>
                <w:w w:val="87"/>
              </w:rPr>
              <w:t>Second Amendment, dated as of February 23, 2011, to the Agreement Relating to Retention and Noncompetition and Other Covenants, dated as</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of May 4, 2005 and amended as of May 7, 2008, for Scott D. Hoffman (incorporated by reference to Exhibit 10.25 to the Registrant’s Quarterly</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20" w:type="dxa"/>
            <w:vAlign w:val="bottom"/>
          </w:tcPr>
          <w:p>
            <w:pPr>
              <w:ind w:left="380"/>
              <w:spacing w:after="0"/>
              <w:rPr>
                <w:sz w:val="20"/>
                <w:szCs w:val="20"/>
                <w:color w:val="auto"/>
              </w:rPr>
            </w:pPr>
            <w:r>
              <w:rPr>
                <w:rFonts w:ascii="Arial" w:cs="Arial" w:eastAsia="Arial" w:hAnsi="Arial"/>
                <w:sz w:val="18"/>
                <w:szCs w:val="18"/>
                <w:color w:val="auto"/>
                <w:w w:val="95"/>
              </w:rPr>
              <w:t>Form of Agreement Relating to Retention and Noncompetition and Other Covenants (incorporated by reference to Exhibit 10.27 to the</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Registrant’s Registration Statement (File No. 333-121407) on Form S-1/A filed on April 11,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and Alexander F. Stern (incorporated by reference to Exhibit 10.28 to Registrant’s Annual Report (File No. 001-32492) on Form 10-K filed on</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97"/>
              </w:rPr>
              <w:t>October 4, 2004, with Alexander F. Stern (incorporated by reference to Exhibit 10.2 to the Registrant’s Current Report on Form 8-K</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(File No. 001-32492) filed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2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80" w:type="dxa"/>
            <w:vAlign w:val="bottom"/>
          </w:tcPr>
          <w:p>
            <w:pPr>
              <w:spacing w:after="0"/>
              <w:rPr>
                <w:sz w:val="18"/>
                <w:szCs w:val="18"/>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w w:val="89"/>
              </w:rPr>
              <w:t>and Kenneth M. Jacobs (incorporated by reference to Exhibit 10.29 to the Registrant’s Annual Report on Form 10-K (File No. 001-32492) filed</w:t>
            </w:r>
          </w:p>
        </w:tc>
      </w:tr>
      <w:tr>
        <w:trPr>
          <w:trHeight w:val="222"/>
        </w:trPr>
        <w:tc>
          <w:tcPr>
            <w:tcW w:w="880" w:type="dxa"/>
            <w:vAlign w:val="bottom"/>
          </w:tcPr>
          <w:p>
            <w:pPr>
              <w:spacing w:after="0"/>
              <w:rPr>
                <w:sz w:val="19"/>
                <w:szCs w:val="19"/>
                <w:color w:val="auto"/>
              </w:rPr>
            </w:pPr>
          </w:p>
        </w:tc>
        <w:tc>
          <w:tcPr>
            <w:tcW w:w="10520" w:type="dxa"/>
            <w:vAlign w:val="bottom"/>
          </w:tcPr>
          <w:p>
            <w:pPr>
              <w:ind w:left="380"/>
              <w:spacing w:after="0"/>
              <w:rPr>
                <w:sz w:val="20"/>
                <w:szCs w:val="20"/>
                <w:color w:val="auto"/>
              </w:rPr>
            </w:pPr>
            <w:r>
              <w:rPr>
                <w:rFonts w:ascii="Arial" w:cs="Arial" w:eastAsia="Arial" w:hAnsi="Arial"/>
                <w:sz w:val="18"/>
                <w:szCs w:val="18"/>
                <w:color w:val="auto"/>
              </w:rPr>
              <w:t>on March 1, 2010).</w:t>
            </w:r>
          </w:p>
        </w:tc>
      </w:tr>
      <w:tr>
        <w:trPr>
          <w:trHeight w:val="365"/>
        </w:trPr>
        <w:tc>
          <w:tcPr>
            <w:tcW w:w="88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 No. 001-32492) field on March 23,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and Matthieu Bucaille (incorporated by reference to Exhibit 10.31 to the Registrant’s Quarterly Report (File No. 001-32492) on Form 10-Q</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filed on April 29, 2011).</w:t>
            </w:r>
          </w:p>
        </w:tc>
      </w:tr>
      <w:tr>
        <w:trPr>
          <w:trHeight w:val="331"/>
        </w:trPr>
        <w:tc>
          <w:tcPr>
            <w:tcW w:w="88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First Amendment, dated as of April 1, 2011, to the Agreement Relating to Retention and Noncompetition and Other Covenants, dated as of</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October 4, 2004, between Lazard Group LLC and Matthieu Bucaille (incorporated by reference to Exhibit 10.32 to the Registrant’s Quarterly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April 29, 2011).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10.28 to the 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Acknowledgement Letter, dated as of November 6, 2006 from Lazard Group LLC to certain managing directors of Lazard Group LLC</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6, 2006 (incorporated by reference to Exhibit 10.23 to the Registrant’s Quarterly Report (File No. 001-32492) on Form 10-Q filed on November</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7,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reference to Exhibit 10.27 to the Registrant’s Registration Statement (File No. 333-121407) on Form S-1/A filed on March 21,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80" w:type="dxa"/>
            <w:vAlign w:val="bottom"/>
          </w:tcPr>
          <w:p>
            <w:pPr>
              <w:spacing w:after="0"/>
              <w:rPr>
                <w:sz w:val="18"/>
                <w:szCs w:val="18"/>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0"/>
              </w:rPr>
              <w:t>IXIS Corporate and Investment Bank (incorporated by reference to Exhibit 10.30 to the Registrant’s Quarterly Report (File No. 001-32492) on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Letter Agreement, dated as of May 10, 2005, with Bruce Wasserstein family trusts (incorporated by reference to Exhibit 10.31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Quarterly Report (File No. 001-32492) on Form 10-Q filed on June 16,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Description of Non-Executive Director Compensation (incorporated by reference to Exhibit 10.33 to the Registrant’s Quarterly Report (File No.</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tcPr>
          <w:p>
            <w:pPr>
              <w:ind w:left="380"/>
              <w:spacing w:after="0"/>
              <w:rPr>
                <w:sz w:val="20"/>
                <w:szCs w:val="20"/>
                <w:color w:val="auto"/>
              </w:rPr>
            </w:pPr>
            <w:r>
              <w:rPr>
                <w:rFonts w:ascii="Arial" w:cs="Arial" w:eastAsia="Arial" w:hAnsi="Arial"/>
                <w:sz w:val="18"/>
                <w:szCs w:val="18"/>
                <w:color w:val="auto"/>
                <w:w w:val="92"/>
              </w:rPr>
              <w:t>Form of Award Letter for Annual Grant of Deferred Stock Units to Non-Executive Directors (incorporated by reference to Exhibit 99.1 to the</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Registrant’s Current Report on Form 8-K (File No. 001-32492) filed on September 8, 2005).</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tcPr>
          <w:p>
            <w:pPr>
              <w:ind w:left="38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rPr>
              <w:t>reference to Exhibit 10.1 to the Registrant’s Current Report on Form 8-K (File No. 001-32492) filed on January 26, 2006).</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10.41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tcPr>
          <w:p>
            <w:pPr>
              <w:ind w:left="380"/>
              <w:spacing w:after="0"/>
              <w:rPr>
                <w:sz w:val="20"/>
                <w:szCs w:val="20"/>
                <w:color w:val="auto"/>
              </w:rPr>
            </w:pPr>
            <w:r>
              <w:rPr>
                <w:rFonts w:ascii="Arial" w:cs="Arial" w:eastAsia="Arial" w:hAnsi="Arial"/>
                <w:sz w:val="18"/>
                <w:szCs w:val="18"/>
                <w:color w:val="auto"/>
                <w:w w:val="97"/>
              </w:rPr>
              <w:t>Form of Agreement evidencing a grant of Deferred Cash Award to Executive Officers under the 2008 Incentive Compensation Plan</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10.42 to Registrant’s Annual Report (File No. 001-32492) on Form 10-K filed on March 2, 2009).</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tcPr>
          <w:p>
            <w:pPr>
              <w:ind w:left="38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80" w:type="dxa"/>
            <w:vAlign w:val="bottom"/>
          </w:tcPr>
          <w:p>
            <w:pPr>
              <w:spacing w:after="0"/>
              <w:rPr>
                <w:sz w:val="19"/>
                <w:szCs w:val="19"/>
                <w:color w:val="auto"/>
              </w:rPr>
            </w:pPr>
          </w:p>
        </w:tc>
        <w:tc>
          <w:tcPr>
            <w:tcW w:w="10540" w:type="dxa"/>
            <w:vAlign w:val="bottom"/>
          </w:tcPr>
          <w:p>
            <w:pPr>
              <w:ind w:left="380"/>
              <w:spacing w:after="0"/>
              <w:rPr>
                <w:sz w:val="20"/>
                <w:szCs w:val="20"/>
                <w:color w:val="auto"/>
              </w:rPr>
            </w:pPr>
            <w:r>
              <w:rPr>
                <w:rFonts w:ascii="Arial" w:cs="Arial" w:eastAsia="Arial" w:hAnsi="Arial"/>
                <w:sz w:val="18"/>
                <w:szCs w:val="18"/>
                <w:color w:val="auto"/>
                <w:w w:val="95"/>
              </w:rPr>
              <w:t>(incorporated by reference to Exhibit 10.1 to the Registrant’s Current Report on Form 8-K (File No. 001-32492) filed on April 4, 2006).</w:t>
            </w:r>
          </w:p>
        </w:tc>
      </w:tr>
      <w:tr>
        <w:trPr>
          <w:trHeight w:val="365"/>
        </w:trPr>
        <w:tc>
          <w:tcPr>
            <w:tcW w:w="880" w:type="dxa"/>
            <w:vAlign w:val="bottom"/>
          </w:tcPr>
          <w:p>
            <w:pPr>
              <w:spacing w:after="0"/>
              <w:rPr>
                <w:sz w:val="24"/>
                <w:szCs w:val="24"/>
                <w:color w:val="auto"/>
              </w:rPr>
            </w:pPr>
          </w:p>
        </w:tc>
        <w:tc>
          <w:tcPr>
            <w:tcW w:w="10540" w:type="dxa"/>
            <w:vAlign w:val="bottom"/>
          </w:tcPr>
          <w:p>
            <w:pPr>
              <w:ind w:left="474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ind w:left="100"/>
              <w:spacing w:after="0"/>
              <w:rPr>
                <w:sz w:val="20"/>
                <w:szCs w:val="20"/>
                <w:color w:val="auto"/>
              </w:rPr>
            </w:pPr>
            <w:r>
              <w:rPr>
                <w:rFonts w:ascii="Arial" w:cs="Arial" w:eastAsia="Arial" w:hAnsi="Arial"/>
                <w:sz w:val="18"/>
                <w:szCs w:val="18"/>
                <w:color w:val="auto"/>
              </w:rPr>
              <w:t>10.45</w:t>
            </w: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Amended and Restated $150 Million Subordinated Convertible Promissory Note due 2016, issued by Lazard Funding LLC to Banca Intesa</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S.p.A. (incorporated by reference to Exhibit 10.3 to the Registrant’s Current Report on Form 8-K (File No. 001-32492) filed on May 17, 2006).</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10.46</w:t>
            </w: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10.4 to the Registrant’s Current Report on Form 8-K (File No. 001-32492) filed on May 17, 2006).</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10.47*</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Directors’ Fee Deferral Unit Plan (incorporated by reference to Exhibit 10.39 to Registrant’s Quarterly Report (File No. 001-32492) on Form</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10-Q filed on May 11, 2006).</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10.48*</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Plan (incorporated by reference to Exhibit 10.43 to Registrant’s Annual Report (File No. 001-32492) on Form 10-K filed on March 1, 2007).</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10.49</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Agreement and Plan of Merger, dated as of August 14, 2008, by and among Lazard Ltd, LAZ Sub I, Lazard Asset Management LLC and Lazard</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89"/>
              </w:rPr>
              <w:t>Asset Management Limited (incorporated by reference to Exhibit 2.1 to the Registrant’s Current Report on Form 8-K (File No. 001-32492) filed</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on August 15, 2008).</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10.50*</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10.53 to the Registrant’s Quarterly Report (File No. 001-32492) on Form 10-Q filed on April 30,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10.51</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Senior Revolving Credit Agreement, dated as of April 29, 2010, among Lazard Group LLC, the Banks from time to time parties thereto, and</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Citibank, N.A., as Administrative Agent.</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10.52</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Amendment No. 1, dated as of August 12, 2010, to the Senior Revolving Credit Agreement, dated as of April 29, 2010, among Lazard Group</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10.48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10.53</w:t>
            </w:r>
          </w:p>
        </w:tc>
        <w:tc>
          <w:tcPr>
            <w:tcW w:w="10460" w:type="dxa"/>
            <w:vAlign w:val="bottom"/>
          </w:tcPr>
          <w:p>
            <w:pPr>
              <w:ind w:left="300"/>
              <w:spacing w:after="0"/>
              <w:rPr>
                <w:sz w:val="20"/>
                <w:szCs w:val="20"/>
                <w:color w:val="auto"/>
              </w:rPr>
            </w:pPr>
            <w:r>
              <w:rPr>
                <w:rFonts w:ascii="Arial" w:cs="Arial" w:eastAsia="Arial" w:hAnsi="Arial"/>
                <w:sz w:val="18"/>
                <w:szCs w:val="18"/>
                <w:color w:val="auto"/>
                <w:w w:val="88"/>
              </w:rPr>
              <w:t>Amendment No. 2, dated as of December 17, 2010, to the Senior Revolving Credit Agreement, dated as of April 29, 2010, among Lazard Group</w:t>
            </w:r>
          </w:p>
        </w:tc>
      </w:tr>
      <w:tr>
        <w:trPr>
          <w:trHeight w:val="216"/>
        </w:trPr>
        <w:tc>
          <w:tcPr>
            <w:tcW w:w="960" w:type="dxa"/>
            <w:vAlign w:val="bottom"/>
          </w:tcPr>
          <w:p>
            <w:pPr>
              <w:spacing w:after="0"/>
              <w:rPr>
                <w:sz w:val="18"/>
                <w:szCs w:val="18"/>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w w:val="92"/>
              </w:rPr>
              <w:t>LLC, the Banks from time to time parties thereto, and Citibank, N.A., as Administrative Agent (incorporated by reference to Exhibit 10.49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the Registrant’s Annual Report (File No. 001-32492) on Form 10-K filed on February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10.54*</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10.55 to the Registrant’s Quarterly Report (File No. 001-32492) on Form 10-Q filed on April 30, 2010).</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10.55*</w:t>
            </w:r>
          </w:p>
        </w:tc>
        <w:tc>
          <w:tcPr>
            <w:tcW w:w="10460" w:type="dxa"/>
            <w:vAlign w:val="bottom"/>
          </w:tcPr>
          <w:p>
            <w:pPr>
              <w:ind w:left="300"/>
              <w:spacing w:after="0"/>
              <w:rPr>
                <w:sz w:val="20"/>
                <w:szCs w:val="20"/>
                <w:color w:val="auto"/>
              </w:rPr>
            </w:pPr>
            <w:r>
              <w:rPr>
                <w:rFonts w:ascii="Arial" w:cs="Arial" w:eastAsia="Arial" w:hAnsi="Arial"/>
                <w:sz w:val="18"/>
                <w:szCs w:val="18"/>
                <w:color w:val="auto"/>
                <w:w w:val="91"/>
              </w:rPr>
              <w:t>Form of Agreement evidencing a grant of Lazard Fund Interests under the 2008 Incentive Compensation Plan (incorporated by reference to</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Exhibit 10.55 to the Registrant’s Quarterly Report (File No. 001-32492) on Form 10-Q filed on April 29, 2011).</w:t>
            </w:r>
          </w:p>
        </w:tc>
      </w:tr>
      <w:tr>
        <w:trPr>
          <w:trHeight w:val="318"/>
        </w:trPr>
        <w:tc>
          <w:tcPr>
            <w:tcW w:w="960" w:type="dxa"/>
            <w:vAlign w:val="bottom"/>
          </w:tcPr>
          <w:p>
            <w:pPr>
              <w:ind w:left="100"/>
              <w:spacing w:after="0"/>
              <w:rPr>
                <w:sz w:val="20"/>
                <w:szCs w:val="20"/>
                <w:color w:val="auto"/>
              </w:rPr>
            </w:pPr>
            <w:r>
              <w:rPr>
                <w:rFonts w:ascii="Arial" w:cs="Arial" w:eastAsia="Arial" w:hAnsi="Arial"/>
                <w:sz w:val="18"/>
                <w:szCs w:val="18"/>
                <w:color w:val="auto"/>
              </w:rPr>
              <w:t>10.56*</w:t>
            </w:r>
          </w:p>
        </w:tc>
        <w:tc>
          <w:tcPr>
            <w:tcW w:w="10460" w:type="dxa"/>
            <w:vAlign w:val="bottom"/>
          </w:tcPr>
          <w:p>
            <w:pPr>
              <w:ind w:left="300"/>
              <w:spacing w:after="0"/>
              <w:rPr>
                <w:sz w:val="20"/>
                <w:szCs w:val="20"/>
                <w:color w:val="auto"/>
              </w:rPr>
            </w:pPr>
            <w:r>
              <w:rPr>
                <w:rFonts w:ascii="Arial" w:cs="Arial" w:eastAsia="Arial" w:hAnsi="Arial"/>
                <w:sz w:val="18"/>
                <w:szCs w:val="18"/>
                <w:color w:val="auto"/>
                <w:w w:val="90"/>
              </w:rPr>
              <w:t>First Amendment, dated as of August 2, 2011, to the Agreement Relating to Retention and Noncompetition and Other Covenants, dated as of</w:t>
            </w:r>
          </w:p>
        </w:tc>
      </w:tr>
      <w:tr>
        <w:trPr>
          <w:trHeight w:val="222"/>
        </w:trPr>
        <w:tc>
          <w:tcPr>
            <w:tcW w:w="960" w:type="dxa"/>
            <w:vAlign w:val="bottom"/>
          </w:tcPr>
          <w:p>
            <w:pPr>
              <w:spacing w:after="0"/>
              <w:rPr>
                <w:sz w:val="19"/>
                <w:szCs w:val="19"/>
                <w:color w:val="auto"/>
              </w:rPr>
            </w:pPr>
          </w:p>
        </w:tc>
        <w:tc>
          <w:tcPr>
            <w:tcW w:w="10460" w:type="dxa"/>
            <w:vAlign w:val="bottom"/>
          </w:tcPr>
          <w:p>
            <w:pPr>
              <w:ind w:left="300"/>
              <w:spacing w:after="0"/>
              <w:rPr>
                <w:sz w:val="20"/>
                <w:szCs w:val="20"/>
                <w:color w:val="auto"/>
              </w:rPr>
            </w:pPr>
            <w:r>
              <w:rPr>
                <w:rFonts w:ascii="Arial" w:cs="Arial" w:eastAsia="Arial" w:hAnsi="Arial"/>
                <w:sz w:val="18"/>
                <w:szCs w:val="18"/>
                <w:color w:val="auto"/>
              </w:rPr>
              <w:t>March 15, 2005, between Lazard Group LLC and Ashish Bhutani.</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12.1</w:t>
            </w:r>
          </w:p>
        </w:tc>
        <w:tc>
          <w:tcPr>
            <w:tcW w:w="10460" w:type="dxa"/>
            <w:vAlign w:val="bottom"/>
          </w:tcPr>
          <w:p>
            <w:pPr>
              <w:ind w:left="30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30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30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30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960" w:type="dxa"/>
            <w:vAlign w:val="bottom"/>
          </w:tcPr>
          <w:p>
            <w:pPr>
              <w:ind w:left="100"/>
              <w:spacing w:after="0"/>
              <w:rPr>
                <w:sz w:val="20"/>
                <w:szCs w:val="20"/>
                <w:color w:val="auto"/>
              </w:rPr>
            </w:pPr>
            <w:r>
              <w:rPr>
                <w:rFonts w:ascii="Arial" w:cs="Arial" w:eastAsia="Arial" w:hAnsi="Arial"/>
                <w:sz w:val="18"/>
                <w:szCs w:val="18"/>
                <w:color w:val="auto"/>
              </w:rPr>
              <w:t>32.2</w:t>
            </w:r>
          </w:p>
        </w:tc>
        <w:tc>
          <w:tcPr>
            <w:tcW w:w="10460" w:type="dxa"/>
            <w:vAlign w:val="bottom"/>
          </w:tcPr>
          <w:p>
            <w:pPr>
              <w:ind w:left="30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Richard J. Hittner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Richard J. Hittner</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Accounting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$150,000,000</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Several Banks from Time to Time Parties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Lead Arranger</w:t>
      </w:r>
    </w:p>
    <w:p>
      <w:pPr>
        <w:sectPr>
          <w:pgSz w:w="11900" w:h="16838" w:orient="portrait"/>
          <w:cols w:equalWidth="0" w:num="1">
            <w:col w:w="10220"/>
          </w:cols>
          <w:pgMar w:left="1440" w:top="125" w:right="239" w:bottom="1440" w:gutter="0" w:footer="0" w:header="0"/>
        </w:sectPr>
      </w:pPr>
    </w:p>
    <w:bookmarkStart w:id="84" w:name="page85"/>
    <w:bookmarkEnd w:id="8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980" w:type="dxa"/>
            <w:vAlign w:val="bottom"/>
            <w:vMerge w:val="restart"/>
          </w:tcPr>
          <w:p>
            <w:pPr>
              <w:ind w:left="580"/>
              <w:spacing w:after="0"/>
              <w:rPr>
                <w:sz w:val="20"/>
                <w:szCs w:val="20"/>
                <w:color w:val="auto"/>
              </w:rPr>
            </w:pPr>
            <w:r>
              <w:rPr>
                <w:rFonts w:ascii="Arial" w:cs="Arial" w:eastAsia="Arial" w:hAnsi="Arial"/>
                <w:sz w:val="18"/>
                <w:szCs w:val="18"/>
                <w:color w:val="auto"/>
              </w:rPr>
              <w:t>DEFINITIONS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080" w:type="dxa"/>
            <w:vAlign w:val="bottom"/>
            <w:vMerge w:val="continue"/>
          </w:tcPr>
          <w:p>
            <w:pPr>
              <w:spacing w:after="0"/>
              <w:rPr>
                <w:sz w:val="17"/>
                <w:szCs w:val="17"/>
                <w:color w:val="auto"/>
              </w:rPr>
            </w:pPr>
          </w:p>
        </w:tc>
        <w:tc>
          <w:tcPr>
            <w:tcW w:w="998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1.1</w:t>
            </w:r>
          </w:p>
        </w:tc>
        <w:tc>
          <w:tcPr>
            <w:tcW w:w="9980" w:type="dxa"/>
            <w:vAlign w:val="bottom"/>
          </w:tcPr>
          <w:p>
            <w:pPr>
              <w:ind w:left="16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1080" w:type="dxa"/>
            <w:vAlign w:val="bottom"/>
          </w:tcPr>
          <w:p>
            <w:pPr>
              <w:ind w:left="440"/>
              <w:spacing w:after="0"/>
              <w:rPr>
                <w:sz w:val="20"/>
                <w:szCs w:val="20"/>
                <w:color w:val="auto"/>
              </w:rPr>
            </w:pPr>
            <w:r>
              <w:rPr>
                <w:rFonts w:ascii="Arial" w:cs="Arial" w:eastAsia="Arial" w:hAnsi="Arial"/>
                <w:sz w:val="18"/>
                <w:szCs w:val="18"/>
                <w:color w:val="auto"/>
              </w:rPr>
              <w:t>1.2</w:t>
            </w:r>
          </w:p>
        </w:tc>
        <w:tc>
          <w:tcPr>
            <w:tcW w:w="9980" w:type="dxa"/>
            <w:vAlign w:val="bottom"/>
          </w:tcPr>
          <w:p>
            <w:pPr>
              <w:ind w:left="160"/>
              <w:spacing w:after="0"/>
              <w:rPr>
                <w:sz w:val="20"/>
                <w:szCs w:val="20"/>
                <w:color w:val="auto"/>
              </w:rPr>
            </w:pPr>
            <w:r>
              <w:rPr>
                <w:rFonts w:ascii="Arial" w:cs="Arial" w:eastAsia="Arial" w:hAnsi="Arial"/>
                <w:sz w:val="18"/>
                <w:szCs w:val="18"/>
                <w:color w:val="auto"/>
              </w:rPr>
              <w:t>Other Definitional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2.</w:t>
            </w:r>
          </w:p>
        </w:tc>
        <w:tc>
          <w:tcPr>
            <w:tcW w:w="9980" w:type="dxa"/>
            <w:vAlign w:val="bottom"/>
          </w:tcPr>
          <w:p>
            <w:pPr>
              <w:ind w:left="580"/>
              <w:spacing w:after="0"/>
              <w:rPr>
                <w:sz w:val="20"/>
                <w:szCs w:val="20"/>
                <w:color w:val="auto"/>
              </w:rPr>
            </w:pPr>
            <w:r>
              <w:rPr>
                <w:rFonts w:ascii="Arial" w:cs="Arial" w:eastAsia="Arial" w:hAnsi="Arial"/>
                <w:sz w:val="18"/>
                <w:szCs w:val="18"/>
                <w:color w:val="auto"/>
              </w:rPr>
              <w:t>AMOUNT AND TERMS OF LOAN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w:t>
            </w:r>
          </w:p>
        </w:tc>
        <w:tc>
          <w:tcPr>
            <w:tcW w:w="9980" w:type="dxa"/>
            <w:vAlign w:val="bottom"/>
          </w:tcPr>
          <w:p>
            <w:pPr>
              <w:ind w:left="160"/>
              <w:spacing w:after="0"/>
              <w:rPr>
                <w:sz w:val="20"/>
                <w:szCs w:val="20"/>
                <w:color w:val="auto"/>
              </w:rPr>
            </w:pPr>
            <w:r>
              <w:rPr>
                <w:rFonts w:ascii="Arial" w:cs="Arial" w:eastAsia="Arial" w:hAnsi="Arial"/>
                <w:sz w:val="18"/>
                <w:szCs w:val="18"/>
                <w:color w:val="auto"/>
              </w:rPr>
              <w:t>Loans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2.2</w:t>
            </w:r>
          </w:p>
        </w:tc>
        <w:tc>
          <w:tcPr>
            <w:tcW w:w="9980" w:type="dxa"/>
            <w:vAlign w:val="bottom"/>
          </w:tcPr>
          <w:p>
            <w:pPr>
              <w:ind w:left="160"/>
              <w:spacing w:after="0"/>
              <w:rPr>
                <w:sz w:val="20"/>
                <w:szCs w:val="20"/>
                <w:color w:val="auto"/>
              </w:rPr>
            </w:pPr>
            <w:r>
              <w:rPr>
                <w:rFonts w:ascii="Arial" w:cs="Arial" w:eastAsia="Arial" w:hAnsi="Arial"/>
                <w:sz w:val="18"/>
                <w:szCs w:val="18"/>
                <w:color w:val="auto"/>
              </w:rPr>
              <w:t>Notes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2.3</w:t>
            </w:r>
          </w:p>
        </w:tc>
        <w:tc>
          <w:tcPr>
            <w:tcW w:w="9980" w:type="dxa"/>
            <w:vAlign w:val="bottom"/>
          </w:tcPr>
          <w:p>
            <w:pPr>
              <w:ind w:left="160"/>
              <w:spacing w:after="0"/>
              <w:rPr>
                <w:sz w:val="20"/>
                <w:szCs w:val="20"/>
                <w:color w:val="auto"/>
              </w:rPr>
            </w:pPr>
            <w:r>
              <w:rPr>
                <w:rFonts w:ascii="Arial" w:cs="Arial" w:eastAsia="Arial" w:hAnsi="Arial"/>
                <w:sz w:val="18"/>
                <w:szCs w:val="18"/>
                <w:color w:val="auto"/>
              </w:rPr>
              <w:t>Interest Rates and Interest Payment Dates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2.4</w:t>
            </w:r>
          </w:p>
        </w:tc>
        <w:tc>
          <w:tcPr>
            <w:tcW w:w="9980" w:type="dxa"/>
            <w:vAlign w:val="bottom"/>
          </w:tcPr>
          <w:p>
            <w:pPr>
              <w:ind w:left="160"/>
              <w:spacing w:after="0"/>
              <w:rPr>
                <w:sz w:val="20"/>
                <w:szCs w:val="20"/>
                <w:color w:val="auto"/>
              </w:rPr>
            </w:pPr>
            <w:r>
              <w:rPr>
                <w:rFonts w:ascii="Arial" w:cs="Arial" w:eastAsia="Arial" w:hAnsi="Arial"/>
                <w:sz w:val="18"/>
                <w:szCs w:val="18"/>
                <w:color w:val="auto"/>
              </w:rPr>
              <w:t>Fees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2.5</w:t>
            </w:r>
          </w:p>
        </w:tc>
        <w:tc>
          <w:tcPr>
            <w:tcW w:w="9980" w:type="dxa"/>
            <w:vAlign w:val="bottom"/>
          </w:tcPr>
          <w:p>
            <w:pPr>
              <w:ind w:left="160"/>
              <w:spacing w:after="0"/>
              <w:rPr>
                <w:sz w:val="20"/>
                <w:szCs w:val="20"/>
                <w:color w:val="auto"/>
              </w:rPr>
            </w:pPr>
            <w:r>
              <w:rPr>
                <w:rFonts w:ascii="Arial" w:cs="Arial" w:eastAsia="Arial" w:hAnsi="Arial"/>
                <w:sz w:val="18"/>
                <w:szCs w:val="18"/>
                <w:color w:val="auto"/>
              </w:rPr>
              <w:t>Computation of Interest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2.6</w:t>
            </w:r>
          </w:p>
        </w:tc>
        <w:tc>
          <w:tcPr>
            <w:tcW w:w="9980" w:type="dxa"/>
            <w:vAlign w:val="bottom"/>
          </w:tcPr>
          <w:p>
            <w:pPr>
              <w:ind w:left="160"/>
              <w:spacing w:after="0"/>
              <w:rPr>
                <w:sz w:val="20"/>
                <w:szCs w:val="20"/>
                <w:color w:val="auto"/>
              </w:rPr>
            </w:pPr>
            <w:r>
              <w:rPr>
                <w:rFonts w:ascii="Arial" w:cs="Arial" w:eastAsia="Arial" w:hAnsi="Arial"/>
                <w:sz w:val="18"/>
                <w:szCs w:val="18"/>
                <w:color w:val="auto"/>
              </w:rPr>
              <w:t>Procedure for Borrowing</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2.7</w:t>
            </w:r>
          </w:p>
        </w:tc>
        <w:tc>
          <w:tcPr>
            <w:tcW w:w="9980" w:type="dxa"/>
            <w:vAlign w:val="bottom"/>
          </w:tcPr>
          <w:p>
            <w:pPr>
              <w:ind w:left="160"/>
              <w:spacing w:after="0"/>
              <w:rPr>
                <w:sz w:val="20"/>
                <w:szCs w:val="20"/>
                <w:color w:val="auto"/>
              </w:rPr>
            </w:pPr>
            <w:r>
              <w:rPr>
                <w:rFonts w:ascii="Arial" w:cs="Arial" w:eastAsia="Arial" w:hAnsi="Arial"/>
                <w:sz w:val="18"/>
                <w:szCs w:val="18"/>
                <w:color w:val="auto"/>
              </w:rPr>
              <w:t>Conversion and Continuation Options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2.8</w:t>
            </w:r>
          </w:p>
        </w:tc>
        <w:tc>
          <w:tcPr>
            <w:tcW w:w="9980" w:type="dxa"/>
            <w:vAlign w:val="bottom"/>
          </w:tcPr>
          <w:p>
            <w:pPr>
              <w:ind w:left="160"/>
              <w:spacing w:after="0"/>
              <w:rPr>
                <w:sz w:val="20"/>
                <w:szCs w:val="20"/>
                <w:color w:val="auto"/>
              </w:rPr>
            </w:pPr>
            <w:r>
              <w:rPr>
                <w:rFonts w:ascii="Arial" w:cs="Arial" w:eastAsia="Arial" w:hAnsi="Arial"/>
                <w:sz w:val="18"/>
                <w:szCs w:val="18"/>
                <w:color w:val="auto"/>
              </w:rPr>
              <w:t>Termination or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2.9</w:t>
            </w:r>
          </w:p>
        </w:tc>
        <w:tc>
          <w:tcPr>
            <w:tcW w:w="9980" w:type="dxa"/>
            <w:vAlign w:val="bottom"/>
          </w:tcPr>
          <w:p>
            <w:pPr>
              <w:ind w:left="160"/>
              <w:spacing w:after="0"/>
              <w:rPr>
                <w:sz w:val="20"/>
                <w:szCs w:val="20"/>
                <w:color w:val="auto"/>
              </w:rPr>
            </w:pPr>
            <w:r>
              <w:rPr>
                <w:rFonts w:ascii="Arial" w:cs="Arial" w:eastAsia="Arial" w:hAnsi="Arial"/>
                <w:sz w:val="18"/>
                <w:szCs w:val="18"/>
                <w:color w:val="auto"/>
              </w:rPr>
              <w:t>Optional Prepayments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2.10</w:t>
            </w:r>
          </w:p>
        </w:tc>
        <w:tc>
          <w:tcPr>
            <w:tcW w:w="9980" w:type="dxa"/>
            <w:vAlign w:val="bottom"/>
          </w:tcPr>
          <w:p>
            <w:pPr>
              <w:ind w:left="160"/>
              <w:spacing w:after="0"/>
              <w:rPr>
                <w:sz w:val="20"/>
                <w:szCs w:val="20"/>
                <w:color w:val="auto"/>
              </w:rPr>
            </w:pPr>
            <w:r>
              <w:rPr>
                <w:rFonts w:ascii="Arial" w:cs="Arial" w:eastAsia="Arial" w:hAnsi="Arial"/>
                <w:sz w:val="18"/>
                <w:szCs w:val="18"/>
                <w:color w:val="auto"/>
              </w:rPr>
              <w:t>Pro Rata Treatment and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2.11</w:t>
            </w:r>
          </w:p>
        </w:tc>
        <w:tc>
          <w:tcPr>
            <w:tcW w:w="9980" w:type="dxa"/>
            <w:vAlign w:val="bottom"/>
          </w:tcPr>
          <w:p>
            <w:pPr>
              <w:ind w:left="160"/>
              <w:spacing w:after="0"/>
              <w:rPr>
                <w:sz w:val="20"/>
                <w:szCs w:val="20"/>
                <w:color w:val="auto"/>
              </w:rPr>
            </w:pPr>
            <w:r>
              <w:rPr>
                <w:rFonts w:ascii="Arial" w:cs="Arial" w:eastAsia="Arial" w:hAnsi="Arial"/>
                <w:sz w:val="18"/>
                <w:szCs w:val="18"/>
                <w:color w:val="auto"/>
              </w:rPr>
              <w:t>Non-Receipt of Funds by 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2.12</w:t>
            </w:r>
          </w:p>
        </w:tc>
        <w:tc>
          <w:tcPr>
            <w:tcW w:w="9980" w:type="dxa"/>
            <w:vAlign w:val="bottom"/>
          </w:tcPr>
          <w:p>
            <w:pPr>
              <w:ind w:left="160"/>
              <w:spacing w:after="0"/>
              <w:rPr>
                <w:sz w:val="20"/>
                <w:szCs w:val="20"/>
                <w:color w:val="auto"/>
              </w:rPr>
            </w:pPr>
            <w:r>
              <w:rPr>
                <w:rFonts w:ascii="Arial" w:cs="Arial" w:eastAsia="Arial" w:hAnsi="Arial"/>
                <w:sz w:val="18"/>
                <w:szCs w:val="18"/>
                <w:color w:val="auto"/>
              </w:rPr>
              <w:t>Indemnity</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2.13</w:t>
            </w:r>
          </w:p>
        </w:tc>
        <w:tc>
          <w:tcPr>
            <w:tcW w:w="9980" w:type="dxa"/>
            <w:vAlign w:val="bottom"/>
          </w:tcPr>
          <w:p>
            <w:pPr>
              <w:ind w:left="160"/>
              <w:spacing w:after="0"/>
              <w:rPr>
                <w:sz w:val="20"/>
                <w:szCs w:val="20"/>
                <w:color w:val="auto"/>
              </w:rPr>
            </w:pPr>
            <w:r>
              <w:rPr>
                <w:rFonts w:ascii="Arial" w:cs="Arial" w:eastAsia="Arial" w:hAnsi="Arial"/>
                <w:sz w:val="18"/>
                <w:szCs w:val="18"/>
                <w:color w:val="auto"/>
              </w:rPr>
              <w:t>Capital Adequacy</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2.14</w:t>
            </w:r>
          </w:p>
        </w:tc>
        <w:tc>
          <w:tcPr>
            <w:tcW w:w="9980" w:type="dxa"/>
            <w:vAlign w:val="bottom"/>
          </w:tcPr>
          <w:p>
            <w:pPr>
              <w:ind w:left="160"/>
              <w:spacing w:after="0"/>
              <w:rPr>
                <w:sz w:val="20"/>
                <w:szCs w:val="20"/>
                <w:color w:val="auto"/>
              </w:rPr>
            </w:pPr>
            <w:r>
              <w:rPr>
                <w:rFonts w:ascii="Arial" w:cs="Arial" w:eastAsia="Arial" w:hAnsi="Arial"/>
                <w:sz w:val="18"/>
                <w:szCs w:val="18"/>
                <w:color w:val="auto"/>
              </w:rPr>
              <w:t>Inability to Determine Interest Rate</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2.15</w:t>
            </w:r>
          </w:p>
        </w:tc>
        <w:tc>
          <w:tcPr>
            <w:tcW w:w="9980" w:type="dxa"/>
            <w:vAlign w:val="bottom"/>
          </w:tcPr>
          <w:p>
            <w:pPr>
              <w:ind w:left="160"/>
              <w:spacing w:after="0"/>
              <w:rPr>
                <w:sz w:val="20"/>
                <w:szCs w:val="20"/>
                <w:color w:val="auto"/>
              </w:rPr>
            </w:pPr>
            <w:r>
              <w:rPr>
                <w:rFonts w:ascii="Arial" w:cs="Arial" w:eastAsia="Arial" w:hAnsi="Arial"/>
                <w:sz w:val="18"/>
                <w:szCs w:val="18"/>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2.16</w:t>
            </w:r>
          </w:p>
        </w:tc>
        <w:tc>
          <w:tcPr>
            <w:tcW w:w="9980" w:type="dxa"/>
            <w:vAlign w:val="bottom"/>
          </w:tcPr>
          <w:p>
            <w:pPr>
              <w:ind w:left="160"/>
              <w:spacing w:after="0"/>
              <w:rPr>
                <w:sz w:val="20"/>
                <w:szCs w:val="20"/>
                <w:color w:val="auto"/>
              </w:rPr>
            </w:pPr>
            <w:r>
              <w:rPr>
                <w:rFonts w:ascii="Arial" w:cs="Arial" w:eastAsia="Arial" w:hAnsi="Arial"/>
                <w:sz w:val="18"/>
                <w:szCs w:val="18"/>
                <w:color w:val="auto"/>
              </w:rPr>
              <w:t>Requirements of Law</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2.17</w:t>
            </w:r>
          </w:p>
        </w:tc>
        <w:tc>
          <w:tcPr>
            <w:tcW w:w="9980" w:type="dxa"/>
            <w:vAlign w:val="bottom"/>
          </w:tcPr>
          <w:p>
            <w:pPr>
              <w:ind w:left="1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2.18</w:t>
            </w:r>
          </w:p>
        </w:tc>
        <w:tc>
          <w:tcPr>
            <w:tcW w:w="9980" w:type="dxa"/>
            <w:vAlign w:val="bottom"/>
          </w:tcPr>
          <w:p>
            <w:pPr>
              <w:ind w:left="160"/>
              <w:spacing w:after="0"/>
              <w:rPr>
                <w:sz w:val="20"/>
                <w:szCs w:val="20"/>
                <w:color w:val="auto"/>
              </w:rPr>
            </w:pPr>
            <w:r>
              <w:rPr>
                <w:rFonts w:ascii="Arial" w:cs="Arial" w:eastAsia="Arial" w:hAnsi="Arial"/>
                <w:sz w:val="18"/>
                <w:szCs w:val="18"/>
                <w:color w:val="auto"/>
              </w:rPr>
              <w:t>Commitment Reductions and Mandatory Prepayments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2.19</w:t>
            </w:r>
          </w:p>
        </w:tc>
        <w:tc>
          <w:tcPr>
            <w:tcW w:w="9980" w:type="dxa"/>
            <w:vAlign w:val="bottom"/>
          </w:tcPr>
          <w:p>
            <w:pPr>
              <w:ind w:left="160"/>
              <w:spacing w:after="0"/>
              <w:rPr>
                <w:sz w:val="20"/>
                <w:szCs w:val="20"/>
                <w:color w:val="auto"/>
              </w:rPr>
            </w:pPr>
            <w:r>
              <w:rPr>
                <w:rFonts w:ascii="Arial" w:cs="Arial" w:eastAsia="Arial" w:hAnsi="Arial"/>
                <w:sz w:val="18"/>
                <w:szCs w:val="18"/>
                <w:color w:val="auto"/>
              </w:rPr>
              <w:t>Defaulting Lender</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080" w:type="dxa"/>
            <w:vAlign w:val="bottom"/>
          </w:tcPr>
          <w:p>
            <w:pPr>
              <w:ind w:left="440"/>
              <w:spacing w:after="0"/>
              <w:rPr>
                <w:sz w:val="20"/>
                <w:szCs w:val="20"/>
                <w:color w:val="auto"/>
              </w:rPr>
            </w:pPr>
            <w:r>
              <w:rPr>
                <w:rFonts w:ascii="Arial" w:cs="Arial" w:eastAsia="Arial" w:hAnsi="Arial"/>
                <w:sz w:val="18"/>
                <w:szCs w:val="18"/>
                <w:color w:val="auto"/>
              </w:rPr>
              <w:t>2.20</w:t>
            </w:r>
          </w:p>
        </w:tc>
        <w:tc>
          <w:tcPr>
            <w:tcW w:w="9980" w:type="dxa"/>
            <w:vAlign w:val="bottom"/>
          </w:tcPr>
          <w:p>
            <w:pPr>
              <w:ind w:left="160"/>
              <w:spacing w:after="0"/>
              <w:rPr>
                <w:sz w:val="20"/>
                <w:szCs w:val="20"/>
                <w:color w:val="auto"/>
              </w:rPr>
            </w:pPr>
            <w:r>
              <w:rPr>
                <w:rFonts w:ascii="Arial" w:cs="Arial" w:eastAsia="Arial" w:hAnsi="Arial"/>
                <w:sz w:val="18"/>
                <w:szCs w:val="18"/>
                <w:color w:val="auto"/>
              </w:rPr>
              <w:t>Mitigation Obligations; Replacement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3.</w:t>
            </w:r>
          </w:p>
        </w:tc>
        <w:tc>
          <w:tcPr>
            <w:tcW w:w="9980" w:type="dxa"/>
            <w:vAlign w:val="bottom"/>
          </w:tcPr>
          <w:p>
            <w:pPr>
              <w:ind w:left="58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SECTION 4.</w:t>
            </w:r>
          </w:p>
        </w:tc>
        <w:tc>
          <w:tcPr>
            <w:tcW w:w="9980" w:type="dxa"/>
            <w:vAlign w:val="bottom"/>
          </w:tcPr>
          <w:p>
            <w:pPr>
              <w:ind w:left="580"/>
              <w:spacing w:after="0"/>
              <w:rPr>
                <w:sz w:val="20"/>
                <w:szCs w:val="20"/>
                <w:color w:val="auto"/>
              </w:rPr>
            </w:pPr>
            <w:r>
              <w:rPr>
                <w:rFonts w:ascii="Arial" w:cs="Arial" w:eastAsia="Arial" w:hAnsi="Arial"/>
                <w:sz w:val="18"/>
                <w:szCs w:val="18"/>
                <w:color w:val="auto"/>
              </w:rPr>
              <w:t>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w:t>
            </w:r>
          </w:p>
        </w:tc>
        <w:tc>
          <w:tcPr>
            <w:tcW w:w="9980" w:type="dxa"/>
            <w:vAlign w:val="bottom"/>
          </w:tcPr>
          <w:p>
            <w:pPr>
              <w:ind w:left="160"/>
              <w:spacing w:after="0"/>
              <w:rPr>
                <w:sz w:val="20"/>
                <w:szCs w:val="20"/>
                <w:color w:val="auto"/>
              </w:rPr>
            </w:pPr>
            <w:r>
              <w:rPr>
                <w:rFonts w:ascii="Arial" w:cs="Arial" w:eastAsia="Arial" w:hAnsi="Arial"/>
                <w:sz w:val="18"/>
                <w:szCs w:val="18"/>
                <w:color w:val="auto"/>
              </w:rPr>
              <w:t>Financial Condition</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4.2</w:t>
            </w:r>
          </w:p>
        </w:tc>
        <w:tc>
          <w:tcPr>
            <w:tcW w:w="9980" w:type="dxa"/>
            <w:vAlign w:val="bottom"/>
          </w:tcPr>
          <w:p>
            <w:pPr>
              <w:ind w:left="160"/>
              <w:spacing w:after="0"/>
              <w:rPr>
                <w:sz w:val="20"/>
                <w:szCs w:val="20"/>
                <w:color w:val="auto"/>
              </w:rPr>
            </w:pPr>
            <w:r>
              <w:rPr>
                <w:rFonts w:ascii="Arial" w:cs="Arial" w:eastAsia="Arial" w:hAnsi="Arial"/>
                <w:sz w:val="18"/>
                <w:szCs w:val="18"/>
                <w:color w:val="auto"/>
              </w:rPr>
              <w:t>No Material Adverse Effect</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4.3</w:t>
            </w:r>
          </w:p>
        </w:tc>
        <w:tc>
          <w:tcPr>
            <w:tcW w:w="9980" w:type="dxa"/>
            <w:vAlign w:val="bottom"/>
          </w:tcPr>
          <w:p>
            <w:pPr>
              <w:ind w:left="160"/>
              <w:spacing w:after="0"/>
              <w:rPr>
                <w:sz w:val="20"/>
                <w:szCs w:val="20"/>
                <w:color w:val="auto"/>
              </w:rPr>
            </w:pPr>
            <w:r>
              <w:rPr>
                <w:rFonts w:ascii="Arial" w:cs="Arial" w:eastAsia="Arial" w:hAnsi="Arial"/>
                <w:sz w:val="18"/>
                <w:szCs w:val="18"/>
                <w:color w:val="auto"/>
              </w:rPr>
              <w:t>Existence; Compliance with Law</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4.4</w:t>
            </w:r>
          </w:p>
        </w:tc>
        <w:tc>
          <w:tcPr>
            <w:tcW w:w="9980" w:type="dxa"/>
            <w:vAlign w:val="bottom"/>
          </w:tcPr>
          <w:p>
            <w:pPr>
              <w:ind w:left="160"/>
              <w:spacing w:after="0"/>
              <w:rPr>
                <w:sz w:val="20"/>
                <w:szCs w:val="20"/>
                <w:color w:val="auto"/>
              </w:rPr>
            </w:pPr>
            <w:r>
              <w:rPr>
                <w:rFonts w:ascii="Arial" w:cs="Arial" w:eastAsia="Arial" w:hAnsi="Arial"/>
                <w:sz w:val="18"/>
                <w:szCs w:val="18"/>
                <w:color w:val="auto"/>
              </w:rPr>
              <w:t>Power; Authorization; Enforceable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4.5</w:t>
            </w:r>
          </w:p>
        </w:tc>
        <w:tc>
          <w:tcPr>
            <w:tcW w:w="9980" w:type="dxa"/>
            <w:vAlign w:val="bottom"/>
          </w:tcPr>
          <w:p>
            <w:pPr>
              <w:ind w:left="160"/>
              <w:spacing w:after="0"/>
              <w:rPr>
                <w:sz w:val="20"/>
                <w:szCs w:val="20"/>
                <w:color w:val="auto"/>
              </w:rPr>
            </w:pPr>
            <w:r>
              <w:rPr>
                <w:rFonts w:ascii="Arial" w:cs="Arial" w:eastAsia="Arial" w:hAnsi="Arial"/>
                <w:sz w:val="18"/>
                <w:szCs w:val="18"/>
                <w:color w:val="auto"/>
              </w:rPr>
              <w:t>No Legal Bar</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4.6</w:t>
            </w:r>
          </w:p>
        </w:tc>
        <w:tc>
          <w:tcPr>
            <w:tcW w:w="9980" w:type="dxa"/>
            <w:vAlign w:val="bottom"/>
          </w:tcPr>
          <w:p>
            <w:pPr>
              <w:ind w:left="160"/>
              <w:spacing w:after="0"/>
              <w:rPr>
                <w:sz w:val="20"/>
                <w:szCs w:val="20"/>
                <w:color w:val="auto"/>
              </w:rPr>
            </w:pPr>
            <w:r>
              <w:rPr>
                <w:rFonts w:ascii="Arial" w:cs="Arial" w:eastAsia="Arial" w:hAnsi="Arial"/>
                <w:sz w:val="18"/>
                <w:szCs w:val="18"/>
                <w:color w:val="auto"/>
              </w:rPr>
              <w:t>No Material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4.7</w:t>
            </w:r>
          </w:p>
        </w:tc>
        <w:tc>
          <w:tcPr>
            <w:tcW w:w="9980" w:type="dxa"/>
            <w:vAlign w:val="bottom"/>
          </w:tcPr>
          <w:p>
            <w:pPr>
              <w:ind w:left="160"/>
              <w:spacing w:after="0"/>
              <w:rPr>
                <w:sz w:val="20"/>
                <w:szCs w:val="20"/>
                <w:color w:val="auto"/>
              </w:rPr>
            </w:pPr>
            <w:r>
              <w:rPr>
                <w:rFonts w:ascii="Arial" w:cs="Arial" w:eastAsia="Arial" w:hAnsi="Arial"/>
                <w:sz w:val="18"/>
                <w:szCs w:val="18"/>
                <w:color w:val="auto"/>
              </w:rPr>
              <w:t>No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4.8</w:t>
            </w:r>
          </w:p>
        </w:tc>
        <w:tc>
          <w:tcPr>
            <w:tcW w:w="9980" w:type="dxa"/>
            <w:vAlign w:val="bottom"/>
          </w:tcPr>
          <w:p>
            <w:pPr>
              <w:ind w:left="160"/>
              <w:spacing w:after="0"/>
              <w:rPr>
                <w:sz w:val="20"/>
                <w:szCs w:val="20"/>
                <w:color w:val="auto"/>
              </w:rPr>
            </w:pPr>
            <w:r>
              <w:rPr>
                <w:rFonts w:ascii="Arial" w:cs="Arial" w:eastAsia="Arial" w:hAnsi="Arial"/>
                <w:sz w:val="18"/>
                <w:szCs w:val="18"/>
                <w:color w:val="auto"/>
              </w:rPr>
              <w:t>Ownership of Property; Liens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4.9</w:t>
            </w:r>
          </w:p>
        </w:tc>
        <w:tc>
          <w:tcPr>
            <w:tcW w:w="9980" w:type="dxa"/>
            <w:vAlign w:val="bottom"/>
          </w:tcPr>
          <w:p>
            <w:pPr>
              <w:ind w:left="16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4.10</w:t>
            </w:r>
          </w:p>
        </w:tc>
        <w:tc>
          <w:tcPr>
            <w:tcW w:w="9980" w:type="dxa"/>
            <w:vAlign w:val="bottom"/>
          </w:tcPr>
          <w:p>
            <w:pPr>
              <w:ind w:left="160"/>
              <w:spacing w:after="0"/>
              <w:rPr>
                <w:sz w:val="20"/>
                <w:szCs w:val="20"/>
                <w:color w:val="auto"/>
              </w:rPr>
            </w:pPr>
            <w:r>
              <w:rPr>
                <w:rFonts w:ascii="Arial" w:cs="Arial" w:eastAsia="Arial" w:hAnsi="Arial"/>
                <w:sz w:val="18"/>
                <w:szCs w:val="18"/>
                <w:color w:val="auto"/>
              </w:rPr>
              <w:t>Federal Regulations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4.11</w:t>
            </w:r>
          </w:p>
        </w:tc>
        <w:tc>
          <w:tcPr>
            <w:tcW w:w="9980" w:type="dxa"/>
            <w:vAlign w:val="bottom"/>
          </w:tcPr>
          <w:p>
            <w:pPr>
              <w:ind w:left="160"/>
              <w:spacing w:after="0"/>
              <w:rPr>
                <w:sz w:val="20"/>
                <w:szCs w:val="20"/>
                <w:color w:val="auto"/>
              </w:rPr>
            </w:pPr>
            <w:r>
              <w:rPr>
                <w:rFonts w:ascii="Arial" w:cs="Arial" w:eastAsia="Arial" w:hAnsi="Arial"/>
                <w:sz w:val="18"/>
                <w:szCs w:val="18"/>
                <w:color w:val="auto"/>
              </w:rPr>
              <w:t>ERISA</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080" w:type="dxa"/>
            <w:vAlign w:val="bottom"/>
          </w:tcPr>
          <w:p>
            <w:pPr>
              <w:ind w:left="440"/>
              <w:spacing w:after="0"/>
              <w:rPr>
                <w:sz w:val="20"/>
                <w:szCs w:val="20"/>
                <w:color w:val="auto"/>
              </w:rPr>
            </w:pPr>
            <w:r>
              <w:rPr>
                <w:rFonts w:ascii="Arial" w:cs="Arial" w:eastAsia="Arial" w:hAnsi="Arial"/>
                <w:sz w:val="18"/>
                <w:szCs w:val="18"/>
                <w:color w:val="auto"/>
              </w:rPr>
              <w:t>4.12</w:t>
            </w:r>
          </w:p>
        </w:tc>
        <w:tc>
          <w:tcPr>
            <w:tcW w:w="9980" w:type="dxa"/>
            <w:vAlign w:val="bottom"/>
          </w:tcPr>
          <w:p>
            <w:pPr>
              <w:ind w:left="160"/>
              <w:spacing w:after="0"/>
              <w:rPr>
                <w:sz w:val="20"/>
                <w:szCs w:val="20"/>
                <w:color w:val="auto"/>
              </w:rPr>
            </w:pPr>
            <w:r>
              <w:rPr>
                <w:rFonts w:ascii="Arial" w:cs="Arial" w:eastAsia="Arial" w:hAnsi="Arial"/>
                <w:sz w:val="18"/>
                <w:szCs w:val="18"/>
                <w:color w:val="auto"/>
              </w:rPr>
              <w:t>Investment Company Act; Other Regulations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1080" w:type="dxa"/>
            <w:vAlign w:val="bottom"/>
          </w:tcPr>
          <w:p>
            <w:pPr>
              <w:ind w:left="440"/>
              <w:spacing w:after="0"/>
              <w:rPr>
                <w:sz w:val="20"/>
                <w:szCs w:val="20"/>
                <w:color w:val="auto"/>
              </w:rPr>
            </w:pPr>
            <w:r>
              <w:rPr>
                <w:rFonts w:ascii="Arial" w:cs="Arial" w:eastAsia="Arial" w:hAnsi="Arial"/>
                <w:sz w:val="18"/>
                <w:szCs w:val="18"/>
                <w:color w:val="auto"/>
              </w:rPr>
              <w:t>4.13</w:t>
            </w:r>
          </w:p>
        </w:tc>
        <w:tc>
          <w:tcPr>
            <w:tcW w:w="9980" w:type="dxa"/>
            <w:vAlign w:val="bottom"/>
          </w:tcPr>
          <w:p>
            <w:pPr>
              <w:ind w:left="160"/>
              <w:spacing w:after="0"/>
              <w:rPr>
                <w:sz w:val="20"/>
                <w:szCs w:val="20"/>
                <w:color w:val="auto"/>
              </w:rPr>
            </w:pPr>
            <w:r>
              <w:rPr>
                <w:rFonts w:ascii="Arial" w:cs="Arial" w:eastAsia="Arial" w:hAnsi="Arial"/>
                <w:sz w:val="18"/>
                <w:szCs w:val="18"/>
                <w:color w:val="auto"/>
              </w:rPr>
              <w:t>Significant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8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40"/>
              <w:spacing w:after="0"/>
              <w:rPr>
                <w:sz w:val="20"/>
                <w:szCs w:val="20"/>
                <w:color w:val="auto"/>
              </w:rPr>
            </w:pPr>
            <w:r>
              <w:rPr>
                <w:rFonts w:ascii="Arial" w:cs="Arial" w:eastAsia="Arial" w:hAnsi="Arial"/>
                <w:sz w:val="18"/>
                <w:szCs w:val="18"/>
                <w:color w:val="auto"/>
                <w:w w:val="91"/>
              </w:rPr>
              <w:t>4.14</w:t>
            </w:r>
          </w:p>
        </w:tc>
        <w:tc>
          <w:tcPr>
            <w:tcW w:w="400" w:type="dxa"/>
            <w:vAlign w:val="bottom"/>
          </w:tcPr>
          <w:p>
            <w:pPr>
              <w:spacing w:after="0"/>
              <w:rPr>
                <w:sz w:val="14"/>
                <w:szCs w:val="14"/>
                <w:color w:val="auto"/>
              </w:rPr>
            </w:pPr>
          </w:p>
        </w:tc>
        <w:tc>
          <w:tcPr>
            <w:tcW w:w="9880" w:type="dxa"/>
            <w:vAlign w:val="bottom"/>
            <w:vMerge w:val="restart"/>
          </w:tcPr>
          <w:p>
            <w:pPr>
              <w:ind w:left="160"/>
              <w:spacing w:after="0"/>
              <w:rPr>
                <w:sz w:val="20"/>
                <w:szCs w:val="20"/>
                <w:color w:val="auto"/>
              </w:rPr>
            </w:pPr>
            <w:r>
              <w:rPr>
                <w:rFonts w:ascii="Arial" w:cs="Arial" w:eastAsia="Arial" w:hAnsi="Arial"/>
                <w:sz w:val="18"/>
                <w:szCs w:val="18"/>
                <w:color w:val="auto"/>
              </w:rPr>
              <w:t>Accuracy of Information, etc</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7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88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4.15</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Use of Proceeds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5.</w:t>
            </w:r>
          </w:p>
        </w:tc>
        <w:tc>
          <w:tcPr>
            <w:tcW w:w="9880" w:type="dxa"/>
            <w:vAlign w:val="bottom"/>
          </w:tcPr>
          <w:p>
            <w:pPr>
              <w:ind w:left="600"/>
              <w:spacing w:after="0"/>
              <w:rPr>
                <w:sz w:val="20"/>
                <w:szCs w:val="20"/>
                <w:color w:val="auto"/>
              </w:rPr>
            </w:pPr>
            <w:r>
              <w:rPr>
                <w:rFonts w:ascii="Arial" w:cs="Arial" w:eastAsia="Arial" w:hAnsi="Arial"/>
                <w:sz w:val="18"/>
                <w:szCs w:val="18"/>
                <w:color w:val="auto"/>
              </w:rPr>
              <w:t>CONDITIONS PRECEDENT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Conditions of Initial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Conditions to All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6.</w:t>
            </w:r>
          </w:p>
        </w:tc>
        <w:tc>
          <w:tcPr>
            <w:tcW w:w="9880" w:type="dxa"/>
            <w:vAlign w:val="bottom"/>
          </w:tcPr>
          <w:p>
            <w:pPr>
              <w:ind w:left="600"/>
              <w:spacing w:after="0"/>
              <w:rPr>
                <w:sz w:val="20"/>
                <w:szCs w:val="20"/>
                <w:color w:val="auto"/>
              </w:rPr>
            </w:pPr>
            <w:r>
              <w:rPr>
                <w:rFonts w:ascii="Arial" w:cs="Arial" w:eastAsia="Arial" w:hAnsi="Arial"/>
                <w:sz w:val="18"/>
                <w:szCs w:val="18"/>
                <w:color w:val="auto"/>
              </w:rPr>
              <w:t>AFFIRMATIVE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Certificates; Other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Conduct of Business and Maintenance of Existence; Compliance</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6.4</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Maintenance of Property;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Inspection of Property; Books and Records; Discussions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7.</w:t>
            </w:r>
          </w:p>
        </w:tc>
        <w:tc>
          <w:tcPr>
            <w:tcW w:w="9880" w:type="dxa"/>
            <w:vAlign w:val="bottom"/>
          </w:tcPr>
          <w:p>
            <w:pPr>
              <w:ind w:left="600"/>
              <w:spacing w:after="0"/>
              <w:rPr>
                <w:sz w:val="20"/>
                <w:szCs w:val="20"/>
                <w:color w:val="auto"/>
              </w:rPr>
            </w:pPr>
            <w:r>
              <w:rPr>
                <w:rFonts w:ascii="Arial" w:cs="Arial" w:eastAsia="Arial" w:hAnsi="Arial"/>
                <w:sz w:val="18"/>
                <w:szCs w:val="18"/>
                <w:color w:val="auto"/>
              </w:rPr>
              <w:t>NEGATIVE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Financial Condition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Liens</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7.4</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Fundamental Changes</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Limitation on Optional Payments and Modifications of Subordinated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Clauses Restricting Subsidiary Distributions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Restricted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rPr>
              <w:t>7.9</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Disposition of Designated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8.</w:t>
            </w:r>
          </w:p>
        </w:tc>
        <w:tc>
          <w:tcPr>
            <w:tcW w:w="9880" w:type="dxa"/>
            <w:vAlign w:val="bottom"/>
          </w:tcPr>
          <w:p>
            <w:pPr>
              <w:ind w:left="6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9.</w:t>
            </w:r>
          </w:p>
        </w:tc>
        <w:tc>
          <w:tcPr>
            <w:tcW w:w="9880" w:type="dxa"/>
            <w:vAlign w:val="bottom"/>
          </w:tcPr>
          <w:p>
            <w:pPr>
              <w:ind w:left="600"/>
              <w:spacing w:after="0"/>
              <w:rPr>
                <w:sz w:val="20"/>
                <w:szCs w:val="20"/>
                <w:color w:val="auto"/>
              </w:rPr>
            </w:pPr>
            <w:r>
              <w:rPr>
                <w:rFonts w:ascii="Arial" w:cs="Arial" w:eastAsia="Arial" w:hAnsi="Arial"/>
                <w:sz w:val="18"/>
                <w:szCs w:val="18"/>
                <w:color w:val="auto"/>
              </w:rPr>
              <w:t>EVENTS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10.</w:t>
            </w:r>
          </w:p>
        </w:tc>
        <w:tc>
          <w:tcPr>
            <w:tcW w:w="9880" w:type="dxa"/>
            <w:vAlign w:val="bottom"/>
          </w:tcPr>
          <w:p>
            <w:pPr>
              <w:ind w:left="6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11.</w:t>
            </w:r>
          </w:p>
        </w:tc>
        <w:tc>
          <w:tcPr>
            <w:tcW w:w="9880" w:type="dxa"/>
            <w:vAlign w:val="bottom"/>
          </w:tcPr>
          <w:p>
            <w:pPr>
              <w:ind w:left="600"/>
              <w:spacing w:after="0"/>
              <w:rPr>
                <w:sz w:val="20"/>
                <w:szCs w:val="20"/>
                <w:color w:val="auto"/>
              </w:rPr>
            </w:pPr>
            <w:r>
              <w:rPr>
                <w:rFonts w:ascii="Arial" w:cs="Arial" w:eastAsia="Arial" w:hAnsi="Arial"/>
                <w:sz w:val="18"/>
                <w:szCs w:val="18"/>
                <w:color w:val="auto"/>
              </w:rPr>
              <w:t>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Appointment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11.2</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Delegation of Duties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11.3</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Exculpatory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11.4</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Reliance by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11.5</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Notice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11.6</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Non-Reliance on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11.7</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11.8</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Agent in Its Individual Capacity</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11.9</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Successor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26"/>
        </w:trPr>
        <w:tc>
          <w:tcPr>
            <w:tcW w:w="780" w:type="dxa"/>
            <w:vAlign w:val="bottom"/>
          </w:tcPr>
          <w:p>
            <w:pPr>
              <w:spacing w:after="0"/>
              <w:rPr>
                <w:sz w:val="20"/>
                <w:szCs w:val="20"/>
                <w:color w:val="auto"/>
              </w:rPr>
            </w:pPr>
            <w:r>
              <w:rPr>
                <w:rFonts w:ascii="Arial" w:cs="Arial" w:eastAsia="Arial" w:hAnsi="Arial"/>
                <w:sz w:val="18"/>
                <w:szCs w:val="18"/>
                <w:color w:val="auto"/>
                <w:w w:val="94"/>
              </w:rPr>
              <w:t>SECTION</w:t>
            </w:r>
          </w:p>
        </w:tc>
        <w:tc>
          <w:tcPr>
            <w:tcW w:w="400" w:type="dxa"/>
            <w:vAlign w:val="bottom"/>
          </w:tcPr>
          <w:p>
            <w:pPr>
              <w:ind w:left="20"/>
              <w:spacing w:after="0"/>
              <w:rPr>
                <w:sz w:val="20"/>
                <w:szCs w:val="20"/>
                <w:color w:val="auto"/>
              </w:rPr>
            </w:pPr>
            <w:r>
              <w:rPr>
                <w:rFonts w:ascii="Arial" w:cs="Arial" w:eastAsia="Arial" w:hAnsi="Arial"/>
                <w:sz w:val="18"/>
                <w:szCs w:val="18"/>
                <w:color w:val="auto"/>
              </w:rPr>
              <w:t>12.</w:t>
            </w:r>
          </w:p>
        </w:tc>
        <w:tc>
          <w:tcPr>
            <w:tcW w:w="9880" w:type="dxa"/>
            <w:vAlign w:val="bottom"/>
          </w:tcPr>
          <w:p>
            <w:pPr>
              <w:ind w:left="600"/>
              <w:spacing w:after="0"/>
              <w:rPr>
                <w:sz w:val="20"/>
                <w:szCs w:val="20"/>
                <w:color w:val="auto"/>
              </w:rPr>
            </w:pPr>
            <w:r>
              <w:rPr>
                <w:rFonts w:ascii="Arial" w:cs="Arial" w:eastAsia="Arial" w:hAnsi="Arial"/>
                <w:sz w:val="18"/>
                <w:szCs w:val="18"/>
                <w:color w:val="auto"/>
              </w:rPr>
              <w:t>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80" w:type="dxa"/>
            <w:vAlign w:val="bottom"/>
          </w:tcPr>
          <w:p>
            <w:pPr>
              <w:ind w:left="440"/>
              <w:spacing w:after="0"/>
              <w:rPr>
                <w:sz w:val="20"/>
                <w:szCs w:val="20"/>
                <w:color w:val="auto"/>
              </w:rPr>
            </w:pPr>
            <w:r>
              <w:rPr>
                <w:rFonts w:ascii="Arial" w:cs="Arial" w:eastAsia="Arial" w:hAnsi="Arial"/>
                <w:sz w:val="18"/>
                <w:szCs w:val="18"/>
                <w:color w:val="auto"/>
                <w:w w:val="91"/>
              </w:rPr>
              <w:t>12.1</w:t>
            </w:r>
          </w:p>
        </w:tc>
        <w:tc>
          <w:tcPr>
            <w:tcW w:w="400" w:type="dxa"/>
            <w:vAlign w:val="bottom"/>
          </w:tcPr>
          <w:p>
            <w:pPr>
              <w:spacing w:after="0"/>
              <w:rPr>
                <w:sz w:val="18"/>
                <w:szCs w:val="18"/>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Amendments and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780" w:type="dxa"/>
            <w:vAlign w:val="bottom"/>
          </w:tcPr>
          <w:p>
            <w:pPr>
              <w:ind w:left="440"/>
              <w:spacing w:after="0"/>
              <w:rPr>
                <w:sz w:val="20"/>
                <w:szCs w:val="20"/>
                <w:color w:val="auto"/>
              </w:rPr>
            </w:pPr>
            <w:r>
              <w:rPr>
                <w:rFonts w:ascii="Arial" w:cs="Arial" w:eastAsia="Arial" w:hAnsi="Arial"/>
                <w:sz w:val="18"/>
                <w:szCs w:val="18"/>
                <w:color w:val="auto"/>
                <w:w w:val="91"/>
              </w:rPr>
              <w:t>12.2</w:t>
            </w:r>
          </w:p>
        </w:tc>
        <w:tc>
          <w:tcPr>
            <w:tcW w:w="400" w:type="dxa"/>
            <w:vAlign w:val="bottom"/>
          </w:tcPr>
          <w:p>
            <w:pPr>
              <w:spacing w:after="0"/>
              <w:rPr>
                <w:sz w:val="19"/>
                <w:szCs w:val="19"/>
                <w:color w:val="auto"/>
              </w:rPr>
            </w:pPr>
          </w:p>
        </w:tc>
        <w:tc>
          <w:tcPr>
            <w:tcW w:w="9880" w:type="dxa"/>
            <w:vAlign w:val="bottom"/>
          </w:tcPr>
          <w:p>
            <w:pPr>
              <w:ind w:left="16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6"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160" w:type="dxa"/>
            <w:vAlign w:val="bottom"/>
            <w:vMerge w:val="restart"/>
          </w:tcPr>
          <w:p>
            <w:pPr>
              <w:ind w:left="440"/>
              <w:spacing w:after="0"/>
              <w:rPr>
                <w:sz w:val="20"/>
                <w:szCs w:val="20"/>
                <w:color w:val="auto"/>
              </w:rPr>
            </w:pPr>
            <w:r>
              <w:rPr>
                <w:rFonts w:ascii="Arial" w:cs="Arial" w:eastAsia="Arial" w:hAnsi="Arial"/>
                <w:sz w:val="18"/>
                <w:szCs w:val="18"/>
                <w:color w:val="auto"/>
              </w:rPr>
              <w:t>12.3</w:t>
            </w:r>
          </w:p>
        </w:tc>
        <w:tc>
          <w:tcPr>
            <w:tcW w:w="9900" w:type="dxa"/>
            <w:vAlign w:val="bottom"/>
            <w:gridSpan w:val="2"/>
            <w:vMerge w:val="restart"/>
          </w:tcPr>
          <w:p>
            <w:pPr>
              <w:ind w:left="80"/>
              <w:spacing w:after="0"/>
              <w:rPr>
                <w:sz w:val="20"/>
                <w:szCs w:val="20"/>
                <w:color w:val="auto"/>
              </w:rPr>
            </w:pPr>
            <w:r>
              <w:rPr>
                <w:rFonts w:ascii="Arial" w:cs="Arial" w:eastAsia="Arial" w:hAnsi="Arial"/>
                <w:sz w:val="18"/>
                <w:szCs w:val="18"/>
                <w:color w:val="auto"/>
              </w:rPr>
              <w:t>No Waiver; Cumulative Remedies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160" w:type="dxa"/>
            <w:vAlign w:val="bottom"/>
            <w:vMerge w:val="continue"/>
          </w:tcPr>
          <w:p>
            <w:pPr>
              <w:spacing w:after="0"/>
              <w:rPr>
                <w:sz w:val="17"/>
                <w:szCs w:val="17"/>
                <w:color w:val="auto"/>
              </w:rPr>
            </w:pPr>
          </w:p>
        </w:tc>
        <w:tc>
          <w:tcPr>
            <w:tcW w:w="9900" w:type="dxa"/>
            <w:vAlign w:val="bottom"/>
            <w:gridSpan w:val="2"/>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12.4</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Survival of 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12.5</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Payment of Expenses and Taxes</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12.6</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Confidentiality</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12.7</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Successors and Assigns; Participations and Assignments</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1160" w:type="dxa"/>
            <w:vAlign w:val="bottom"/>
          </w:tcPr>
          <w:p>
            <w:pPr>
              <w:ind w:left="440"/>
              <w:spacing w:after="0"/>
              <w:rPr>
                <w:sz w:val="20"/>
                <w:szCs w:val="20"/>
                <w:color w:val="auto"/>
              </w:rPr>
            </w:pPr>
            <w:r>
              <w:rPr>
                <w:rFonts w:ascii="Arial" w:cs="Arial" w:eastAsia="Arial" w:hAnsi="Arial"/>
                <w:sz w:val="18"/>
                <w:szCs w:val="18"/>
                <w:color w:val="auto"/>
              </w:rPr>
              <w:t>12.8</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Adjustments; Right of Setoff</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12.9</w:t>
            </w:r>
          </w:p>
        </w:tc>
        <w:tc>
          <w:tcPr>
            <w:tcW w:w="9900" w:type="dxa"/>
            <w:vAlign w:val="bottom"/>
            <w:gridSpan w:val="2"/>
          </w:tcPr>
          <w:p>
            <w:pPr>
              <w:ind w:left="80"/>
              <w:spacing w:after="0"/>
              <w:rPr>
                <w:sz w:val="20"/>
                <w:szCs w:val="20"/>
                <w:color w:val="auto"/>
              </w:rPr>
            </w:pPr>
            <w:r>
              <w:rPr>
                <w:rFonts w:ascii="Arial" w:cs="Arial" w:eastAsia="Arial" w:hAnsi="Arial"/>
                <w:sz w:val="18"/>
                <w:szCs w:val="18"/>
                <w:b w:val="1"/>
                <w:bCs w:val="1"/>
                <w:color w:val="auto"/>
              </w:rPr>
              <w:t>WAIVERS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12.10</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Submission to Jurisdiction;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1160" w:type="dxa"/>
            <w:vAlign w:val="bottom"/>
          </w:tcPr>
          <w:p>
            <w:pPr>
              <w:ind w:left="440"/>
              <w:spacing w:after="0"/>
              <w:rPr>
                <w:sz w:val="20"/>
                <w:szCs w:val="20"/>
                <w:color w:val="auto"/>
              </w:rPr>
            </w:pPr>
            <w:r>
              <w:rPr>
                <w:rFonts w:ascii="Arial" w:cs="Arial" w:eastAsia="Arial" w:hAnsi="Arial"/>
                <w:sz w:val="18"/>
                <w:szCs w:val="18"/>
                <w:color w:val="auto"/>
              </w:rPr>
              <w:t>12.11</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12.12</w:t>
            </w:r>
          </w:p>
        </w:tc>
        <w:tc>
          <w:tcPr>
            <w:tcW w:w="9900" w:type="dxa"/>
            <w:vAlign w:val="bottom"/>
            <w:gridSpan w:val="2"/>
          </w:tcPr>
          <w:p>
            <w:pPr>
              <w:ind w:left="80"/>
              <w:spacing w:after="0"/>
              <w:rPr>
                <w:sz w:val="20"/>
                <w:szCs w:val="20"/>
                <w:color w:val="auto"/>
              </w:rPr>
            </w:pPr>
            <w:r>
              <w:rPr>
                <w:rFonts w:ascii="Arial" w:cs="Arial" w:eastAsia="Arial" w:hAnsi="Arial"/>
                <w:sz w:val="18"/>
                <w:szCs w:val="18"/>
                <w:b w:val="1"/>
                <w:bCs w:val="1"/>
                <w:color w:val="auto"/>
              </w:rPr>
              <w:t>Governing Law</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160" w:type="dxa"/>
            <w:vAlign w:val="bottom"/>
          </w:tcPr>
          <w:p>
            <w:pPr>
              <w:ind w:left="440"/>
              <w:spacing w:after="0"/>
              <w:rPr>
                <w:sz w:val="20"/>
                <w:szCs w:val="20"/>
                <w:color w:val="auto"/>
              </w:rPr>
            </w:pPr>
            <w:r>
              <w:rPr>
                <w:rFonts w:ascii="Arial" w:cs="Arial" w:eastAsia="Arial" w:hAnsi="Arial"/>
                <w:sz w:val="18"/>
                <w:szCs w:val="18"/>
                <w:color w:val="auto"/>
              </w:rPr>
              <w:t>12.13</w:t>
            </w:r>
          </w:p>
        </w:tc>
        <w:tc>
          <w:tcPr>
            <w:tcW w:w="9900" w:type="dxa"/>
            <w:vAlign w:val="bottom"/>
            <w:gridSpan w:val="2"/>
          </w:tcPr>
          <w:p>
            <w:pPr>
              <w:ind w:left="80"/>
              <w:spacing w:after="0"/>
              <w:rPr>
                <w:sz w:val="20"/>
                <w:szCs w:val="20"/>
                <w:color w:val="auto"/>
              </w:rPr>
            </w:pPr>
            <w:r>
              <w:rPr>
                <w:rFonts w:ascii="Arial" w:cs="Arial" w:eastAsia="Arial" w:hAnsi="Arial"/>
                <w:sz w:val="18"/>
                <w:szCs w:val="18"/>
                <w:color w:val="auto"/>
              </w:rPr>
              <w:t>USA Patriot Act</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8"/>
                <w:szCs w:val="18"/>
                <w:color w:val="auto"/>
                <w:w w:val="99"/>
              </w:rPr>
              <w:t>SCHEDULES:</w:t>
            </w:r>
          </w:p>
        </w:tc>
        <w:tc>
          <w:tcPr>
            <w:tcW w:w="30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w w:val="97"/>
              </w:rPr>
              <w:t>Schedule 1.1A</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Commitments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9"/>
              </w:rPr>
              <w:t>Schedule 4.13</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Significant Subsidiaries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Schedule 7.2</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Existing Indebtedness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EXHIBITS:</w:t>
            </w:r>
          </w:p>
        </w:tc>
        <w:tc>
          <w:tcPr>
            <w:tcW w:w="30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Pr>
          <w:p>
            <w:pPr>
              <w:spacing w:after="0"/>
              <w:rPr>
                <w:sz w:val="20"/>
                <w:szCs w:val="20"/>
                <w:color w:val="auto"/>
              </w:rPr>
            </w:pPr>
            <w:r>
              <w:rPr>
                <w:rFonts w:ascii="Arial" w:cs="Arial" w:eastAsia="Arial" w:hAnsi="Arial"/>
                <w:sz w:val="18"/>
                <w:szCs w:val="18"/>
                <w:color w:val="auto"/>
              </w:rPr>
              <w:t>Exhibit A</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Revolving Credit Note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B-1</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Opinion of Cravath, Swaine &amp; Moore LLP, Counsel to the Company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B-2</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Opinion of General Counsel to the Company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B-3</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Opinion of Wilmer Cutler Pickering Hale and Dorr LLP</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C</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Assignment and Assumption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Exhibit D</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Compliance Certificate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Exhibit E</w:t>
            </w:r>
          </w:p>
        </w:tc>
        <w:tc>
          <w:tcPr>
            <w:tcW w:w="9900" w:type="dxa"/>
            <w:vAlign w:val="bottom"/>
            <w:gridSpan w:val="2"/>
          </w:tcPr>
          <w:p>
            <w:pPr>
              <w:ind w:left="180"/>
              <w:spacing w:after="0"/>
              <w:rPr>
                <w:sz w:val="20"/>
                <w:szCs w:val="20"/>
                <w:color w:val="auto"/>
              </w:rPr>
            </w:pPr>
            <w:r>
              <w:rPr>
                <w:rFonts w:ascii="Arial" w:cs="Arial" w:eastAsia="Arial" w:hAnsi="Arial"/>
                <w:sz w:val="18"/>
                <w:szCs w:val="18"/>
                <w:color w:val="auto"/>
              </w:rPr>
              <w:t>-  Form of U.S. Tax Compliance Certificate</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76" w:right="339" w:bottom="1440" w:gutter="0" w:footer="0" w:header="0"/>
        </w:sectPr>
      </w:pPr>
    </w:p>
    <w:bookmarkStart w:id="87" w:name="page88"/>
    <w:bookmarkEnd w:id="87"/>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 dated as of April 29, 2010, among LAZARD GROUP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financial institutions, or other entities from time to time parties hereto, and CITIBANK, N.A., a national banking association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for the Banks hereunder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W I T N E S S E T H :</w:t>
      </w:r>
    </w:p>
    <w:p>
      <w:pPr>
        <w:spacing w:after="0" w:line="171"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WHEREAS, the Company has applied to the Banks for loans in an aggregate principal amount at any one time outstanding not in excess of $150,000,000; and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the Banks are willing to make the loans to the Company upon the terms and subject to the conditions hereinafter set forth;</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the mutual covenants contained herein, the parties hereto hereby agree as follows: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1. 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the Securities and Exchange Act of 1934, as amended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N.A., in its capacity as administrative agent for the Banks hereunder, and its successors in such capacity.</w:t>
      </w:r>
    </w:p>
    <w:p>
      <w:pPr>
        <w:spacing w:after="0" w:line="113"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this Credit Agreement, as amended, supplemented or modified from time to time.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the Applicable Margin will be determined in accordance with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12.7.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an agreement substantially in the form of Exhibit C.</w:t>
      </w:r>
    </w:p>
    <w:p>
      <w:pPr>
        <w:sectPr>
          <w:pgSz w:w="11900" w:h="16838" w:orient="portrait"/>
          <w:cols w:equalWidth="0" w:num="1">
            <w:col w:w="11280"/>
          </w:cols>
          <w:pgMar w:left="240" w:top="415" w:right="379" w:bottom="1440" w:gutter="0" w:footer="0" w:header="0"/>
        </w:sectPr>
      </w:pPr>
    </w:p>
    <w:bookmarkStart w:id="88" w:name="page89"/>
    <w:bookmarkEnd w:id="88"/>
    <w:p>
      <w:pPr>
        <w:ind w:right="4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as to each Bank, at a particular time, an amount equal to the difference between (a) the amount of such Bank’s Commitment and (b) the aggregate outstanding principal amount of Loans made by such Bank (after giving effect to any simultaneous repayment of Loans at such time); collectively, as to the Banks, the “Available Commitments”.</w:t>
      </w:r>
    </w:p>
    <w:p>
      <w:pPr>
        <w:spacing w:after="0" w:line="59"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Banks</w:t>
      </w:r>
      <w:r>
        <w:rPr>
          <w:rFonts w:ascii="Arial" w:cs="Arial" w:eastAsia="Arial" w:hAnsi="Arial"/>
          <w:sz w:val="18"/>
          <w:szCs w:val="18"/>
          <w:color w:val="auto"/>
        </w:rPr>
        <w:t>”: Citibank, State Street Bank and Trust Company and The Bank of New York Mellon, as parties to this Agreement, and permitted assignees pursuant to subsection 12.7 (individually, a “</w:t>
      </w:r>
      <w:r>
        <w:rPr>
          <w:rFonts w:ascii="Arial" w:cs="Arial" w:eastAsia="Arial" w:hAnsi="Arial"/>
          <w:sz w:val="18"/>
          <w:szCs w:val="18"/>
          <w:u w:val="single" w:color="auto"/>
          <w:color w:val="auto"/>
        </w:rPr>
        <w:t>Bank</w:t>
      </w:r>
      <w:r>
        <w:rPr>
          <w:rFonts w:ascii="Arial" w:cs="Arial" w:eastAsia="Arial" w:hAnsi="Arial"/>
          <w:sz w:val="18"/>
          <w:szCs w:val="18"/>
          <w:color w:val="auto"/>
        </w:rPr>
        <w: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Bank</w:t>
      </w:r>
      <w:r>
        <w:rPr>
          <w:rFonts w:ascii="Arial" w:cs="Arial" w:eastAsia="Arial" w:hAnsi="Arial"/>
          <w:sz w:val="18"/>
          <w:szCs w:val="18"/>
          <w:color w:val="auto"/>
        </w:rPr>
        <w:t>”: as defined in Section 12.8.</w:t>
      </w:r>
    </w:p>
    <w:p>
      <w:pPr>
        <w:spacing w:after="0" w:line="90" w:lineRule="exact"/>
        <w:rPr>
          <w:sz w:val="20"/>
          <w:szCs w:val="20"/>
          <w:color w:val="auto"/>
        </w:rPr>
      </w:pPr>
    </w:p>
    <w:p>
      <w:pPr>
        <w:ind w:right="4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pacing w:after="0" w:line="4"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Governors</w:t>
      </w:r>
      <w:r>
        <w:rPr>
          <w:rFonts w:ascii="Arial" w:cs="Arial" w:eastAsia="Arial" w:hAnsi="Arial"/>
          <w:sz w:val="18"/>
          <w:szCs w:val="18"/>
          <w:color w:val="auto"/>
        </w:rPr>
        <w:t>”: the Board of Governors of the Federal Reserve System, or any successor entity to the functions of the Board of Governors of the Federal Reserve System.</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Date</w:t>
      </w:r>
      <w:r>
        <w:rPr>
          <w:rFonts w:ascii="Arial" w:cs="Arial" w:eastAsia="Arial" w:hAnsi="Arial"/>
          <w:sz w:val="16"/>
          <w:szCs w:val="16"/>
          <w:color w:val="auto"/>
        </w:rPr>
        <w:t>”: any Business Day on which the Banks make Loans hereunder, as specified in a notice pursuant to Section 2.6 or Section 2.7.</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Indebtedness</w:t>
      </w:r>
      <w:r>
        <w:rPr>
          <w:rFonts w:ascii="Arial" w:cs="Arial" w:eastAsia="Arial" w:hAnsi="Arial"/>
          <w:sz w:val="18"/>
          <w:szCs w:val="18"/>
          <w:color w:val="auto"/>
        </w:rPr>
        <w:t>”: Indebtedness of the Subsidiaries of the Company which are registered broker-dealers.</w:t>
      </w:r>
    </w:p>
    <w:p>
      <w:pPr>
        <w:spacing w:after="0" w:line="9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62" w:lineRule="exact"/>
        <w:rPr>
          <w:sz w:val="20"/>
          <w:szCs w:val="20"/>
          <w:color w:val="auto"/>
        </w:rPr>
      </w:pPr>
    </w:p>
    <w:p>
      <w:pPr>
        <w:ind w:right="14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62"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 and the equity units of Lazard Asset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80" w:right="2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Management LLC issued pursuant to the Lazard Asset Management LLC Limited Liability Company Agreement.</w:t>
      </w:r>
    </w:p>
    <w:p>
      <w:pPr>
        <w:spacing w:after="0" w:line="90" w:lineRule="exact"/>
        <w:rPr>
          <w:sz w:val="20"/>
          <w:szCs w:val="20"/>
          <w:color w:val="auto"/>
        </w:rPr>
      </w:pPr>
    </w:p>
    <w:p>
      <w:pPr>
        <w:ind w:right="2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ind w:firstLine="4"/>
        <w:spacing w:after="0" w:line="300" w:lineRule="auto"/>
        <w:tabs>
          <w:tab w:leader="none" w:pos="249" w:val="left"/>
        </w:tabs>
        <w:numPr>
          <w:ilvl w:val="0"/>
          <w:numId w:val="38"/>
        </w:numPr>
        <w:rPr>
          <w:rFonts w:ascii="Arial" w:cs="Arial" w:eastAsia="Arial" w:hAnsi="Arial"/>
          <w:sz w:val="15"/>
          <w:szCs w:val="15"/>
          <w:color w:val="auto"/>
        </w:rPr>
      </w:pPr>
      <w:r>
        <w:rPr>
          <w:rFonts w:ascii="Arial" w:cs="Arial" w:eastAsia="Arial" w:hAnsi="Arial"/>
          <w:sz w:val="15"/>
          <w:szCs w:val="15"/>
          <w:color w:val="auto"/>
        </w:rPr>
        <w:t>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Bank or of any commercial bank satisfying the requirements of clause</w:t>
      </w:r>
    </w:p>
    <w:p>
      <w:pPr>
        <w:spacing w:after="0" w:line="2" w:lineRule="exact"/>
        <w:rPr>
          <w:rFonts w:ascii="Arial" w:cs="Arial" w:eastAsia="Arial" w:hAnsi="Arial"/>
          <w:sz w:val="15"/>
          <w:szCs w:val="15"/>
          <w:color w:val="auto"/>
        </w:rPr>
      </w:pPr>
    </w:p>
    <w:p>
      <w:pPr>
        <w:ind w:firstLine="4"/>
        <w:spacing w:after="0" w:line="287" w:lineRule="auto"/>
        <w:tabs>
          <w:tab w:leader="none" w:pos="2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w:t>
      </w:r>
    </w:p>
    <w:p>
      <w:pPr>
        <w:spacing w:after="0" w:line="39"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the acquisition by any individual or group (other than the Managing Directors, LAZ-MD Holdings, or, in the case of the Company, Holdings or its controlled affiliates) of beneficial ownership of more than 35% of either (i) the then-outstanding shares of Holdings Capital Stock, assuming the full exchange of all of the then-outstanding Exchangeable Interests for shares of Holdings Capital Stock in accordance with the Master Separation Agreement,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 (a) pursuant to which the Company and Holdings become Subsidiaries of another person (such person, the “</w:t>
      </w:r>
      <w:r>
        <w:rPr>
          <w:rFonts w:ascii="Arial" w:cs="Arial" w:eastAsia="Arial" w:hAnsi="Arial"/>
          <w:sz w:val="16"/>
          <w:szCs w:val="16"/>
          <w:u w:val="single" w:color="auto"/>
          <w:color w:val="auto"/>
        </w:rPr>
        <w:t>Parent Company</w:t>
      </w:r>
      <w:r>
        <w:rPr>
          <w:rFonts w:ascii="Arial" w:cs="Arial" w:eastAsia="Arial" w:hAnsi="Arial"/>
          <w:sz w:val="16"/>
          <w:szCs w:val="16"/>
          <w:color w:val="auto"/>
        </w:rPr>
        <w:t>”) and such Parent Company shall not have an individual or group having beneficial ownership of more than 35% of the Capital Stock of the Parent Company generally entitled to elect the directors of the Parent Company), (b) failure of Continuing Directors to constitute a majority of the Board of Directors of Holdings, (c) failure of the</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90" w:name="page91"/>
    <w:bookmarkEnd w:id="9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Managing Directors to hold, directly or indirectly, Holdings Capital Stock or securities convertible or exchangeable into Holdings Capital Stock (including, without limitation, Exchangeable Interests, restricted stock, restricted stock units or other issuances under Holdings’ equity incentive plan) constituting at least 7.5% (on an as exchanged basis) of the amount of Holdings Capital Stock outstanding as of the Effective Date (or, in the case of the formation of any Parent Company, references to Holdings Capital Stock in this clause (c) shall refer to the Capital Stock of the Parent Company generally entitled to elect the directors of the Parent Company (with such percentage to be based upon the shares of such Capital Stock received by holders of Holdings Capital Stock received pursuant to the formation of such Parent Company)) or (d)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 from time to time, and the regulations promulgated and the rulings issued thereunder.</w:t>
      </w:r>
    </w:p>
    <w:p>
      <w:pPr>
        <w:spacing w:after="0" w:line="113" w:lineRule="exact"/>
        <w:rPr>
          <w:sz w:val="20"/>
          <w:szCs w:val="20"/>
          <w:color w:val="auto"/>
        </w:rPr>
      </w:pPr>
    </w:p>
    <w:p>
      <w:pPr>
        <w:ind w:right="1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each Bank, its obligation to make Loans to the Company in an aggregate principal amount not to exceed the amount set forth opposite such Bank’s name on Schedule 1.1A; collectively, as to the Banks, the “Commitments”.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the Commitment Fee Rate will be determined in accordance with the Pricing Grid.</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as to each Bank, the percentage of the amount of the aggregate Commitments constituted by the amount of such Bank’s Commitment.</w:t>
      </w:r>
    </w:p>
    <w:p>
      <w:pPr>
        <w:spacing w:after="0" w:line="51"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on any date of determination thereof, the period from and including the Effective Date to but not including the earlier to occur of (a) the Maturity Date or (b) such other date as the Commitments shall terminate as provided herein.</w:t>
      </w:r>
    </w:p>
    <w:p>
      <w:pPr>
        <w:spacing w:after="0" w:line="51"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Interest</w:t>
      </w:r>
      <w:r>
        <w:rPr>
          <w:rFonts w:ascii="Arial" w:cs="Arial" w:eastAsia="Arial" w:hAnsi="Arial"/>
          <w:sz w:val="18"/>
          <w:szCs w:val="18"/>
          <w:color w:val="auto"/>
        </w:rPr>
        <w:t>”: as defined in the operating agreement of the Company or any other Capital Stock of the Company which shall replace the Common Interest.</w:t>
      </w:r>
    </w:p>
    <w:p>
      <w:pPr>
        <w:spacing w:after="0" w:line="51" w:lineRule="exact"/>
        <w:rPr>
          <w:sz w:val="20"/>
          <w:szCs w:val="20"/>
          <w:color w:val="auto"/>
        </w:rPr>
      </w:pPr>
    </w:p>
    <w:p>
      <w:pPr>
        <w:jc w:val="both"/>
        <w:ind w:right="28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Commonly Controlled Entity</w:t>
      </w:r>
      <w:r>
        <w:rPr>
          <w:rFonts w:ascii="Arial" w:cs="Arial" w:eastAsia="Arial" w:hAnsi="Arial"/>
          <w:sz w:val="15"/>
          <w:szCs w:val="15"/>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as defined in Section 12.2.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the Common Interests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for any period, an amount determined for the Company and its Subsidiaries on a consolidated basis equal to</w:t>
      </w:r>
    </w:p>
    <w:p>
      <w:pPr>
        <w:spacing w:after="0" w:line="38" w:lineRule="exact"/>
        <w:rPr>
          <w:sz w:val="20"/>
          <w:szCs w:val="20"/>
          <w:color w:val="auto"/>
        </w:rPr>
      </w:pPr>
    </w:p>
    <w:p>
      <w:pPr>
        <w:ind w:right="360" w:firstLine="4"/>
        <w:spacing w:after="0" w:line="323" w:lineRule="auto"/>
        <w:tabs>
          <w:tab w:leader="none" w:pos="239"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sum, without duplication, of the amounts for such period of (i) Consolidated Net Income, (ii) Consolidated Interest Expense, (iii) provisions for taxes based on income plus tax distributions in accordance with the Company’s operating agreement (computed on a cash</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91" w:name="page92"/>
    <w:bookmarkEnd w:id="9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basis), (iv) total depreciation expense, (v) total amortization expense, (vi) other non-cash expenses, fees, charges, reserves or losses reducing Consolidated Net Income, including provisions for minority interests to the extent exceeding cash distributions to the related minority interest holders (excluding any such non-cash item otherwise included in this clause (vi) 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39"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Adjusted EBITDA for such period to (b) Consolidated Interest Expense for such period.</w:t>
      </w:r>
    </w:p>
    <w:p>
      <w:pPr>
        <w:spacing w:after="0" w:line="51" w:lineRule="exact"/>
        <w:rPr>
          <w:sz w:val="20"/>
          <w:szCs w:val="20"/>
          <w:color w:val="auto"/>
        </w:rPr>
      </w:pPr>
    </w:p>
    <w:p>
      <w:pPr>
        <w:ind w:right="12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 interest income on marketable securities, and (ii) in the case of Broker-Dealer Indebtedness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37" w:lineRule="exact"/>
        <w:rPr>
          <w:sz w:val="20"/>
          <w:szCs w:val="20"/>
          <w:color w:val="auto"/>
        </w:rPr>
      </w:pPr>
    </w:p>
    <w:p>
      <w:pPr>
        <w:ind w:right="4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as at the last day of any fiscal quarter, the ratio of (a) Consolidated Total Debt on such day to (b) Consolidated Adjusted EBITDA for the period of four consecutive fiscal quarters then ended.</w:t>
      </w:r>
    </w:p>
    <w:p>
      <w:pPr>
        <w:spacing w:after="0" w:line="51"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for any period, the net income (or loss) of the Company and its Subsidiaries on a consolidated basis for such period taken as a single accounting period determined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92" w:name="page93"/>
    <w:bookmarkEnd w:id="92"/>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SFAS 141 and (e) any non-cash expenses realized or resulting from employee benefit plans or post-employment benefit plans, grants of restricted stock, restricted stock units, stock appreciation rights, stock options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In addition, Consolidated Net Income shall be reduced by an amount equal to the tax distributions (computed on a cash basis) in accordance with the Company’s operating agreement.</w:t>
      </w:r>
    </w:p>
    <w:p>
      <w:pPr>
        <w:spacing w:after="0" w:line="35"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at any date, the aggregate principal amount of all Indebtedness of the Company and its Subsidiaries at such date, determined on a consolidated basis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 “Consolidated Total Debt” shall not include (a) the Indebtedness of Lazard Frères Banque or any Broker-Dealer Indebtedness (other than Broker-Dealer Indebtedness that is included in the calculation used to determine the capital requirements of any of the Company’s Subsidiaries) or (b) up to $200,000,000 aggregate principal amount of Indebtedness in respect of (i) the Intesa Notes and (ii) any Indebtedness of equal or junior ranking to the Intesa Notes.</w:t>
      </w:r>
    </w:p>
    <w:p>
      <w:pPr>
        <w:spacing w:after="0" w:line="35" w:lineRule="exact"/>
        <w:rPr>
          <w:sz w:val="20"/>
          <w:szCs w:val="20"/>
          <w:color w:val="auto"/>
        </w:rPr>
      </w:pPr>
    </w:p>
    <w:p>
      <w:pPr>
        <w:ind w:right="4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the directors constituting Holdings’ Board of Directors at the close of business on the Effective Date, and each other director, if, in each case, such other director’s nomination for election to the Board of Directors of Holdings is recommended or approved by at least a majority of the then Continuing Directors.</w:t>
      </w:r>
    </w:p>
    <w:p>
      <w:pPr>
        <w:spacing w:after="0" w:line="59"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undertaking to which such Person is a party or by which it or any of its property is bound.</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any of this Agreement or the Notes and all other certificates, documents, instruments or agreements executed and delivered by the Company for the benefit of the Administrative Agent and the Banks in connection herewith.</w:t>
      </w:r>
    </w:p>
    <w:p>
      <w:pPr>
        <w:spacing w:after="0" w:line="51"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any of the events specified in Section 9, whether or not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Bank, as determined by the Administrative Agent, that has (a) failed to fund any portion of its Loans within three</w:t>
      </w:r>
    </w:p>
    <w:p>
      <w:pPr>
        <w:spacing w:after="0" w:line="38" w:lineRule="exact"/>
        <w:rPr>
          <w:sz w:val="20"/>
          <w:szCs w:val="20"/>
          <w:color w:val="auto"/>
        </w:rPr>
      </w:pPr>
    </w:p>
    <w:p>
      <w:pPr>
        <w:ind w:firstLine="4"/>
        <w:spacing w:after="0" w:line="281" w:lineRule="auto"/>
        <w:tabs>
          <w:tab w:leader="none" w:pos="2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(3) Business Days after request by the Administrative Agent, to confirm that it will comply with the terms of this Agreement relating to its obligations to fund prospective Loans, (d) otherwise failed to pay over to the Administrative Agent or any other Bank any other amount required to be paid by it hereunder within three</w:t>
      </w:r>
    </w:p>
    <w:p>
      <w:pPr>
        <w:spacing w:after="0" w:line="3" w:lineRule="exact"/>
        <w:rPr>
          <w:rFonts w:ascii="Arial" w:cs="Arial" w:eastAsia="Arial" w:hAnsi="Arial"/>
          <w:sz w:val="16"/>
          <w:szCs w:val="16"/>
          <w:color w:val="auto"/>
        </w:rPr>
      </w:pPr>
    </w:p>
    <w:p>
      <w:pPr>
        <w:ind w:left="260" w:hanging="256"/>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Business Days of</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when due, unless the subject of a good faith dispute, or (e) (i) become or is insolvent or has a parent company that has become or is insolvent or</w:t>
      </w:r>
    </w:p>
    <w:p>
      <w:pPr>
        <w:spacing w:after="0" w:line="38" w:lineRule="exact"/>
        <w:rPr>
          <w:sz w:val="20"/>
          <w:szCs w:val="20"/>
          <w:color w:val="auto"/>
        </w:rPr>
      </w:pPr>
    </w:p>
    <w:p>
      <w:pPr>
        <w:jc w:val="both"/>
        <w:ind w:right="140" w:firstLine="4"/>
        <w:spacing w:after="0" w:line="295" w:lineRule="auto"/>
        <w:tabs>
          <w:tab w:leader="none" w:pos="259" w:val="left"/>
        </w:tabs>
        <w:numPr>
          <w:ilvl w:val="0"/>
          <w:numId w:val="43"/>
        </w:numPr>
        <w:rPr>
          <w:rFonts w:ascii="Arial" w:cs="Arial" w:eastAsia="Arial" w:hAnsi="Arial"/>
          <w:sz w:val="16"/>
          <w:szCs w:val="16"/>
          <w:color w:val="auto"/>
        </w:rPr>
      </w:pPr>
      <w:r>
        <w:rPr>
          <w:rFonts w:ascii="Arial" w:cs="Arial" w:eastAsia="Arial" w:hAnsi="Arial"/>
          <w:sz w:val="16"/>
          <w:szCs w:val="16"/>
          <w:color w:val="auto"/>
        </w:rPr>
        <w:t>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w:t>
      </w:r>
    </w:p>
    <w:p>
      <w:pPr>
        <w:spacing w:after="0" w:line="34"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Asset Sale</w:t>
      </w:r>
      <w:r>
        <w:rPr>
          <w:rFonts w:ascii="Arial" w:cs="Arial" w:eastAsia="Arial" w:hAnsi="Arial"/>
          <w:sz w:val="16"/>
          <w:szCs w:val="16"/>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4"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each of Lazard Frères &amp; Co. LLC, Lazard Asset Management LLC, Lazard &amp; Co., Limited and Lazard Frères SAS and each of their respective successors.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Amount</w:t>
      </w:r>
      <w:r>
        <w:rPr>
          <w:rFonts w:ascii="Arial" w:cs="Arial" w:eastAsia="Arial" w:hAnsi="Arial"/>
          <w:sz w:val="18"/>
          <w:szCs w:val="18"/>
          <w:color w:val="auto"/>
        </w:rPr>
        <w:t>”: as defined in Section 2.18.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the date on which all the conditions set forth in Section 5.1 are satisfied.</w:t>
      </w:r>
    </w:p>
    <w:p>
      <w:pPr>
        <w:spacing w:after="0" w:line="90" w:lineRule="exact"/>
        <w:rPr>
          <w:sz w:val="20"/>
          <w:szCs w:val="20"/>
          <w:color w:val="auto"/>
        </w:rPr>
      </w:pPr>
    </w:p>
    <w:p>
      <w:pPr>
        <w:ind w:right="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 Section references to ERISA are to ERISA, as in effect at the Effective Date and any subsequent provisions of ERISA, amendatory thereof, supplemental thereto or substituted therefor.</w:t>
      </w:r>
    </w:p>
    <w:p>
      <w:pPr>
        <w:spacing w:after="0" w:line="59"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of Governors) maintained by a member bank of the Federal Reserve System.</w:t>
      </w:r>
    </w:p>
    <w:p>
      <w:pPr>
        <w:spacing w:after="0" w:line="62" w:lineRule="exact"/>
        <w:rPr>
          <w:sz w:val="20"/>
          <w:szCs w:val="20"/>
          <w:color w:val="auto"/>
        </w:rPr>
      </w:pPr>
    </w:p>
    <w:p>
      <w:pPr>
        <w:ind w:right="8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(2) Business Days prior to the beginning of such Interest Period. In the event that such rate does not appear on the Reuters Screen LIBOR01 Page (or otherwise on such screen), the “</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shall be determined by reference to such other comparable publicly available service for displaying eurodollar rates as may</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94" w:name="page95"/>
    <w:bookmarkEnd w:id="94"/>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selected by the Administrative Agent or, in the absence of such availability, by reference to the rate at which the Administrative Agent is offered Dollar deposits at or about 11:00 A.M., New York City time, two (2) 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Loans</w:t>
      </w:r>
      <w:r>
        <w:rPr>
          <w:rFonts w:ascii="Arial" w:cs="Arial" w:eastAsia="Arial" w:hAnsi="Arial"/>
          <w:sz w:val="18"/>
          <w:szCs w:val="18"/>
          <w:color w:val="auto"/>
        </w:rPr>
        <w:t>”: Loans the rate of interest applicable to which is based upon the Eurodollar Rate.</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w:t>
      </w:r>
      <w:r>
        <w:rPr>
          <w:rFonts w:ascii="Arial" w:cs="Arial" w:eastAsia="Arial" w:hAnsi="Arial"/>
          <w:sz w:val="11"/>
          <w:szCs w:val="11"/>
          <w:color w:val="auto"/>
        </w:rPr>
        <w:t>th</w:t>
      </w:r>
      <w:r>
        <w:rPr>
          <w:rFonts w:ascii="Arial" w:cs="Arial" w:eastAsia="Arial" w:hAnsi="Arial"/>
          <w:sz w:val="18"/>
          <w:szCs w:val="18"/>
          <w:color w:val="auto"/>
        </w:rPr>
        <w:t xml:space="preserve"> of 1%):</w:t>
      </w:r>
    </w:p>
    <w:p>
      <w:pPr>
        <w:spacing w:after="0" w:line="1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-13970</wp:posOffset>
            </wp:positionV>
            <wp:extent cx="25419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41905" cy="889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1.00 - Eurocurrency Reserve Requirements</w:t>
      </w:r>
    </w:p>
    <w:p>
      <w:pPr>
        <w:spacing w:after="0" w:line="165" w:lineRule="exact"/>
        <w:rPr>
          <w:sz w:val="20"/>
          <w:szCs w:val="20"/>
          <w:color w:val="auto"/>
        </w:rPr>
      </w:pPr>
    </w:p>
    <w:p>
      <w:pPr>
        <w:ind w:right="2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Section 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the New York Stock Exchange, Inc.</w:t>
      </w:r>
    </w:p>
    <w:p>
      <w:pPr>
        <w:spacing w:after="0" w:line="90" w:lineRule="exact"/>
        <w:rPr>
          <w:sz w:val="20"/>
          <w:szCs w:val="20"/>
          <w:color w:val="auto"/>
        </w:rPr>
      </w:pPr>
    </w:p>
    <w:p>
      <w:pPr>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Exchangeable Interest</w:t>
      </w:r>
      <w:r>
        <w:rPr>
          <w:rFonts w:ascii="Arial" w:cs="Arial" w:eastAsia="Arial" w:hAnsi="Arial"/>
          <w:sz w:val="18"/>
          <w:szCs w:val="18"/>
          <w:color w:val="auto"/>
        </w:rPr>
        <w:t>”: a Class II Interest of LAZ-MD Holdings (or, if applicable, the Common Interest of the Company issued in exchange therefor) that, upon full exchange in accordance with the Master Separation Agreement, is entitled to receive share(s) of Holdings Capital Stock as set forth in the Master Separation Agreement.</w:t>
      </w:r>
    </w:p>
    <w:p>
      <w:pPr>
        <w:spacing w:after="0" w:line="59"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Senior Revolving Credit Agreement dated as of May 10, 2005, as amended, among the Company, the banks from time to time parties hereto, and JPMorgan Chase Bank, N.A., as administrative agent.</w:t>
      </w:r>
    </w:p>
    <w:p>
      <w:pPr>
        <w:spacing w:after="0" w:line="5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4" w:lineRule="exact"/>
        <w:rPr>
          <w:sz w:val="20"/>
          <w:szCs w:val="20"/>
          <w:color w:val="auto"/>
        </w:rPr>
      </w:pPr>
    </w:p>
    <w:p>
      <w:pPr>
        <w:ind w:right="16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w:t>
      </w:r>
      <w:r>
        <w:rPr>
          <w:rFonts w:ascii="Arial" w:cs="Arial" w:eastAsia="Arial" w:hAnsi="Arial"/>
          <w:sz w:val="18"/>
          <w:szCs w:val="18"/>
          <w:color w:val="auto"/>
        </w:rPr>
        <w:t>”: with respect to (a) the first day in each period during which a Fed Rate Loan is outstanding, the rate per annum which is the average of the rates on the offered side of the Federal funds market quoted by three interbank Federal funds brokers selected by the Administrative Agent at approximately the time the Company requests such Fed Rate Loan, for dollar deposits in immediately available funds, for a period and in an amount, comparable to the principal amount of such Fed Rate Loan, and (b) for each day in such period thereafter, the rate per annum which is the average of the rates on the offered side of the Federal funds market quoted by three interbank Federal funds brokers selected by the Administrative Agent at approximately 1:00 p.m., New York City</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95" w:name="page96"/>
    <w:bookmarkEnd w:id="95"/>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on such date for dollar deposits in immediately available funds, for a period and in an amount comparable to the principal amount of such Fed Rate Loan; in the case of both clauses (a) and (b) above, as determined by the Administrative Agent and rounded upwards, if necessary, to the nearest 1/100 of 1%.</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 Rate Loans</w:t>
      </w:r>
      <w:r>
        <w:rPr>
          <w:rFonts w:ascii="Arial" w:cs="Arial" w:eastAsia="Arial" w:hAnsi="Arial"/>
          <w:sz w:val="18"/>
          <w:szCs w:val="18"/>
          <w:color w:val="auto"/>
        </w:rPr>
        <w:t>”: Loans the rate of interest applicable to which is based upon the Fed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the Fee Letter dated as of March 29, 2010 among the Lead Arranger, the Administrative Agent and the Company.</w:t>
      </w:r>
    </w:p>
    <w:p>
      <w:pPr>
        <w:spacing w:after="0" w:line="90" w:lineRule="exact"/>
        <w:rPr>
          <w:sz w:val="20"/>
          <w:szCs w:val="20"/>
          <w:color w:val="auto"/>
        </w:rPr>
      </w:pPr>
    </w:p>
    <w:p>
      <w:pPr>
        <w:ind w:right="42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FOCUS Report</w:t>
      </w:r>
      <w:r>
        <w:rPr>
          <w:rFonts w:ascii="Arial" w:cs="Arial" w:eastAsia="Arial" w:hAnsi="Arial"/>
          <w:sz w:val="18"/>
          <w:szCs w:val="18"/>
          <w:color w:val="auto"/>
        </w:rPr>
        <w:t>”: a Financial and Operational Combined Uniform Single Report required to be filed on a quarterly basis with the SEC and the NASD or the Exchange, as applicable, or any report which is required in lieu of such report, or any equivalent reporting statement required by the applicable regulatory agency for any Designated Subsidiary.</w:t>
      </w:r>
    </w:p>
    <w:p>
      <w:pPr>
        <w:spacing w:after="0" w:line="59" w:lineRule="exact"/>
        <w:rPr>
          <w:sz w:val="20"/>
          <w:szCs w:val="20"/>
          <w:color w:val="auto"/>
        </w:rPr>
      </w:pPr>
    </w:p>
    <w:p>
      <w:pPr>
        <w:jc w:val="both"/>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each employee benefit plan (within the meaning of Section 3(3) of ERISA, whether or not subject to ERISA) that is not subject to U.S. law and is maintained or contributed to (or within the past five years has been maintained or contributed to) by the Company, any of its Significant Subsidiaries or any Commonly Controlled Entity.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and any entity exercising executive, legislative, judicial, regulatory or administrative functions of or pertaining to government.</w:t>
      </w:r>
    </w:p>
    <w:p>
      <w:pPr>
        <w:spacing w:after="0" w:line="51" w:lineRule="exact"/>
        <w:rPr>
          <w:sz w:val="20"/>
          <w:szCs w:val="20"/>
          <w:color w:val="auto"/>
        </w:rPr>
      </w:pPr>
    </w:p>
    <w:p>
      <w:pPr>
        <w:ind w:right="20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Guarantee Obligation</w:t>
      </w:r>
      <w:r>
        <w:rPr>
          <w:rFonts w:ascii="Arial" w:cs="Arial" w:eastAsia="Arial" w:hAnsi="Arial"/>
          <w:sz w:val="15"/>
          <w:szCs w:val="15"/>
          <w:color w:val="auto"/>
        </w:rPr>
        <w:t>”: as to any Person (the “</w:t>
      </w:r>
      <w:r>
        <w:rPr>
          <w:rFonts w:ascii="Arial" w:cs="Arial" w:eastAsia="Arial" w:hAnsi="Arial"/>
          <w:sz w:val="15"/>
          <w:szCs w:val="15"/>
          <w:u w:val="single" w:color="auto"/>
          <w:color w:val="auto"/>
        </w:rPr>
        <w:t>guaranteeing person</w:t>
      </w:r>
      <w:r>
        <w:rPr>
          <w:rFonts w:ascii="Arial" w:cs="Arial" w:eastAsia="Arial" w:hAnsi="Arial"/>
          <w:sz w:val="15"/>
          <w:szCs w:val="15"/>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5"/>
          <w:szCs w:val="15"/>
          <w:u w:val="single" w:color="auto"/>
          <w:color w:val="auto"/>
        </w:rPr>
        <w:t>primary obligations</w:t>
      </w:r>
      <w:r>
        <w:rPr>
          <w:rFonts w:ascii="Arial" w:cs="Arial" w:eastAsia="Arial" w:hAnsi="Arial"/>
          <w:sz w:val="15"/>
          <w:szCs w:val="15"/>
          <w:color w:val="auto"/>
        </w:rPr>
        <w:t>”) of any other third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spacing w:after="0" w:line="2" w:lineRule="exact"/>
        <w:rPr>
          <w:sz w:val="20"/>
          <w:szCs w:val="20"/>
          <w:color w:val="auto"/>
        </w:rPr>
      </w:pPr>
    </w:p>
    <w:p>
      <w:pPr>
        <w:ind w:left="220" w:hanging="216"/>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the purchase or payment of any such primary obligation or (ii) to maintain working capital or equity capital of the primary obligor or otherwise to</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Guarantee Obligation shall not include assurances given in the ordinary course of business for the payment of obligations of customers or suppliers of the Company or any Subsidiary, customary indemnifications, representations and</w:t>
      </w:r>
    </w:p>
    <w:p>
      <w:pPr>
        <w:spacing w:after="0" w:line="13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96" w:name="page97"/>
    <w:bookmarkEnd w:id="9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Lazard Ltd.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Capital Stock</w:t>
      </w:r>
      <w:r>
        <w:rPr>
          <w:rFonts w:ascii="Arial" w:cs="Arial" w:eastAsia="Arial" w:hAnsi="Arial"/>
          <w:sz w:val="18"/>
          <w:szCs w:val="18"/>
          <w:color w:val="auto"/>
        </w:rPr>
        <w:t>”: the Class A common stock, par value $.01 per share, of Holdings.</w:t>
      </w:r>
    </w:p>
    <w:p>
      <w:pPr>
        <w:spacing w:after="0" w:line="90" w:lineRule="exact"/>
        <w:rPr>
          <w:sz w:val="20"/>
          <w:szCs w:val="20"/>
          <w:color w:val="auto"/>
        </w:rPr>
      </w:pPr>
    </w:p>
    <w:p>
      <w:pPr>
        <w:ind w:right="100" w:firstLine="43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w:t>
      </w:r>
    </w:p>
    <w:p>
      <w:pPr>
        <w:ind w:right="180" w:firstLine="4"/>
        <w:spacing w:after="0" w:line="300" w:lineRule="auto"/>
        <w:tabs>
          <w:tab w:leader="none" w:pos="239"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w:t>
      </w:r>
    </w:p>
    <w:p>
      <w:pPr>
        <w:spacing w:after="0" w:line="1" w:lineRule="exact"/>
        <w:rPr>
          <w:rFonts w:ascii="Arial" w:cs="Arial" w:eastAsia="Arial" w:hAnsi="Arial"/>
          <w:sz w:val="15"/>
          <w:szCs w:val="15"/>
          <w:color w:val="auto"/>
        </w:rPr>
      </w:pPr>
    </w:p>
    <w:p>
      <w:pPr>
        <w:ind w:firstLine="4"/>
        <w:spacing w:after="0" w:line="285" w:lineRule="auto"/>
        <w:tabs>
          <w:tab w:leader="none" w:pos="219"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all obligations of such Person, contingent or otherwise, as an account party or applicant under or in respect of acceptances, letters of credit, surety bonds or similar arrangements, (g) all “mandatory” convertible or exchangeable indebtedness of such Person and all “mandatory” redeemable preferred Capital Stock of such Person, (h) the amount then outstanding under any Receivables Financing, (i) all Guarantee Obligations of such Person in respect of obligations of the kind referred to in clauses (a) 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80% of “mandatory” convertible or exchangeable Indebtedness prior to the remarketing period for such Indebtedness. After the remarketing period, Indebtedness shall include (x) the principal amount of any remarketed Indebtedness relating to “mandatory” convertible or exchangeable Indebtedness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(y) any Cash and Cash Equivalents of the Company and</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Subsidiaries to the extent such Cash and Cash Equivalents are greater than $50,000,000.</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90"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Installment Notes</w:t>
      </w:r>
      <w:r>
        <w:rPr>
          <w:rFonts w:ascii="Arial" w:cs="Arial" w:eastAsia="Arial" w:hAnsi="Arial"/>
          <w:sz w:val="18"/>
          <w:szCs w:val="18"/>
          <w:color w:val="auto"/>
        </w:rPr>
        <w:t>”: Indebtedness issued by the Company or any Subsidiary to facilitate the deferral by clients of capital gains which result from securities transactions.</w:t>
      </w:r>
    </w:p>
    <w:p>
      <w:pPr>
        <w:spacing w:after="0" w:line="51"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Fed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with respect to any Eurodollar Loan:</w:t>
      </w:r>
    </w:p>
    <w:p>
      <w:pPr>
        <w:spacing w:after="0" w:line="90" w:lineRule="exact"/>
        <w:rPr>
          <w:sz w:val="20"/>
          <w:szCs w:val="20"/>
          <w:color w:val="auto"/>
        </w:rPr>
      </w:pPr>
    </w:p>
    <w:p>
      <w:pPr>
        <w:ind w:left="460" w:right="180" w:firstLine="421"/>
        <w:spacing w:after="0" w:line="256" w:lineRule="auto"/>
        <w:tabs>
          <w:tab w:leader="none" w:pos="11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initially, the period commencing on the Borrowing Date or date of conversion pursuant to Section 2.7, as the case may be, with respect to such Eurodollar Loan and ending one, two, three or six (or, if available to all relevant Banks, nine or twelve) months thereafter, as selected by the Company in its notice of borrowing pursuant to Section 2.6 or notice of conversion pursuant to Section 2.7, as the case may be, given with respect thereto; and</w:t>
      </w:r>
    </w:p>
    <w:p>
      <w:pPr>
        <w:spacing w:after="0" w:line="62" w:lineRule="exact"/>
        <w:rPr>
          <w:rFonts w:ascii="Arial" w:cs="Arial" w:eastAsia="Arial" w:hAnsi="Arial"/>
          <w:sz w:val="18"/>
          <w:szCs w:val="18"/>
          <w:color w:val="auto"/>
        </w:rPr>
      </w:pPr>
    </w:p>
    <w:p>
      <w:pPr>
        <w:ind w:left="460" w:right="240" w:firstLine="421"/>
        <w:spacing w:after="0" w:line="335" w:lineRule="auto"/>
        <w:tabs>
          <w:tab w:leader="none" w:pos="1128"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thereafter, each period commencing on the last day of the next preceding Interest Period applicable to such Eurodollar Loan and ending one, two, three or six (or, if available to all relevant Banks, nine or twelve) months thereafter, as selected by the Company by irrevocable notice to the Administrative Agent not less than three (3) Business Days prior to the last day of the then current Interest Period with respect thereto;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provisions relating to Interest Periods are subject to the following:</w:t>
      </w:r>
    </w:p>
    <w:p>
      <w:pPr>
        <w:spacing w:after="0" w:line="90" w:lineRule="exact"/>
        <w:rPr>
          <w:sz w:val="20"/>
          <w:szCs w:val="20"/>
          <w:color w:val="auto"/>
        </w:rPr>
      </w:pPr>
    </w:p>
    <w:p>
      <w:pPr>
        <w:jc w:val="both"/>
        <w:ind w:left="460" w:right="60" w:firstLine="421"/>
        <w:spacing w:after="0" w:line="306" w:lineRule="auto"/>
        <w:tabs>
          <w:tab w:leader="none" w:pos="10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Maturity Date shall end on the Maturity Date; and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any Interest Period pertaining to a Eurodollar Loan that begins on the last Business Day of a calendar month (or on a day for which there is</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no</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98" w:name="page99"/>
    <w:bookmarkEnd w:id="9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numerically corresponding day in the calendar month at the end of such Interest Period) shall end on the last Business Day of a calendar month.</w:t>
      </w:r>
    </w:p>
    <w:p>
      <w:pPr>
        <w:spacing w:after="0" w:line="113"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Intesa Notes</w:t>
      </w:r>
      <w:r>
        <w:rPr>
          <w:rFonts w:ascii="Arial" w:cs="Arial" w:eastAsia="Arial" w:hAnsi="Arial"/>
          <w:sz w:val="18"/>
          <w:szCs w:val="18"/>
          <w:color w:val="auto"/>
        </w:rPr>
        <w:t>”: that certain subordinated convertible promissory note, dated March 26, 2003 and amended and restated as of May 15, 2006, in the principal amount of $150,000,000, issued by Lazard Funding Limited LLC in favor of Banca Intesa S.p.A.</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Intesa Strategic Alliance</w:t>
      </w:r>
      <w:r>
        <w:rPr>
          <w:rFonts w:ascii="Arial" w:cs="Arial" w:eastAsia="Arial" w:hAnsi="Arial"/>
          <w:sz w:val="18"/>
          <w:szCs w:val="18"/>
          <w:color w:val="auto"/>
        </w:rPr>
        <w:t>”: that certain strategic alliance entered into between the Company and Banca Intesa S.p.A. in September 2002, pursuant to which Banca Intesa S.p.A. acquired a 40% interest in Lazard &amp; Co. S.r.l.</w:t>
      </w:r>
    </w:p>
    <w:p>
      <w:pPr>
        <w:spacing w:after="0" w:line="51" w:lineRule="exact"/>
        <w:rPr>
          <w:sz w:val="20"/>
          <w:szCs w:val="20"/>
          <w:color w:val="auto"/>
        </w:rPr>
      </w:pPr>
    </w:p>
    <w:p>
      <w:pPr>
        <w:ind w:right="12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LAZ-MD Holdings</w:t>
      </w:r>
      <w:r>
        <w:rPr>
          <w:rFonts w:ascii="Arial" w:cs="Arial" w:eastAsia="Arial" w:hAnsi="Arial"/>
          <w:sz w:val="18"/>
          <w:szCs w:val="18"/>
          <w:color w:val="auto"/>
        </w:rPr>
        <w:t>”: LAZ-MD Holdings LLC, a Delaware limited liability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Citigroup Global Markets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LFNY</w:t>
      </w:r>
      <w:r>
        <w:rPr>
          <w:rFonts w:ascii="Arial" w:cs="Arial" w:eastAsia="Arial" w:hAnsi="Arial"/>
          <w:sz w:val="18"/>
          <w:szCs w:val="18"/>
          <w:color w:val="auto"/>
        </w:rPr>
        <w:t>”: Lazard Frères &amp; Co. LLC, a New York limited liability company.</w:t>
      </w:r>
    </w:p>
    <w:p>
      <w:pPr>
        <w:spacing w:after="0" w:line="90"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each loan made to the Company pursuant to Section 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the collective reference to the Loans.</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Lease Commitment</w:t>
      </w:r>
      <w:r>
        <w:rPr>
          <w:rFonts w:ascii="Arial" w:cs="Arial" w:eastAsia="Arial" w:hAnsi="Arial"/>
          <w:sz w:val="18"/>
          <w:szCs w:val="18"/>
          <w:color w:val="auto"/>
        </w:rPr>
        <w:t>”: as to the Company, its liability for certain operating lease commitments related to its office facilities in London with no assured substantive future use or benefit to the Company.</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Indebtedness</w:t>
      </w:r>
      <w:r>
        <w:rPr>
          <w:rFonts w:ascii="Arial" w:cs="Arial" w:eastAsia="Arial" w:hAnsi="Arial"/>
          <w:sz w:val="18"/>
          <w:szCs w:val="18"/>
          <w:color w:val="auto"/>
        </w:rPr>
        <w:t>”: at any date of determination, Indebtedness (including Capital Lease Obligations) of the Company maturing after twelve months from such date.</w:t>
      </w:r>
    </w:p>
    <w:p>
      <w:pPr>
        <w:spacing w:after="0" w:line="51"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Investments</w:t>
      </w:r>
      <w:r>
        <w:rPr>
          <w:rFonts w:ascii="Arial" w:cs="Arial" w:eastAsia="Arial" w:hAnsi="Arial"/>
          <w:sz w:val="18"/>
          <w:szCs w:val="18"/>
          <w:color w:val="auto"/>
        </w:rPr>
        <w:t>”: Investments of the Company other than those Investments which are listed on a national exchange and for which there is an active quoted price.</w:t>
      </w:r>
    </w:p>
    <w:p>
      <w:pPr>
        <w:spacing w:after="0" w:line="51"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Directors</w:t>
      </w:r>
      <w:r>
        <w:rPr>
          <w:rFonts w:ascii="Arial" w:cs="Arial" w:eastAsia="Arial" w:hAnsi="Arial"/>
          <w:sz w:val="18"/>
          <w:szCs w:val="18"/>
          <w:color w:val="auto"/>
        </w:rPr>
        <w:t>”: the collective reference to each of the managing directors of Holdings, the Company, LFCM Holdings LLC or any of their respective controlled affiliates who holds, directly or indirectly, an equity interest of Holdings or securities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80" w:right="299" w:bottom="1440" w:gutter="0" w:footer="0" w:header="0"/>
        </w:sectPr>
      </w:pPr>
    </w:p>
    <w:bookmarkStart w:id="99" w:name="page100"/>
    <w:bookmarkEnd w:id="9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convertible or exchangeable into equity interests of Holdings (including without limitation Exchangeable Interests, restricted stock, restricted stock units or other issuances under Holdings’ equity incentive plan) and each trust, estate planning vehicle or other entity that holds or shall be transferred any such interest for tax or estate planning purposes.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of Governors as in effect from time to time.</w:t>
      </w:r>
    </w:p>
    <w:p>
      <w:pPr>
        <w:spacing w:after="0" w:line="90"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Separation Agreement</w:t>
      </w:r>
      <w:r>
        <w:rPr>
          <w:rFonts w:ascii="Arial" w:cs="Arial" w:eastAsia="Arial" w:hAnsi="Arial"/>
          <w:sz w:val="18"/>
          <w:szCs w:val="18"/>
          <w:color w:val="auto"/>
        </w:rPr>
        <w:t>”: means the Master Separation Agreement, dated as of May 10, 2005, by and among Holdings, LAZ-MD Holdings, the Company and LFCM Holdings LLC, as amended from time to time.</w:t>
      </w:r>
    </w:p>
    <w:p>
      <w:pPr>
        <w:spacing w:after="0" w:line="51"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date which is the third anniversary of the Effective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Equity</w:t>
      </w:r>
      <w:r>
        <w:rPr>
          <w:rFonts w:ascii="Arial" w:cs="Arial" w:eastAsia="Arial" w:hAnsi="Arial"/>
          <w:sz w:val="18"/>
          <w:szCs w:val="18"/>
          <w:color w:val="auto"/>
        </w:rPr>
        <w:t>”: ownership equity of the Company represented by common members’ interests.</w:t>
      </w:r>
    </w:p>
    <w:p>
      <w:pPr>
        <w:spacing w:after="0" w:line="90" w:lineRule="exact"/>
        <w:rPr>
          <w:sz w:val="20"/>
          <w:szCs w:val="20"/>
          <w:color w:val="auto"/>
        </w:rPr>
      </w:pPr>
    </w:p>
    <w:p>
      <w:pPr>
        <w:ind w:right="6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Minority Interests</w:t>
      </w:r>
      <w:r>
        <w:rPr>
          <w:rFonts w:ascii="Arial" w:cs="Arial" w:eastAsia="Arial" w:hAnsi="Arial"/>
          <w:sz w:val="16"/>
          <w:szCs w:val="16"/>
          <w:color w:val="auto"/>
        </w:rPr>
        <w:t>”: the collective reference to any capital contributions made by a third party to the Company and any profit participation interests and the equity units of Lazard Asset Management LLC issued pursuant to the Lazard Asset Management LLC Limited Liability Company Agreement.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Moody’s Investors Service,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multiemployer plan as defined in Section 4001(a)(3) of ERISA.</w:t>
      </w:r>
    </w:p>
    <w:p>
      <w:pPr>
        <w:spacing w:after="0" w:line="90"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w:t>
      </w:r>
      <w:r>
        <w:rPr>
          <w:rFonts w:ascii="Arial" w:cs="Arial" w:eastAsia="Arial" w:hAnsi="Arial"/>
          <w:sz w:val="18"/>
          <w:szCs w:val="18"/>
          <w:color w:val="auto"/>
        </w:rPr>
        <w:t>”: the National Association of Securities Dealers, Inc., or any other self-regulatory body which succeeds to the functions of the National Association of Securities Dealers, Inc.</w:t>
      </w:r>
    </w:p>
    <w:p>
      <w:pPr>
        <w:spacing w:after="0" w:line="51"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Capital</w:t>
      </w:r>
      <w:r>
        <w:rPr>
          <w:rFonts w:ascii="Arial" w:cs="Arial" w:eastAsia="Arial" w:hAnsi="Arial"/>
          <w:sz w:val="18"/>
          <w:szCs w:val="18"/>
          <w:color w:val="auto"/>
        </w:rPr>
        <w:t>”: as defined in Rule 15c3-1, including the appendices thereto, as promulgated by the SEC under the Act (17 CFR 240.15c3-1), as such rule may be amended from time to time, or any rule or regulation of the SEC which replaces Rule 15c3-1.</w:t>
      </w:r>
    </w:p>
    <w:p>
      <w:pPr>
        <w:spacing w:after="0" w:line="51" w:lineRule="exact"/>
        <w:rPr>
          <w:sz w:val="20"/>
          <w:szCs w:val="20"/>
          <w:color w:val="auto"/>
        </w:rPr>
      </w:pPr>
    </w:p>
    <w:p>
      <w:pPr>
        <w:ind w:right="4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00" w:name="page101"/>
    <w:bookmarkEnd w:id="10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 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Cash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43" w:lineRule="exact"/>
        <w:rPr>
          <w:sz w:val="20"/>
          <w:szCs w:val="20"/>
          <w:color w:val="auto"/>
        </w:rPr>
      </w:pPr>
    </w:p>
    <w:p>
      <w:pPr>
        <w:ind w:right="180" w:firstLine="438"/>
        <w:spacing w:after="0" w:line="256" w:lineRule="auto"/>
        <w:rPr>
          <w:sz w:val="20"/>
          <w:szCs w:val="20"/>
          <w:color w:val="auto"/>
        </w:rPr>
      </w:pPr>
      <w:r>
        <w:rPr>
          <w:rFonts w:ascii="Arial" w:cs="Arial" w:eastAsia="Arial" w:hAnsi="Arial"/>
          <w:sz w:val="18"/>
          <w:szCs w:val="18"/>
          <w:color w:val="auto"/>
        </w:rPr>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2.17(a).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as defined in Section 2.2; collectively, the “Notes”.</w:t>
      </w:r>
    </w:p>
    <w:p>
      <w:pPr>
        <w:spacing w:after="0" w:line="90"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01" w:name="page102"/>
    <w:bookmarkEnd w:id="101"/>
    <w:p>
      <w:pPr>
        <w:ind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Other Taxes</w:t>
      </w:r>
      <w:r>
        <w:rPr>
          <w:rFonts w:ascii="Arial" w:cs="Arial" w:eastAsia="Arial" w:hAnsi="Arial"/>
          <w:sz w:val="16"/>
          <w:szCs w:val="16"/>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House</w:t>
      </w:r>
      <w:r>
        <w:rPr>
          <w:rFonts w:ascii="Arial" w:cs="Arial" w:eastAsia="Arial" w:hAnsi="Arial"/>
          <w:sz w:val="18"/>
          <w:szCs w:val="18"/>
          <w:color w:val="auto"/>
        </w:rPr>
        <w:t>”: the business operations of the Company headquartered in Paris.</w:t>
      </w:r>
    </w:p>
    <w:p>
      <w:pPr>
        <w:spacing w:after="0" w:line="90"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Lease</w:t>
      </w:r>
      <w:r>
        <w:rPr>
          <w:rFonts w:ascii="Arial" w:cs="Arial" w:eastAsia="Arial" w:hAnsi="Arial"/>
          <w:sz w:val="18"/>
          <w:szCs w:val="18"/>
          <w:color w:val="auto"/>
        </w:rPr>
        <w:t>”: the sale and lease-back of the real properties located at 121 Boulevard Haussmann, 75008, Paris, 119 Boulevard Haussmann, 75008, Paris, and 10 Avenue Percier, 75008, Paris.</w:t>
      </w:r>
    </w:p>
    <w:p>
      <w:pPr>
        <w:spacing w:after="0" w:line="51" w:lineRule="exact"/>
        <w:rPr>
          <w:sz w:val="20"/>
          <w:szCs w:val="20"/>
          <w:color w:val="auto"/>
        </w:rPr>
      </w:pPr>
    </w:p>
    <w:p>
      <w:pPr>
        <w:ind w:right="14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Profit Sharing Plan</w:t>
      </w:r>
      <w:r>
        <w:rPr>
          <w:rFonts w:ascii="Arial" w:cs="Arial" w:eastAsia="Arial" w:hAnsi="Arial"/>
          <w:sz w:val="18"/>
          <w:szCs w:val="18"/>
          <w:color w:val="auto"/>
        </w:rPr>
        <w:t>”: that certain Accord de participation de groupe initially dated March 21, 1996 among Lazard Frères SAS and its employees, Lazard Frères Gestion SAS and its employees, Maison Lazard SAS, Lazard Frères Banque and its employees and Fonds Partenaires Gestion and its employees.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Financings</w:t>
      </w:r>
      <w:r>
        <w:rPr>
          <w:rFonts w:ascii="Arial" w:cs="Arial" w:eastAsia="Arial" w:hAnsi="Arial"/>
          <w:sz w:val="18"/>
          <w:szCs w:val="18"/>
          <w:color w:val="auto"/>
        </w:rPr>
        <w:t>”: any Receivables Financing of a Receivables Subsidiary that meets the following conditions:</w:t>
      </w:r>
    </w:p>
    <w:p>
      <w:pPr>
        <w:spacing w:after="0" w:line="90" w:lineRule="exact"/>
        <w:rPr>
          <w:sz w:val="20"/>
          <w:szCs w:val="20"/>
          <w:color w:val="auto"/>
        </w:rPr>
      </w:pPr>
    </w:p>
    <w:p>
      <w:pPr>
        <w:ind w:right="100" w:firstLine="443"/>
        <w:spacing w:after="0" w:line="259" w:lineRule="auto"/>
        <w:tabs>
          <w:tab w:leader="none" w:pos="6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senior management or the Board of Directors of the Company shall have determined in good faith that such Permitted Receivables Financing (including financing terms, covenants, termination events and other provisions) is in the aggregate economically fair and reasonable to the Company and the Receivables Subsidiary;</w:t>
      </w:r>
    </w:p>
    <w:p>
      <w:pPr>
        <w:spacing w:after="0" w:line="59" w:lineRule="exact"/>
        <w:rPr>
          <w:rFonts w:ascii="Arial" w:cs="Arial" w:eastAsia="Arial" w:hAnsi="Arial"/>
          <w:sz w:val="18"/>
          <w:szCs w:val="18"/>
          <w:color w:val="auto"/>
        </w:rPr>
      </w:pPr>
    </w:p>
    <w:p>
      <w:pPr>
        <w:ind w:right="700" w:firstLine="443"/>
        <w:spacing w:after="0" w:line="357" w:lineRule="auto"/>
        <w:tabs>
          <w:tab w:leader="none" w:pos="687" w:val="left"/>
        </w:tabs>
        <w:numPr>
          <w:ilvl w:val="0"/>
          <w:numId w:val="49"/>
        </w:numPr>
        <w:rPr>
          <w:rFonts w:ascii="Arial" w:cs="Arial" w:eastAsia="Arial" w:hAnsi="Arial"/>
          <w:sz w:val="15"/>
          <w:szCs w:val="15"/>
          <w:color w:val="auto"/>
        </w:rPr>
      </w:pPr>
      <w:r>
        <w:rPr>
          <w:rFonts w:ascii="Arial" w:cs="Arial" w:eastAsia="Arial" w:hAnsi="Arial"/>
          <w:sz w:val="15"/>
          <w:szCs w:val="15"/>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ind w:right="340" w:firstLine="443"/>
        <w:spacing w:after="0" w:line="268" w:lineRule="auto"/>
        <w:tabs>
          <w:tab w:leader="none" w:pos="67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financing terms, covenants, termination events and other provisions thereof shall be market terms (as determined in good faith by senior management or the Board of Directors of the Company).</w:t>
      </w:r>
    </w:p>
    <w:p>
      <w:pPr>
        <w:spacing w:after="0" w:line="51" w:lineRule="exact"/>
        <w:rPr>
          <w:sz w:val="20"/>
          <w:szCs w:val="20"/>
          <w:color w:val="auto"/>
        </w:rPr>
      </w:pPr>
    </w:p>
    <w:p>
      <w:pPr>
        <w:ind w:right="10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 Indebtedness</w:t>
      </w:r>
      <w:r>
        <w:rPr>
          <w:rFonts w:ascii="Arial" w:cs="Arial" w:eastAsia="Arial" w:hAnsi="Arial"/>
          <w:sz w:val="18"/>
          <w:szCs w:val="18"/>
          <w:color w:val="auto"/>
        </w:rPr>
        <w:t>”: any Indebtedness issued in exchange for, or the net proceeds of which are used to extend, refinance, renew, replace, defease or refund (collectively, to “</w:t>
      </w:r>
      <w:r>
        <w:rPr>
          <w:rFonts w:ascii="Arial" w:cs="Arial" w:eastAsia="Arial" w:hAnsi="Arial"/>
          <w:sz w:val="18"/>
          <w:szCs w:val="18"/>
          <w:u w:val="single" w:color="auto"/>
          <w:color w:val="auto"/>
        </w:rPr>
        <w:t>Refinance</w:t>
      </w:r>
      <w:r>
        <w:rPr>
          <w:rFonts w:ascii="Arial" w:cs="Arial" w:eastAsia="Arial" w:hAnsi="Arial"/>
          <w:sz w:val="18"/>
          <w:szCs w:val="18"/>
          <w:color w:val="auto"/>
        </w:rPr>
        <w:t xml:space="preserve">”), the Indebtedness being Refinanced (or previous refinancings thereof constituting Permitted Refinancing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w:t>
      </w:r>
    </w:p>
    <w:p>
      <w:pPr>
        <w:spacing w:after="0" w:line="13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40"/>
          </w:cols>
          <w:pgMar w:left="700" w:top="280" w:right="359" w:bottom="1440" w:gutter="0" w:footer="0" w:header="0"/>
        </w:sectPr>
      </w:pPr>
    </w:p>
    <w:bookmarkStart w:id="102" w:name="page103"/>
    <w:bookmarkEnd w:id="10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35"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business trust, joint stock company, trust, unincorporated association, joint venture, Governmental Authority or other entity of whatever nature.</w:t>
      </w:r>
    </w:p>
    <w:p>
      <w:pPr>
        <w:spacing w:after="0" w:line="51" w:lineRule="exact"/>
        <w:rPr>
          <w:sz w:val="20"/>
          <w:szCs w:val="20"/>
          <w:color w:val="auto"/>
        </w:rPr>
      </w:pPr>
    </w:p>
    <w:p>
      <w:pPr>
        <w:ind w:right="6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ectPr>
          <w:pgSz w:w="11900" w:h="16838" w:orient="portrait"/>
          <w:cols w:equalWidth="0" w:num="1">
            <w:col w:w="10920"/>
          </w:cols>
          <w:pgMar w:left="700" w:top="280" w:right="279" w:bottom="1440" w:gutter="0" w:footer="0" w:header="0"/>
        </w:sectPr>
      </w:pP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Platform</w:t>
      </w:r>
      <w:r>
        <w:rPr>
          <w:rFonts w:ascii="Arial" w:cs="Arial" w:eastAsia="Arial" w:hAnsi="Arial"/>
          <w:sz w:val="16"/>
          <w:szCs w:val="16"/>
          <w:color w:val="auto"/>
        </w:rPr>
        <w:t>”: as defined in Section 12.2.</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Pricing Grid</w:t>
      </w:r>
      <w:r>
        <w:rPr>
          <w:rFonts w:ascii="Arial" w:cs="Arial" w:eastAsia="Arial" w:hAnsi="Arial"/>
          <w:sz w:val="16"/>
          <w:szCs w:val="16"/>
          <w:color w:val="auto"/>
        </w:rPr>
        <w:t>”: the table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4"/>
          <w:szCs w:val="14"/>
          <w:u w:val="single" w:color="auto"/>
          <w:color w:val="auto"/>
        </w:rPr>
        <w:t>Ratings</w:t>
      </w:r>
    </w:p>
    <w:p>
      <w:pPr>
        <w:spacing w:after="0" w:line="17" w:lineRule="exact"/>
        <w:rPr>
          <w:sz w:val="20"/>
          <w:szCs w:val="20"/>
          <w:color w:val="auto"/>
        </w:rPr>
      </w:pPr>
    </w:p>
    <w:p>
      <w:pPr>
        <w:ind w:left="600" w:hanging="134"/>
        <w:spacing w:after="0"/>
        <w:tabs>
          <w:tab w:leader="none" w:pos="600"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color w:val="auto"/>
        </w:rPr>
        <w:t>BBB or Baa2</w:t>
      </w:r>
    </w:p>
    <w:p>
      <w:pPr>
        <w:spacing w:after="0" w:line="22" w:lineRule="exact"/>
        <w:rPr>
          <w:rFonts w:ascii="Arial" w:cs="Arial" w:eastAsia="Arial" w:hAnsi="Arial"/>
          <w:sz w:val="18"/>
          <w:szCs w:val="18"/>
          <w:u w:val="single" w:color="auto"/>
          <w:color w:val="auto"/>
        </w:rPr>
      </w:pPr>
    </w:p>
    <w:p>
      <w:pPr>
        <w:ind w:left="600" w:hanging="134"/>
        <w:spacing w:after="0"/>
        <w:tabs>
          <w:tab w:leader="none" w:pos="600"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color w:val="auto"/>
        </w:rPr>
        <w:t>BBB- or Baa3</w:t>
      </w:r>
    </w:p>
    <w:p>
      <w:pPr>
        <w:spacing w:after="0" w:line="15" w:lineRule="exact"/>
        <w:rPr>
          <w:rFonts w:ascii="Arial" w:cs="Arial" w:eastAsia="Arial" w:hAnsi="Arial"/>
          <w:sz w:val="18"/>
          <w:szCs w:val="18"/>
          <w:u w:val="single" w:color="auto"/>
          <w:color w:val="auto"/>
        </w:rPr>
      </w:pPr>
    </w:p>
    <w:p>
      <w:pPr>
        <w:jc w:val="both"/>
        <w:ind w:left="460" w:right="4920" w:firstLine="6"/>
        <w:spacing w:after="0" w:line="323" w:lineRule="auto"/>
        <w:tabs>
          <w:tab w:leader="none" w:pos="603" w:val="left"/>
        </w:tabs>
        <w:numPr>
          <w:ilvl w:val="0"/>
          <w:numId w:val="50"/>
        </w:numPr>
        <w:rPr>
          <w:rFonts w:ascii="Arial" w:cs="Arial" w:eastAsia="Arial" w:hAnsi="Arial"/>
          <w:sz w:val="16"/>
          <w:szCs w:val="16"/>
          <w:u w:val="single" w:color="auto"/>
          <w:color w:val="auto"/>
        </w:rPr>
      </w:pPr>
      <w:r>
        <w:rPr>
          <w:rFonts w:ascii="Arial" w:cs="Arial" w:eastAsia="Arial" w:hAnsi="Arial"/>
          <w:sz w:val="16"/>
          <w:szCs w:val="16"/>
          <w:color w:val="auto"/>
        </w:rPr>
        <w:t>BB+ or Ba1 &lt; BB+ or Ba1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4"/>
          </w:tcPr>
          <w:p>
            <w:pPr>
              <w:ind w:left="300"/>
              <w:spacing w:after="0"/>
              <w:rPr>
                <w:sz w:val="20"/>
                <w:szCs w:val="20"/>
                <w:color w:val="auto"/>
              </w:rPr>
            </w:pPr>
            <w:r>
              <w:rPr>
                <w:rFonts w:ascii="Arial" w:cs="Arial" w:eastAsia="Arial" w:hAnsi="Arial"/>
                <w:sz w:val="14"/>
                <w:szCs w:val="14"/>
                <w:color w:val="auto"/>
              </w:rPr>
              <w:t>Applicable Margin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1"/>
        </w:trPr>
        <w:tc>
          <w:tcPr>
            <w:tcW w:w="6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8"/>
              </w:rPr>
              <w:t>Federal</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7"/>
              </w:rPr>
              <w:t>Funds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0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Eurodollar</w:t>
            </w: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87"/>
              </w:rPr>
              <w:t>Rate</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5"/>
              </w:rPr>
              <w:t>Commitment</w:t>
            </w:r>
          </w:p>
        </w:tc>
      </w:tr>
      <w:tr>
        <w:trPr>
          <w:trHeight w:val="159"/>
        </w:trPr>
        <w:tc>
          <w:tcPr>
            <w:tcW w:w="10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Loans</w:t>
            </w:r>
          </w:p>
        </w:tc>
        <w:tc>
          <w:tcPr>
            <w:tcW w:w="108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9"/>
              </w:rPr>
              <w:t>Loans</w:t>
            </w:r>
          </w:p>
        </w:tc>
        <w:tc>
          <w:tcPr>
            <w:tcW w:w="7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Fee</w:t>
            </w:r>
          </w:p>
        </w:tc>
      </w:tr>
      <w:tr>
        <w:trPr>
          <w:trHeight w:val="201"/>
        </w:trPr>
        <w:tc>
          <w:tcPr>
            <w:tcW w:w="60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1"/>
              </w:rPr>
              <w:t>275 bps</w:t>
            </w:r>
          </w:p>
        </w:tc>
        <w:tc>
          <w:tcPr>
            <w:tcW w:w="460" w:type="dxa"/>
            <w:vAlign w:val="bottom"/>
          </w:tcPr>
          <w:p>
            <w:pPr>
              <w:spacing w:after="0"/>
              <w:rPr>
                <w:sz w:val="17"/>
                <w:szCs w:val="17"/>
                <w:color w:val="auto"/>
              </w:rPr>
            </w:pPr>
          </w:p>
        </w:tc>
        <w:tc>
          <w:tcPr>
            <w:tcW w:w="620" w:type="dxa"/>
            <w:vAlign w:val="bottom"/>
            <w:tcBorders>
              <w:top w:val="single" w:sz="8" w:color="auto"/>
            </w:tcBorders>
          </w:tcPr>
          <w:p>
            <w:pPr>
              <w:ind w:left="60"/>
              <w:spacing w:after="0" w:line="201" w:lineRule="exact"/>
              <w:rPr>
                <w:sz w:val="20"/>
                <w:szCs w:val="20"/>
                <w:color w:val="auto"/>
              </w:rPr>
            </w:pPr>
            <w:r>
              <w:rPr>
                <w:rFonts w:ascii="Arial" w:cs="Arial" w:eastAsia="Arial" w:hAnsi="Arial"/>
                <w:sz w:val="18"/>
                <w:szCs w:val="18"/>
                <w:color w:val="auto"/>
                <w:w w:val="84"/>
              </w:rPr>
              <w:t>175 bps</w:t>
            </w:r>
          </w:p>
        </w:tc>
        <w:tc>
          <w:tcPr>
            <w:tcW w:w="460" w:type="dxa"/>
            <w:vAlign w:val="bottom"/>
          </w:tcPr>
          <w:p>
            <w:pPr>
              <w:spacing w:after="0"/>
              <w:rPr>
                <w:sz w:val="17"/>
                <w:szCs w:val="17"/>
                <w:color w:val="auto"/>
              </w:rPr>
            </w:pPr>
          </w:p>
        </w:tc>
        <w:tc>
          <w:tcPr>
            <w:tcW w:w="7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 bps</w:t>
            </w:r>
          </w:p>
        </w:tc>
        <w:tc>
          <w:tcPr>
            <w:tcW w:w="20" w:type="dxa"/>
            <w:vAlign w:val="bottom"/>
          </w:tcPr>
          <w:p>
            <w:pPr>
              <w:spacing w:after="0"/>
              <w:rPr>
                <w:sz w:val="17"/>
                <w:szCs w:val="17"/>
                <w:color w:val="auto"/>
              </w:rPr>
            </w:pPr>
          </w:p>
        </w:tc>
      </w:tr>
      <w:tr>
        <w:trPr>
          <w:trHeight w:val="216"/>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300 bps</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200 bps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 bps</w:t>
            </w:r>
          </w:p>
        </w:tc>
      </w:tr>
      <w:tr>
        <w:trPr>
          <w:trHeight w:val="216"/>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325 bps</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225 bps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 bps</w:t>
            </w:r>
          </w:p>
        </w:tc>
      </w:tr>
      <w:tr>
        <w:trPr>
          <w:trHeight w:val="222"/>
        </w:trPr>
        <w:tc>
          <w:tcPr>
            <w:tcW w:w="1060" w:type="dxa"/>
            <w:vAlign w:val="bottom"/>
            <w:gridSpan w:val="2"/>
          </w:tcPr>
          <w:p>
            <w:pPr>
              <w:ind w:left="60"/>
              <w:spacing w:after="0"/>
              <w:rPr>
                <w:sz w:val="20"/>
                <w:szCs w:val="20"/>
                <w:color w:val="auto"/>
              </w:rPr>
            </w:pPr>
            <w:r>
              <w:rPr>
                <w:rFonts w:ascii="Arial" w:cs="Arial" w:eastAsia="Arial" w:hAnsi="Arial"/>
                <w:sz w:val="18"/>
                <w:szCs w:val="18"/>
                <w:color w:val="auto"/>
              </w:rPr>
              <w:t>350 bps</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250 bps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-555625</wp:posOffset>
            </wp:positionV>
            <wp:extent cx="6080125"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-272415</wp:posOffset>
            </wp:positionV>
            <wp:extent cx="608012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6380" w:space="720"/>
            <w:col w:w="3820"/>
          </w:cols>
          <w:pgMar w:left="700" w:top="280" w:right="279" w:bottom="1440" w:gutter="0" w:footer="0" w:header="0"/>
          <w:type w:val="continuous"/>
        </w:sectPr>
      </w:pPr>
    </w:p>
    <w:p>
      <w:pPr>
        <w:ind w:right="20" w:firstLine="438"/>
        <w:spacing w:after="0" w:line="294" w:lineRule="auto"/>
        <w:rPr>
          <w:sz w:val="20"/>
          <w:szCs w:val="20"/>
          <w:color w:val="auto"/>
        </w:rPr>
      </w:pPr>
      <w:r>
        <w:rPr>
          <w:rFonts w:ascii="Arial" w:cs="Arial" w:eastAsia="Arial" w:hAnsi="Arial"/>
          <w:sz w:val="16"/>
          <w:szCs w:val="16"/>
          <w:color w:val="auto"/>
        </w:rPr>
        <w:t>For the purposes of the Pricing Grid, the Company shall provide prompt written notice to the Administrative Agent of any change in any Rating by either Moody’s or S&amp;P (or, if applicable, such other rating agency determined in accordance with the definition of “Ratings”). The Applicable Margin and the Commitment Fee Rate resulting from changes in the Ratings shall be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that is three (3) Business Days after the date of such change and shall remain in effect until the next change to be effected pursuant to this paragraph. In the event that Ratings established by Moody’s and S&amp;P are split, the Pricing Grid will be based on the higher rating.</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assigned to such term in Section 406 of ERISA and Section 4975(f)(3) of the Code.</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type w:val="continuous"/>
        </w:sectPr>
      </w:pPr>
    </w:p>
    <w:bookmarkStart w:id="103" w:name="page104"/>
    <w:bookmarkEnd w:id="103"/>
    <w:p>
      <w:pPr>
        <w:ind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Ratings</w:t>
      </w:r>
      <w:r>
        <w:rPr>
          <w:rFonts w:ascii="Arial" w:cs="Arial" w:eastAsia="Arial" w:hAnsi="Arial"/>
          <w:sz w:val="16"/>
          <w:szCs w:val="16"/>
          <w:color w:val="auto"/>
        </w:rPr>
        <w:t xml:space="preserve">”: a rating of the Company’s senior unsecured non-credit enhanced indebtedness for borrowed money assigned by S&amp;P or Moody’s;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the Company shall have no senior unsecured non-credit enhanced indebtedness for borrowed money, the Company’s corporate credit rating shall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Moody’s or S&amp;P, or both,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39"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Financing</w:t>
      </w:r>
      <w:r>
        <w:rPr>
          <w:rFonts w:ascii="Arial" w:cs="Arial" w:eastAsia="Arial" w:hAnsi="Arial"/>
          <w:sz w:val="16"/>
          <w:szCs w:val="16"/>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39" w:lineRule="exact"/>
        <w:rPr>
          <w:sz w:val="20"/>
          <w:szCs w:val="20"/>
          <w:color w:val="auto"/>
        </w:rPr>
      </w:pPr>
    </w:p>
    <w:p>
      <w:pPr>
        <w:ind w:right="16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39" w:lineRule="exact"/>
        <w:rPr>
          <w:sz w:val="20"/>
          <w:szCs w:val="20"/>
          <w:color w:val="auto"/>
        </w:rPr>
      </w:pPr>
    </w:p>
    <w:p>
      <w:pPr>
        <w:ind w:right="300" w:firstLine="443"/>
        <w:spacing w:after="0" w:line="298" w:lineRule="auto"/>
        <w:tabs>
          <w:tab w:leader="none" w:pos="677"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Company or any other Subsidiary of the Company, (ii) is recourse to or obligates the Company or any other Subsidiary of the Company in any way (except for standard representations, 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31"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700" w:top="280" w:right="239" w:bottom="1440" w:gutter="0" w:footer="0" w:header="0"/>
        </w:sectPr>
      </w:pPr>
    </w:p>
    <w:bookmarkStart w:id="104" w:name="page105"/>
    <w:bookmarkEnd w:id="104"/>
    <w:p>
      <w:pPr>
        <w:ind w:right="580" w:firstLine="443"/>
        <w:spacing w:after="0" w:line="268" w:lineRule="auto"/>
        <w:tabs>
          <w:tab w:leader="none" w:pos="67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which neither the Company nor any other Subsidiary of the Company has any obligation to maintain or preserve such entity’s financial condition or cause such entity to achieve certain levels of operating results.</w:t>
      </w:r>
    </w:p>
    <w:p>
      <w:pPr>
        <w:spacing w:after="0" w:line="51" w:lineRule="exact"/>
        <w:rPr>
          <w:sz w:val="20"/>
          <w:szCs w:val="20"/>
          <w:color w:val="auto"/>
        </w:rPr>
      </w:pPr>
    </w:p>
    <w:p>
      <w:pPr>
        <w:ind w:right="260" w:firstLine="438"/>
        <w:spacing w:after="0" w:line="259" w:lineRule="auto"/>
        <w:rPr>
          <w:sz w:val="20"/>
          <w:szCs w:val="20"/>
          <w:color w:val="auto"/>
        </w:rPr>
      </w:pPr>
      <w:r>
        <w:rPr>
          <w:rFonts w:ascii="Arial" w:cs="Arial" w:eastAsia="Arial" w:hAnsi="Arial"/>
          <w:sz w:val="18"/>
          <w:szCs w:val="18"/>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12.7.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Reorganization</w:t>
      </w:r>
      <w:r>
        <w:rPr>
          <w:rFonts w:ascii="Arial" w:cs="Arial" w:eastAsia="Arial" w:hAnsi="Arial"/>
          <w:sz w:val="16"/>
          <w:szCs w:val="16"/>
          <w:color w:val="auto"/>
        </w:rPr>
        <w:t>”: with respect to any Multiemployer Plan, the condition that such plan is in reorganization within the meaning of Section 4241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84" w:lineRule="exact"/>
        <w:rPr>
          <w:sz w:val="20"/>
          <w:szCs w:val="20"/>
          <w:color w:val="auto"/>
        </w:rPr>
      </w:pPr>
    </w:p>
    <w:p>
      <w:pPr>
        <w:ind w:right="4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 under subsections .27, .28, .29, .30, .31, .32, .34 or .35 of PBGC Reg. § 4043.</w:t>
      </w:r>
    </w:p>
    <w:p>
      <w:pPr>
        <w:spacing w:after="0" w:line="51" w:lineRule="exact"/>
        <w:rPr>
          <w:sz w:val="20"/>
          <w:szCs w:val="20"/>
          <w:color w:val="auto"/>
        </w:rPr>
      </w:pPr>
    </w:p>
    <w:p>
      <w:pPr>
        <w:ind w:right="2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at any time, the holders of more than 50% of (a) the sum of the Commitments then in effect or, if the Commitments have terminated, (b) the sum of the aggregate unpaid principal amount of the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there are two or more non-affiliated Banks party hereto, in no event shall the Required Lenders consist of fewer than two non-affiliated Banks.</w:t>
      </w:r>
    </w:p>
    <w:p>
      <w:pPr>
        <w:spacing w:after="0" w:line="26" w:lineRule="exact"/>
        <w:rPr>
          <w:sz w:val="20"/>
          <w:szCs w:val="20"/>
          <w:color w:val="auto"/>
        </w:rPr>
      </w:pPr>
    </w:p>
    <w:p>
      <w:pPr>
        <w:jc w:val="both"/>
        <w:ind w:right="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6" w:lineRule="exact"/>
        <w:rPr>
          <w:sz w:val="20"/>
          <w:szCs w:val="20"/>
          <w:color w:val="auto"/>
        </w:rPr>
      </w:pPr>
    </w:p>
    <w:p>
      <w:pPr>
        <w:ind w:right="3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president or chief financial officer of the Company, but in any event, with respect to financial matters, the chief financial officer of the Company.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90" w:lineRule="exact"/>
        <w:rPr>
          <w:sz w:val="20"/>
          <w:szCs w:val="20"/>
          <w:color w:val="auto"/>
        </w:rPr>
      </w:pPr>
    </w:p>
    <w:p>
      <w:pPr>
        <w:ind w:right="3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such other regulatory body which succeeds to the functions of the Securities and Exchange Commission.</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Filings</w:t>
      </w:r>
      <w:r>
        <w:rPr>
          <w:rFonts w:ascii="Arial" w:cs="Arial" w:eastAsia="Arial" w:hAnsi="Arial"/>
          <w:sz w:val="18"/>
          <w:szCs w:val="18"/>
          <w:color w:val="auto"/>
        </w:rPr>
        <w:t>”: as to the Company, any public filings that the Company or Lazard Ltd has made on form 10K, 10Q or 8K pursuant to the U.S. federal securities statutes, rules or regulations prior to the Effective Date.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80" w:right="279" w:bottom="1440" w:gutter="0" w:footer="0" w:header="0"/>
        </w:sectPr>
      </w:pPr>
    </w:p>
    <w:bookmarkStart w:id="105" w:name="page106"/>
    <w:bookmarkEnd w:id="105"/>
    <w:p>
      <w:pPr>
        <w:ind w:right="320" w:firstLine="438"/>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Senior Note Indentures</w:t>
      </w:r>
      <w:r>
        <w:rPr>
          <w:rFonts w:ascii="Arial" w:cs="Arial" w:eastAsia="Arial" w:hAnsi="Arial"/>
          <w:sz w:val="16"/>
          <w:szCs w:val="16"/>
          <w:color w:val="auto"/>
        </w:rPr>
        <w:t>”: the Indenture dated as of May 10, 2005, as supplemented by the First and Second Supplemental Indentures dated as of May 10, 2005 the Amended and Restated Third Supplemental Indenture dated as of May 15, 2008 and the Fourth Supplemental Indenture dated as of June 21, 2007, together with all instruments and other agreements entered into by the Company in connection therewith.</w:t>
      </w:r>
    </w:p>
    <w:p>
      <w:pPr>
        <w:spacing w:after="0" w:line="26" w:lineRule="exact"/>
        <w:rPr>
          <w:sz w:val="20"/>
          <w:szCs w:val="20"/>
          <w:color w:val="auto"/>
        </w:rPr>
      </w:pPr>
    </w:p>
    <w:p>
      <w:pPr>
        <w:ind w:right="6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the senior notes of the Company, in the principal amount outstanding of $1,150,000,000, issued pursuant to the Senior Note Indentures.</w:t>
      </w:r>
    </w:p>
    <w:p>
      <w:pPr>
        <w:spacing w:after="0" w:line="51"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any Subsidiary that would be a “Significant Subsidiary” of the Company within the meaning of Rule 1-02 under Regulation S-X promulgated by the SEC as in effect on the date hereof, but excluding Lazard Group Finance LLC and Lazard Funding Limited LLC.</w:t>
      </w:r>
    </w:p>
    <w:p>
      <w:pPr>
        <w:spacing w:after="0" w:line="4"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(other than a Multiemployer plan) that is covered by Section 412 of the Code or Section 302 or Title IV of ERISA and is maintained or contributed to by the Company or any Commonly Controlled Entity.</w:t>
      </w:r>
    </w:p>
    <w:p>
      <w:pPr>
        <w:spacing w:after="0" w:line="5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Non-Recourse Indebtedness</w:t>
      </w:r>
      <w:r>
        <w:rPr>
          <w:rFonts w:ascii="Arial" w:cs="Arial" w:eastAsia="Arial" w:hAnsi="Arial"/>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62"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Recourse Indebtedness</w:t>
      </w:r>
      <w:r>
        <w:rPr>
          <w:rFonts w:ascii="Arial" w:cs="Arial" w:eastAsia="Arial" w:hAnsi="Arial"/>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26"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Street Loans</w:t>
      </w:r>
      <w:r>
        <w:rPr>
          <w:rFonts w:ascii="Arial" w:cs="Arial" w:eastAsia="Arial" w:hAnsi="Arial"/>
          <w:sz w:val="18"/>
          <w:szCs w:val="18"/>
          <w:color w:val="auto"/>
        </w:rPr>
        <w:t>”: short term borrowings made by the Company for the purpose of purchasing or carrying securities for the Company, or for customers of the Company.</w:t>
      </w:r>
    </w:p>
    <w:p>
      <w:pPr>
        <w:spacing w:after="0" w:line="51" w:lineRule="exact"/>
        <w:rPr>
          <w:sz w:val="20"/>
          <w:szCs w:val="20"/>
          <w:color w:val="auto"/>
        </w:rPr>
      </w:pPr>
    </w:p>
    <w:p>
      <w:pPr>
        <w:ind w:right="4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xml:space="preserve">”: Indebtedness of the Company that is subordinated in right of payment to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incurred after the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32"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as to any Person, (a) a corporation, limited liability company or other similar business entity of which shares of stock or other equity interests having ordinary voting power (other than stock or other equity interests having such power only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106" w:name="page107"/>
    <w:bookmarkEnd w:id="106"/>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62" w:lineRule="exact"/>
        <w:rPr>
          <w:sz w:val="20"/>
          <w:szCs w:val="20"/>
          <w:color w:val="auto"/>
        </w:rPr>
      </w:pPr>
    </w:p>
    <w:p>
      <w:pPr>
        <w:ind w:right="16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26"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Debt</w:t>
      </w:r>
      <w:r>
        <w:rPr>
          <w:rFonts w:ascii="Arial" w:cs="Arial" w:eastAsia="Arial" w:hAnsi="Arial"/>
          <w:sz w:val="16"/>
          <w:szCs w:val="16"/>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Fed Rate Loan or a Eurodollar Loan.</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Uniting and Strengthening America by Providing Appropriate Tools Required to Intercept and Obstruct Terrorism Act of 2001, as amended from time to time.</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51" w:lineRule="exact"/>
        <w:rPr>
          <w:sz w:val="20"/>
          <w:szCs w:val="20"/>
          <w:color w:val="auto"/>
        </w:rPr>
      </w:pPr>
    </w:p>
    <w:p>
      <w:pPr>
        <w:ind w:right="2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Working Capital</w:t>
      </w:r>
      <w:r>
        <w:rPr>
          <w:rFonts w:ascii="Arial" w:cs="Arial" w:eastAsia="Arial" w:hAnsi="Arial"/>
          <w:sz w:val="16"/>
          <w:szCs w:val="16"/>
          <w:color w:val="auto"/>
        </w:rPr>
        <w:t xml:space="preserve">”: as reflected on the balance sheet of the Company at any date of determination, the Members’ Equity and any other Capital Stock of the Company </w:t>
      </w:r>
      <w:r>
        <w:rPr>
          <w:rFonts w:ascii="Arial" w:cs="Arial" w:eastAsia="Arial" w:hAnsi="Arial"/>
          <w:sz w:val="16"/>
          <w:szCs w:val="16"/>
          <w:u w:val="single" w:color="auto"/>
          <w:color w:val="auto"/>
        </w:rPr>
        <w:t>plus</w:t>
      </w:r>
      <w:r>
        <w:rPr>
          <w:rFonts w:ascii="Arial" w:cs="Arial" w:eastAsia="Arial" w:hAnsi="Arial"/>
          <w:sz w:val="16"/>
          <w:szCs w:val="16"/>
          <w:color w:val="auto"/>
        </w:rPr>
        <w:t>, without duplication, the sum of (a) “mandatory” convertible or exchangeable indebtedness, (b) Long Term Indebtedness,</w:t>
      </w:r>
    </w:p>
    <w:p>
      <w:pPr>
        <w:ind w:right="40" w:firstLine="4"/>
        <w:spacing w:after="0" w:line="290" w:lineRule="auto"/>
        <w:tabs>
          <w:tab w:leader="none" w:pos="239"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Subordinated Indebtedness, (d) Minority Interests, (e) reserves for the London Lease Commitment, (f) other liabilities related to retiree medical and pension liabilities and deferred compensation relating to the Company’s statutory profit sharing plan in its Paris House, (g) deferred income related to the Intesa Strategic Alliance or similar arrangements that may be entered into in the future, (h) deferred income tax liabilities, (i) valuations attributable to any Swap Agreement and (j) issuances of preferred stock after the Effective Date to the extent not included in Members’ Equity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be excluded from each of clauses (a) through (j) any obligations maturing within twelve months of such date), </w:t>
      </w:r>
      <w:r>
        <w:rPr>
          <w:rFonts w:ascii="Arial" w:cs="Arial" w:eastAsia="Arial" w:hAnsi="Arial"/>
          <w:sz w:val="16"/>
          <w:szCs w:val="16"/>
          <w:u w:val="single" w:color="auto"/>
          <w:color w:val="auto"/>
        </w:rPr>
        <w:t>less</w:t>
      </w:r>
      <w:r>
        <w:rPr>
          <w:rFonts w:ascii="Arial" w:cs="Arial" w:eastAsia="Arial" w:hAnsi="Arial"/>
          <w:sz w:val="16"/>
          <w:szCs w:val="16"/>
          <w:color w:val="auto"/>
        </w:rPr>
        <w:t>, without duplication, the sum of (i) Long Term Investments, (ii) intangibles (including, but not limited to, goodwill), (iii) deferred financing costs, (iv) property, plant, equipment and</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80" w:right="299" w:bottom="1440" w:gutter="0" w:footer="0" w:header="0"/>
        </w:sectPr>
      </w:pPr>
    </w:p>
    <w:bookmarkStart w:id="107" w:name="page108"/>
    <w:bookmarkEnd w:id="107"/>
    <w:p>
      <w:pPr>
        <w:ind w:left="460"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leasehold improvements, (v) amounts related to deferred income tax assets, (vi) any assets related to bonuses, pension and other post-retirement benefit obligations, (vii) valuations attributable to any Swap Agreement, (viii) any advances or prepayments and (ix) any assets that will not convert into cash within twelve months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deductions in clauses (i) through (ix) shall be reduced by any reserves or accumulated amortization or accumulated depreciation for such items).</w:t>
      </w:r>
    </w:p>
    <w:p>
      <w:pPr>
        <w:spacing w:after="0" w:line="14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132" w:lineRule="exact"/>
        <w:rPr>
          <w:sz w:val="20"/>
          <w:szCs w:val="20"/>
          <w:color w:val="auto"/>
        </w:rPr>
      </w:pPr>
    </w:p>
    <w:p>
      <w:pPr>
        <w:ind w:right="40" w:firstLine="921"/>
        <w:spacing w:after="0" w:line="289" w:lineRule="auto"/>
        <w:tabs>
          <w:tab w:leader="none" w:pos="1162"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provision hereof, including, without limitation, any covenant in Article VI, to eliminate the effect of any change in GAAP (or the application thereof) adopted after the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118" w:lineRule="exact"/>
        <w:rPr>
          <w:rFonts w:ascii="Arial" w:cs="Arial" w:eastAsia="Arial" w:hAnsi="Arial"/>
          <w:sz w:val="16"/>
          <w:szCs w:val="16"/>
          <w:color w:val="auto"/>
        </w:rPr>
      </w:pPr>
    </w:p>
    <w:p>
      <w:pPr>
        <w:ind w:firstLine="921"/>
        <w:spacing w:after="0" w:line="283" w:lineRule="auto"/>
        <w:tabs>
          <w:tab w:leader="none" w:pos="11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w:t>
      </w:r>
    </w:p>
    <w:p>
      <w:pPr>
        <w:ind w:right="180" w:firstLine="8"/>
        <w:spacing w:after="0" w:line="255" w:lineRule="auto"/>
        <w:tabs>
          <w:tab w:leader="none" w:pos="29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references herein to Articles, Sections, Exhibits and Schedules shall be construed to refer to Articles and Sections of, and Exhibits and Schedules to, this Agreement and (v) the words “asset” and “property” shall be construed to have the same meaning and effect and to refer to any and all tangible and intangible assets and properties, including cash, securities, accounts and contract rights.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AMOUNT AND TERMS OF LOAN COMMITMENTS</w:t>
      </w:r>
    </w:p>
    <w:p>
      <w:pPr>
        <w:spacing w:after="0" w:line="171"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Loans</w:t>
      </w:r>
      <w:r>
        <w:rPr>
          <w:rFonts w:ascii="Arial" w:cs="Arial" w:eastAsia="Arial" w:hAnsi="Arial"/>
          <w:sz w:val="16"/>
          <w:szCs w:val="16"/>
          <w:color w:val="auto"/>
        </w:rPr>
        <w:t>. (a) Subject to the terms and conditions hereof, each Bank severally agrees to make revolving credit loans (individually, a “</w:t>
      </w:r>
      <w:r>
        <w:rPr>
          <w:rFonts w:ascii="Arial" w:cs="Arial" w:eastAsia="Arial" w:hAnsi="Arial"/>
          <w:sz w:val="16"/>
          <w:szCs w:val="16"/>
          <w:u w:val="single" w:color="auto"/>
          <w:color w:val="auto"/>
        </w:rPr>
        <w:t>Loan</w:t>
      </w:r>
      <w:r>
        <w:rPr>
          <w:rFonts w:ascii="Arial" w:cs="Arial" w:eastAsia="Arial" w:hAnsi="Arial"/>
          <w:sz w:val="16"/>
          <w:szCs w:val="16"/>
          <w:color w:val="auto"/>
        </w:rPr>
        <w:t>”; collectively, the “</w:t>
      </w:r>
      <w:r>
        <w:rPr>
          <w:rFonts w:ascii="Arial" w:cs="Arial" w:eastAsia="Arial" w:hAnsi="Arial"/>
          <w:sz w:val="16"/>
          <w:szCs w:val="16"/>
          <w:u w:val="single" w:color="auto"/>
          <w:color w:val="auto"/>
        </w:rPr>
        <w:t>Loans</w:t>
      </w:r>
      <w:r>
        <w:rPr>
          <w:rFonts w:ascii="Arial" w:cs="Arial" w:eastAsia="Arial" w:hAnsi="Arial"/>
          <w:sz w:val="16"/>
          <w:szCs w:val="16"/>
          <w:color w:val="auto"/>
        </w:rPr>
        <w:t>”) to the Company from time to time during the Commitment Period in an aggregate principal amount at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08" w:name="page109"/>
    <w:bookmarkEnd w:id="108"/>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140" w:lineRule="exact"/>
        <w:rPr>
          <w:sz w:val="20"/>
          <w:szCs w:val="20"/>
          <w:color w:val="auto"/>
        </w:rPr>
      </w:pPr>
    </w:p>
    <w:p>
      <w:pPr>
        <w:ind w:right="80" w:firstLine="921"/>
        <w:spacing w:after="0" w:line="259" w:lineRule="auto"/>
        <w:tabs>
          <w:tab w:leader="none" w:pos="11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Loans may from time to time be (i) Eurodollar Loans, (ii) Fed Rate Loans or (iii) a combination thereof, as determined by the Company and notified to the Administrative Agent in accordance with Sections 2.6 and 2.7,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shall be continued as or converted into a Eurodollar Loan after the day that is one month prior to the Maturity Date.</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Each Bank may request that the Loans made by such Bank pursuant hereto shall be evidenced by a promissory note of the Company, substantially in the form of Exhibit A hereto, with appropriate insertions as to date and principal amount (individually a “Note”; collectively, the “Notes”), payable to the order of such Bank 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118"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and Interest Payment Dates</w:t>
      </w:r>
      <w:r>
        <w:rPr>
          <w:rFonts w:ascii="Arial" w:cs="Arial" w:eastAsia="Arial" w:hAnsi="Arial"/>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Each Fed Rate Loan shall bear interest for each day at a rate per annum equal to the Fed Rate determined for such day plus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Margin.</w:t>
      </w:r>
    </w:p>
    <w:p>
      <w:pPr>
        <w:spacing w:after="0" w:line="165" w:lineRule="exact"/>
        <w:rPr>
          <w:sz w:val="20"/>
          <w:szCs w:val="20"/>
          <w:color w:val="auto"/>
        </w:rPr>
      </w:pPr>
    </w:p>
    <w:p>
      <w:pPr>
        <w:ind w:right="160" w:firstLine="921"/>
        <w:spacing w:after="0" w:line="268" w:lineRule="auto"/>
        <w:tabs>
          <w:tab w:leader="none" w:pos="115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(d) of this Section shall be payable from time to time on demand.</w:t>
      </w:r>
    </w:p>
    <w:p>
      <w:pPr>
        <w:spacing w:after="0" w:line="131" w:lineRule="exact"/>
        <w:rPr>
          <w:rFonts w:ascii="Arial" w:cs="Arial" w:eastAsia="Arial" w:hAnsi="Arial"/>
          <w:sz w:val="18"/>
          <w:szCs w:val="18"/>
          <w:color w:val="auto"/>
        </w:rPr>
      </w:pPr>
    </w:p>
    <w:p>
      <w:pPr>
        <w:ind w:right="120" w:firstLine="921"/>
        <w:spacing w:after="0" w:line="291" w:lineRule="auto"/>
        <w:tabs>
          <w:tab w:leader="none" w:pos="1162" w:val="left"/>
        </w:tabs>
        <w:numPr>
          <w:ilvl w:val="0"/>
          <w:numId w:val="57"/>
        </w:numPr>
        <w:rPr>
          <w:rFonts w:ascii="Arial" w:cs="Arial" w:eastAsia="Arial" w:hAnsi="Arial"/>
          <w:sz w:val="16"/>
          <w:szCs w:val="16"/>
          <w:color w:val="auto"/>
        </w:rPr>
      </w:pPr>
      <w:r>
        <w:rPr>
          <w:rFonts w:ascii="Arial" w:cs="Arial" w:eastAsia="Arial" w:hAnsi="Arial"/>
          <w:sz w:val="16"/>
          <w:szCs w:val="16"/>
          <w:color w:val="auto"/>
        </w:rPr>
        <w:t>(i)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Fed Rate Loans, in each case, with respect to clauses (i) and (ii) above, from the date of such non-payment until such amount is paid in full (as well after as before judgment).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09" w:name="page110"/>
    <w:bookmarkEnd w:id="109"/>
    <w:p>
      <w:pPr>
        <w:ind w:right="20" w:firstLine="913"/>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5"/>
          <w:szCs w:val="15"/>
          <w:u w:val="single" w:color="auto"/>
          <w:color w:val="auto"/>
        </w:rPr>
        <w:t>Fees</w:t>
      </w:r>
      <w:r>
        <w:rPr>
          <w:rFonts w:ascii="Arial" w:cs="Arial" w:eastAsia="Arial" w:hAnsi="Arial"/>
          <w:sz w:val="15"/>
          <w:szCs w:val="15"/>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Effective Date) and on the Maturity Date. The Administrative Agent shall promptly distribute to each Bank its pro rata share of each payment of such fees.</w:t>
      </w:r>
    </w:p>
    <w:p>
      <w:pPr>
        <w:spacing w:after="0" w:line="98" w:lineRule="exact"/>
        <w:rPr>
          <w:sz w:val="20"/>
          <w:szCs w:val="20"/>
          <w:color w:val="auto"/>
        </w:rPr>
      </w:pPr>
    </w:p>
    <w:p>
      <w:pPr>
        <w:ind w:right="60" w:firstLine="921"/>
        <w:spacing w:after="0" w:line="268" w:lineRule="auto"/>
        <w:tabs>
          <w:tab w:leader="none" w:pos="11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the fees in the amounts and on the date as set forth in the Fee Letter and to perform any other obligations contained therein.</w:t>
      </w:r>
    </w:p>
    <w:p>
      <w:pPr>
        <w:spacing w:after="0" w:line="132" w:lineRule="exact"/>
        <w:rPr>
          <w:sz w:val="20"/>
          <w:szCs w:val="20"/>
          <w:color w:val="auto"/>
        </w:rPr>
      </w:pPr>
    </w:p>
    <w:p>
      <w:pPr>
        <w:ind w:right="20" w:firstLine="913"/>
        <w:spacing w:after="0" w:line="31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Computation of Interest and Fees</w:t>
      </w:r>
      <w:r>
        <w:rPr>
          <w:rFonts w:ascii="Arial" w:cs="Arial" w:eastAsia="Arial" w:hAnsi="Arial"/>
          <w:sz w:val="15"/>
          <w:szCs w:val="15"/>
          <w:color w:val="auto"/>
        </w:rPr>
        <w:t>. (a) Interest and fees shall be computed on the basis of (i) a 360 day year for actual days elapsed for Eurodollar Loans and (ii) a 365 day or 366 day, as the case may be, year for actual days elapsed for Fed Rate Loans and for fees under this Agreement. The Administrative Agent shall as soon as practicable notify the Company and the Banks of each determination of a Eurodollar Rate or of a Fed Rate. Any change in the interest rate on a Loan resulting from a change in the Fed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100" w:lineRule="exact"/>
        <w:rPr>
          <w:sz w:val="20"/>
          <w:szCs w:val="20"/>
          <w:color w:val="auto"/>
        </w:rPr>
      </w:pPr>
    </w:p>
    <w:p>
      <w:pPr>
        <w:ind w:right="120" w:firstLine="921"/>
        <w:spacing w:after="0" w:line="306" w:lineRule="auto"/>
        <w:tabs>
          <w:tab w:leader="none" w:pos="11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10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Loans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give the Administrative Agent irrevocable notice (which notice must be received by the Administrative Agent prior to 3:00 P.M., New York City time, (a) three (3) Business Days prior to the requested Borrowing Date, if all or any part of the requested Loans are to be initially Eurodollar Loans or (b) one (1) Business Day prior to the requested Borrowing Date, otherwise), specifying (i) the amount to be borrowed, (ii) the requested Borrowing Date, (iii) whether the borrowing is to be of Eurodollar Loans, Fed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110" w:name="page111"/>
    <w:bookmarkEnd w:id="110"/>
    <w:p>
      <w:pPr>
        <w:ind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2.7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may elect from time to time to convert Eurodollar Loans to Fed Rate Loans, by giving the Administrative Agent at least two (2) Business Days’ prior irrevocable notice of such election. The Company may elect from time to time to convert Fed Rate Loans to Eurodollar Loans by giving the Administrative Agent at least three (3)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Fed Rate Loans may be converted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118" w:lineRule="exact"/>
        <w:rPr>
          <w:sz w:val="20"/>
          <w:szCs w:val="20"/>
          <w:color w:val="auto"/>
        </w:rPr>
      </w:pPr>
    </w:p>
    <w:p>
      <w:pPr>
        <w:ind w:right="40" w:firstLine="921"/>
        <w:spacing w:after="0" w:line="291" w:lineRule="auto"/>
        <w:tabs>
          <w:tab w:leader="none" w:pos="11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shall fail to give such notice or if such continuation is not permitted such Loans shall be automatically converted to Fed Rate Loans on the last day of such then expiring Interest Period.</w:t>
      </w:r>
    </w:p>
    <w:p>
      <w:pPr>
        <w:spacing w:after="0" w:line="20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The Company shall have the right, upon not less than three (3) Business Days’ notice to the Banks, to terminate the Commitments or, from time to time, reduce the amount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proviso in Section 2.9(a), (a) any such reduction shall be accompanied by prepayment of the Loans to the extent, if any, that the amount of the Loans then outstanding exceeds the amount of the Commitments as then reduced, (b) 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Any such reduction shall be in an amount of $5,000,000, or greater integral multiple of $5,000,000, and shall reduce permanently the amount of the Commitments then in effect.</w:t>
      </w:r>
    </w:p>
    <w:p>
      <w:pPr>
        <w:spacing w:after="0" w:line="11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Optional Prepayments of Loans</w:t>
      </w:r>
      <w:r>
        <w:rPr>
          <w:rFonts w:ascii="Arial" w:cs="Arial" w:eastAsia="Arial" w:hAnsi="Arial"/>
          <w:sz w:val="18"/>
          <w:szCs w:val="18"/>
          <w:color w:val="auto"/>
        </w:rPr>
        <w:t>. (a) The Company may, at any time, on the last day of any Interest Period with respect thereto, in the case of Eurodollar Loans (or on any other day if the Company reasonably promptly pays the costs arising therefrom pursuant to Section 2.12), and from time to time, in the case of Fed Rate Loans, and upon three (3) Business Days’ irrevocable notice, in the case of Eurodollar Loans, and upon one (1) Business Day’s notice, in case of Fed Rate Loans, to the Administrative Agent, prepay the Loans on the date specified in such notice, in whole or in part, with accrued interest to the date of such prepayment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111" w:name="page112"/>
    <w:bookmarkEnd w:id="111"/>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 the amount prepaid;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each partial prepayment of Loans shall be in a principal amount of $5,000,000 or a larger integral multiple of $1,000,000.</w:t>
      </w:r>
    </w:p>
    <w:p>
      <w:pPr>
        <w:spacing w:after="0" w:line="132" w:lineRule="exact"/>
        <w:rPr>
          <w:sz w:val="20"/>
          <w:szCs w:val="20"/>
          <w:color w:val="auto"/>
        </w:rPr>
      </w:pPr>
    </w:p>
    <w:p>
      <w:pPr>
        <w:ind w:right="300" w:firstLine="921"/>
        <w:spacing w:after="0" w:line="268" w:lineRule="auto"/>
        <w:tabs>
          <w:tab w:leader="none" w:pos="1162" w:val="left"/>
        </w:tabs>
        <w:numPr>
          <w:ilvl w:val="0"/>
          <w:numId w:val="61"/>
        </w:numPr>
        <w:rPr>
          <w:rFonts w:ascii="Arial" w:cs="Arial" w:eastAsia="Arial" w:hAnsi="Arial"/>
          <w:sz w:val="18"/>
          <w:szCs w:val="18"/>
          <w:color w:val="auto"/>
        </w:rPr>
      </w:pPr>
      <w:r>
        <w:rPr>
          <w:rFonts w:ascii="Arial" w:cs="Arial" w:eastAsia="Arial" w:hAnsi="Arial"/>
          <w:sz w:val="18"/>
          <w:szCs w:val="18"/>
          <w:color w:val="auto"/>
        </w:rPr>
        <w:t>Upon receipt of a notice of prepayment of Loans pursuant to Section 2.9(a), the Administrative Agent shall promptly notify each Bank of the contents thereof and of such Bank’s ratable share of such prepayment.</w:t>
      </w:r>
    </w:p>
    <w:p>
      <w:pPr>
        <w:spacing w:after="0" w:line="132"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Pro Rata Treatment and Payments</w:t>
      </w:r>
      <w:r>
        <w:rPr>
          <w:rFonts w:ascii="Arial" w:cs="Arial" w:eastAsia="Arial" w:hAnsi="Arial"/>
          <w:sz w:val="16"/>
          <w:szCs w:val="16"/>
          <w:color w:val="auto"/>
        </w:rPr>
        <w:t>. (a) Each borrowing of Loans by the Company from the Banks, each payment (including each prepayment) by the Company on account of principal of and interest on the Loans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118" w:lineRule="exact"/>
        <w:rPr>
          <w:sz w:val="20"/>
          <w:szCs w:val="20"/>
          <w:color w:val="auto"/>
        </w:rPr>
      </w:pPr>
    </w:p>
    <w:p>
      <w:pPr>
        <w:ind w:right="20" w:firstLine="921"/>
        <w:spacing w:after="0" w:line="255" w:lineRule="auto"/>
        <w:tabs>
          <w:tab w:leader="none" w:pos="1162"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shall fail to give any such notice, each Bank shall apply the amount received to the payment of the then outstanding Loans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according to the respective outstanding principal amounts of such Loans.</w:t>
      </w:r>
    </w:p>
    <w:p>
      <w:pPr>
        <w:spacing w:after="0" w:line="143"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Non-Receipt of Funds by the Administrative Agent</w:t>
      </w:r>
      <w:r>
        <w:rPr>
          <w:rFonts w:ascii="Arial" w:cs="Arial" w:eastAsia="Arial" w:hAnsi="Arial"/>
          <w:sz w:val="15"/>
          <w:szCs w:val="15"/>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 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112" w:name="page113"/>
    <w:bookmarkEnd w:id="112"/>
    <w:p>
      <w:pPr>
        <w:ind w:right="280" w:firstLine="921"/>
        <w:spacing w:after="0" w:line="268" w:lineRule="auto"/>
        <w:tabs>
          <w:tab w:leader="none" w:pos="1162"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certificate of the Administrative Agent submitted to any Bank with respect to any amount owing under the foregoing paragraph (a)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facts stated therein.</w:t>
      </w:r>
    </w:p>
    <w:p>
      <w:pPr>
        <w:spacing w:after="0" w:line="132"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agrees to indemnify each Bank and to hold each Bank harmless from any loss or expense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 Loans on a day which is not the last day of an Interest Period with respect thereto. Such indemnification may include an amount equal to the excess, if any, of (i) 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127"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Capital Adequacy</w:t>
      </w:r>
      <w:r>
        <w:rPr>
          <w:rFonts w:ascii="Arial" w:cs="Arial" w:eastAsia="Arial" w:hAnsi="Arial"/>
          <w:sz w:val="15"/>
          <w:szCs w:val="15"/>
          <w:color w:val="auto"/>
        </w:rPr>
        <w:t>. In the event that any of the Banks shall have determined that the adoption after the date hereof of any law, rule or regulation regarding capital adequacy, or any change after the date hereof therein or in the interpretation or application thereof or compliance by such Bank with any request or directive regarding capital adequacy (whether or not having the force of law) from any central bank or Governmental Authority,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generally to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of the facts stated therein.</w:t>
      </w:r>
    </w:p>
    <w:p>
      <w:pPr>
        <w:spacing w:after="0" w:line="11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Inability to Determine Interest Rate</w:t>
      </w:r>
      <w:r>
        <w:rPr>
          <w:rFonts w:ascii="Arial" w:cs="Arial" w:eastAsia="Arial" w:hAnsi="Arial"/>
          <w:sz w:val="18"/>
          <w:szCs w:val="18"/>
          <w:color w:val="auto"/>
        </w:rPr>
        <w:t>. If prior to the first day of any Interest Period the Administrative Agent shall have determined (which determination shall be conclusive and binding upon the Company) that, by reason of circumstances affecting the relevant market, adequate and reasonable means do not exist for ascertaining the Eurodollar Rate for such Interest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13" w:name="page114"/>
    <w:bookmarkEnd w:id="11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the Administrative Agent shall give telecopy notice thereof to the Company and the Banks as soon as practicable thereafter. If such notice is given (a) any Eurodollar Loans requested to be made on the first day of such Interest Period shall be made as Fed Rate Loans, (b) any Loans that were to have been converted on the first day of such Interest Period to Eurodollar Loans shall be converted to or continued as Fed Rate Loans and (c) any outstanding Eurodollar Loans shall be converted, on the first day of such Interest Period, to Fed Rate Loans. Until such notice has been withdrawn by the Administrative Agent, no further Eurodollar Loans shall be made or continued as such, nor shall the Company have the right to convert Loans to Eurodollar Loans.</w:t>
      </w:r>
    </w:p>
    <w:p>
      <w:pPr>
        <w:spacing w:after="0" w:line="11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herein, if the adoption of or any change in any Requirement of Law or in the interpretation or application thereof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 Fed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Fed Rate Loans. If any such conversion of a Eurodollar Loan occurs on a day which is not the last day of the then current Interest Period with respect thereto, the Company shall pay to such Bank such amounts, if any, as may be required pursuant to Section 2.12. Each Bank that has delivered a notice pursuant to this Section, if the circumstances giving rise to such notice cease to exist, shall notify the Company thereof as soon as practicable.</w:t>
      </w:r>
    </w:p>
    <w:p>
      <w:pPr>
        <w:spacing w:after="0" w:line="123"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date hereof:</w:t>
      </w:r>
    </w:p>
    <w:p>
      <w:pPr>
        <w:spacing w:after="0" w:line="140" w:lineRule="exact"/>
        <w:rPr>
          <w:sz w:val="20"/>
          <w:szCs w:val="20"/>
          <w:color w:val="auto"/>
        </w:rPr>
      </w:pPr>
    </w:p>
    <w:p>
      <w:pPr>
        <w:ind w:right="80" w:firstLine="921"/>
        <w:spacing w:after="0" w:line="284" w:lineRule="auto"/>
        <w:tabs>
          <w:tab w:leader="none" w:pos="1123" w:val="left"/>
        </w:tabs>
        <w:numPr>
          <w:ilvl w:val="0"/>
          <w:numId w:val="64"/>
        </w:numPr>
        <w:rPr>
          <w:rFonts w:ascii="Arial" w:cs="Arial" w:eastAsia="Arial" w:hAnsi="Arial"/>
          <w:sz w:val="16"/>
          <w:szCs w:val="16"/>
          <w:color w:val="auto"/>
        </w:rPr>
      </w:pPr>
      <w:r>
        <w:rPr>
          <w:rFonts w:ascii="Arial" w:cs="Arial" w:eastAsia="Arial" w:hAnsi="Arial"/>
          <w:sz w:val="16"/>
          <w:szCs w:val="16"/>
          <w:color w:val="auto"/>
        </w:rPr>
        <w:t>shall subject any Bank to any tax on its capital reserves with respect to this Agreement, any Note or any Eurodollar Loan made by it, (except for Non-Excluded Taxes covered by Section 2.17, changes in the rate of tax on the overall net income of such Bank, any branch profits imposed by the United States of America or any similar tax imposed by any other jurisdiction and any United States withholding taxes imposed by reason of Section 1471 through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1474 of the Code);</w:t>
      </w:r>
    </w:p>
    <w:p>
      <w:pPr>
        <w:spacing w:after="0" w:line="164" w:lineRule="exact"/>
        <w:rPr>
          <w:rFonts w:ascii="Arial" w:cs="Arial" w:eastAsia="Arial" w:hAnsi="Arial"/>
          <w:sz w:val="16"/>
          <w:szCs w:val="16"/>
          <w:color w:val="auto"/>
        </w:rPr>
      </w:pPr>
    </w:p>
    <w:p>
      <w:pPr>
        <w:ind w:right="40" w:firstLine="921"/>
        <w:spacing w:after="0" w:line="259" w:lineRule="auto"/>
        <w:tabs>
          <w:tab w:leader="none" w:pos="1171"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140" w:lineRule="exact"/>
        <w:rPr>
          <w:rFonts w:ascii="Arial" w:cs="Arial" w:eastAsia="Arial" w:hAnsi="Arial"/>
          <w:sz w:val="18"/>
          <w:szCs w:val="18"/>
          <w:color w:val="auto"/>
        </w:rPr>
      </w:pPr>
    </w:p>
    <w:p>
      <w:pPr>
        <w:ind w:left="1220" w:hanging="299"/>
        <w:spacing w:after="0"/>
        <w:tabs>
          <w:tab w:leader="none" w:pos="1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shall impose on such Bank any other condition;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14" w:name="page115"/>
    <w:bookmarkEnd w:id="114"/>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generally to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 the taking of such action would avoid the need for or reduce the amount of any such additional amounts and would not, in the judgment of such Bank, be adverse to the affected Loans or to such Bank.</w:t>
      </w:r>
    </w:p>
    <w:p>
      <w:pPr>
        <w:spacing w:after="0" w:line="118"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113" w:lineRule="exact"/>
        <w:rPr>
          <w:sz w:val="20"/>
          <w:szCs w:val="20"/>
          <w:color w:val="auto"/>
        </w:rPr>
      </w:pPr>
    </w:p>
    <w:p>
      <w:pPr>
        <w:ind w:firstLine="921"/>
        <w:spacing w:after="0" w:line="306" w:lineRule="auto"/>
        <w:tabs>
          <w:tab w:leader="none" w:pos="1162"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107"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 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 (iii) any United States withholding taxes imposed by reason of Section 1471 through Section 1474 of the Code (other than by reason of a change in law imposed after the date hereof but not including changes in the rate of such withholding taxes); provided, that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or Other Taxes are required to be withheld from any amounts payable by the Company to the Administrative Agent or any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15" w:name="page116"/>
    <w:bookmarkEnd w:id="1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as determined in good faith by the applicable withholding agent, (x) such amounts shall be paid to the relevant Governmental Authority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increase any such amounts payable to the Administrative Agent or any Bank with respect to any Non-Excluded Taxes (1) that are attributable to such Bank’s failure to comply with the requirements of paragraph (d) of this Section, or (2) that are United States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118" w:lineRule="exact"/>
        <w:rPr>
          <w:sz w:val="20"/>
          <w:szCs w:val="20"/>
          <w:color w:val="auto"/>
        </w:rPr>
      </w:pPr>
    </w:p>
    <w:p>
      <w:pPr>
        <w:ind w:left="1160" w:hanging="239"/>
        <w:spacing w:after="0"/>
        <w:tabs>
          <w:tab w:leader="none" w:pos="11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the Company shall pay any Other Taxes to the relevant Governmental Authority in accordance with applicable law.</w:t>
      </w:r>
    </w:p>
    <w:p>
      <w:pPr>
        <w:spacing w:after="0" w:line="171" w:lineRule="exact"/>
        <w:rPr>
          <w:rFonts w:ascii="Arial" w:cs="Arial" w:eastAsia="Arial" w:hAnsi="Arial"/>
          <w:sz w:val="18"/>
          <w:szCs w:val="18"/>
          <w:color w:val="auto"/>
        </w:rPr>
      </w:pPr>
    </w:p>
    <w:p>
      <w:pPr>
        <w:ind w:right="80" w:firstLine="921"/>
        <w:spacing w:after="0" w:line="294" w:lineRule="auto"/>
        <w:tabs>
          <w:tab w:leader="none" w:pos="1152"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the Company fails to pay any Non-Excluded Taxes or Other Taxes when due to the appropriate taxing authority, the Company shall indemnify the Administrative Agent and the Banks for any incremental taxes, interest or penalties that may become payable by the Administrative Agent or any Bank as a result of any such failure.</w:t>
      </w:r>
    </w:p>
    <w:p>
      <w:pPr>
        <w:spacing w:after="0" w:line="115" w:lineRule="exact"/>
        <w:rPr>
          <w:rFonts w:ascii="Arial" w:cs="Arial" w:eastAsia="Arial" w:hAnsi="Arial"/>
          <w:sz w:val="16"/>
          <w:szCs w:val="16"/>
          <w:color w:val="auto"/>
        </w:rPr>
      </w:pPr>
    </w:p>
    <w:p>
      <w:pPr>
        <w:ind w:firstLine="921"/>
        <w:spacing w:after="0" w:line="286" w:lineRule="auto"/>
        <w:tabs>
          <w:tab w:leader="none" w:pos="11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 Agent, such properly completed and executed documentation prescribed by applicable law or as reasonable requested by the Company or the Administrative Agent as will permit such payments to be made without withholding or at a reduced rate of withholding (including any documentation necessary to prevent withholding under Section 1471 through Section 1474 of the Code). Without limiting the generality of the foregoing, each Bank (or Assignee) that is not a “U.S. Person” as defined in Section 7701(a)(30) of 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Form W-8BEN, Form W-8ECI, of Form W-81MY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16" w:name="page117"/>
    <w:bookmarkEnd w:id="116"/>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Notwithstanding any other provision of this paragraph, a Non-U.S. Lender shall not be required to deliver any form pursuant to this paragraph that such Non-U.S. Lender is not legally able to deliver.</w:t>
      </w:r>
    </w:p>
    <w:p>
      <w:pPr>
        <w:spacing w:after="0" w:line="120" w:lineRule="exact"/>
        <w:rPr>
          <w:sz w:val="20"/>
          <w:szCs w:val="20"/>
          <w:color w:val="auto"/>
        </w:rPr>
      </w:pPr>
    </w:p>
    <w:p>
      <w:pPr>
        <w:ind w:right="80" w:firstLine="921"/>
        <w:spacing w:after="0" w:line="255" w:lineRule="auto"/>
        <w:tabs>
          <w:tab w:leader="none" w:pos="11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142" w:lineRule="exact"/>
        <w:rPr>
          <w:rFonts w:ascii="Arial" w:cs="Arial" w:eastAsia="Arial" w:hAnsi="Arial"/>
          <w:sz w:val="18"/>
          <w:szCs w:val="18"/>
          <w:color w:val="auto"/>
        </w:rPr>
      </w:pPr>
    </w:p>
    <w:p>
      <w:pPr>
        <w:ind w:right="120" w:firstLine="921"/>
        <w:spacing w:after="0" w:line="309" w:lineRule="auto"/>
        <w:tabs>
          <w:tab w:leader="none" w:pos="1132"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 reasonable out-of-pocket expenses of the Administrative Agent or such Bank and without interest (other than any interest paid by the relevant Governmental Authority with respect to such refund);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108" w:lineRule="exact"/>
        <w:rPr>
          <w:rFonts w:ascii="Arial" w:cs="Arial" w:eastAsia="Arial" w:hAnsi="Arial"/>
          <w:sz w:val="15"/>
          <w:szCs w:val="15"/>
          <w:color w:val="auto"/>
        </w:rPr>
      </w:pPr>
    </w:p>
    <w:p>
      <w:pPr>
        <w:ind w:left="1160" w:hanging="239"/>
        <w:spacing w:after="0"/>
        <w:tabs>
          <w:tab w:leader="none" w:pos="11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agreements in this Section shall survive the termination of this Agreement and the payment of the Loans and all other amounts payable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165"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Commitment Reductions and Mandatory Prepayments</w:t>
      </w:r>
      <w:r>
        <w:rPr>
          <w:rFonts w:ascii="Arial" w:cs="Arial" w:eastAsia="Arial" w:hAnsi="Arial"/>
          <w:sz w:val="16"/>
          <w:szCs w:val="16"/>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(the “</w:t>
      </w:r>
      <w:r>
        <w:rPr>
          <w:rFonts w:ascii="Arial" w:cs="Arial" w:eastAsia="Arial" w:hAnsi="Arial"/>
          <w:sz w:val="16"/>
          <w:szCs w:val="16"/>
          <w:u w:val="single" w:color="auto"/>
          <w:color w:val="auto"/>
        </w:rPr>
        <w:t>Disposition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giving effect to such Designated Asset Sale, the Company and its Subsidiaries own in excess of 65% of the Capital Stock of the Designated Subsidiary that is subject to such Designated Asset Sale,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117" w:name="page118"/>
    <w:bookmarkEnd w:id="117"/>
    <w:p>
      <w:pPr>
        <w:jc w:val="both"/>
        <w:ind w:right="1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Commitments then reduced and (y) payment of the costs arising therefrom pursuant to Section 2.12.</w:t>
      </w:r>
    </w:p>
    <w:p>
      <w:pPr>
        <w:spacing w:after="0" w:line="98"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Defaulting Lender</w:t>
      </w:r>
      <w:r>
        <w:rPr>
          <w:rFonts w:ascii="Arial" w:cs="Arial" w:eastAsia="Arial" w:hAnsi="Arial"/>
          <w:sz w:val="18"/>
          <w:szCs w:val="18"/>
          <w:color w:val="auto"/>
        </w:rPr>
        <w:t>. Notwithstanding any provision of this Agreement to the contrary, if any Bank becomes a Defaulting Lender, then the following provisions shall apply for so long as such Bank is a Defaulting Lender:</w:t>
      </w:r>
    </w:p>
    <w:p>
      <w:pPr>
        <w:spacing w:after="0" w:line="132" w:lineRule="exact"/>
        <w:rPr>
          <w:sz w:val="20"/>
          <w:szCs w:val="20"/>
          <w:color w:val="auto"/>
        </w:rPr>
      </w:pPr>
    </w:p>
    <w:p>
      <w:pPr>
        <w:ind w:left="1160" w:hanging="239"/>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 Section 2.4;</w:t>
      </w:r>
    </w:p>
    <w:p>
      <w:pPr>
        <w:spacing w:after="0" w:line="171" w:lineRule="exact"/>
        <w:rPr>
          <w:rFonts w:ascii="Arial" w:cs="Arial" w:eastAsia="Arial" w:hAnsi="Arial"/>
          <w:sz w:val="18"/>
          <w:szCs w:val="18"/>
          <w:color w:val="auto"/>
        </w:rPr>
      </w:pPr>
    </w:p>
    <w:p>
      <w:pPr>
        <w:ind w:firstLine="921"/>
        <w:spacing w:after="0" w:line="291" w:lineRule="auto"/>
        <w:tabs>
          <w:tab w:leader="none" w:pos="1162"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120" w:lineRule="exact"/>
        <w:rPr>
          <w:rFonts w:ascii="Arial" w:cs="Arial" w:eastAsia="Arial" w:hAnsi="Arial"/>
          <w:sz w:val="16"/>
          <w:szCs w:val="16"/>
          <w:color w:val="auto"/>
        </w:rPr>
      </w:pPr>
    </w:p>
    <w:p>
      <w:pPr>
        <w:jc w:val="both"/>
        <w:ind w:right="60" w:firstLine="921"/>
        <w:spacing w:after="0" w:line="284" w:lineRule="auto"/>
        <w:tabs>
          <w:tab w:leader="none" w:pos="1152"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w:t>
      </w:r>
    </w:p>
    <w:p>
      <w:pPr>
        <w:spacing w:after="0" w:line="1" w:lineRule="exact"/>
        <w:rPr>
          <w:rFonts w:ascii="Arial" w:cs="Arial" w:eastAsia="Arial" w:hAnsi="Arial"/>
          <w:sz w:val="16"/>
          <w:szCs w:val="16"/>
          <w:color w:val="auto"/>
        </w:rPr>
      </w:pPr>
    </w:p>
    <w:p>
      <w:pPr>
        <w:ind w:right="520" w:firstLine="8"/>
        <w:spacing w:after="0" w:line="281" w:lineRule="auto"/>
        <w:tabs>
          <w:tab w:leader="none" w:pos="21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(ii) </w:t>
      </w:r>
      <w:r>
        <w:rPr>
          <w:rFonts w:ascii="Arial" w:cs="Arial" w:eastAsia="Arial" w:hAnsi="Arial"/>
          <w:sz w:val="16"/>
          <w:szCs w:val="16"/>
          <w:u w:val="single" w:color="auto"/>
          <w:color w:val="auto"/>
        </w:rPr>
        <w:t>second</w:t>
      </w:r>
      <w:r>
        <w:rPr>
          <w:rFonts w:ascii="Arial" w:cs="Arial" w:eastAsia="Arial" w:hAnsi="Arial"/>
          <w:sz w:val="16"/>
          <w:szCs w:val="16"/>
          <w:color w:val="auto"/>
        </w:rPr>
        <w:t>, to the funding of any Loan in respect of which such Defaulting Lender has failed to fund its portion thereof as required by this Agreement, as determined by the Administrative Agent,</w:t>
      </w:r>
    </w:p>
    <w:p>
      <w:pPr>
        <w:spacing w:after="0" w:line="1" w:lineRule="exact"/>
        <w:rPr>
          <w:rFonts w:ascii="Arial" w:cs="Arial" w:eastAsia="Arial" w:hAnsi="Arial"/>
          <w:sz w:val="16"/>
          <w:szCs w:val="16"/>
          <w:color w:val="auto"/>
        </w:rPr>
      </w:pPr>
    </w:p>
    <w:p>
      <w:pPr>
        <w:ind w:right="60" w:firstLine="8"/>
        <w:spacing w:after="0" w:line="292" w:lineRule="auto"/>
        <w:tabs>
          <w:tab w:leader="none" w:pos="307"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held in such account as cash collateral for future funding obligations of the Defaulting Lender in respect of any Loans under this Agreement, (iv)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1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Notwithstanding Section 2.20, the Company may, upon not less than three (3) Business Day’s notice to a Defaulting Lender and the Administrative Agent (which the Administrative Agent will promptly provide to the other Banks), terminate or reduce the unused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118" w:name="page119"/>
    <w:bookmarkEnd w:id="11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 of such Defaulting Lender (without being required to terminate or reduce the Commitments of other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terminate or reduce such Commitment if after giving effect to such termination or reduction, the aggregate principal amount of 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 (d) the aggregate amount of the new Commitments of banks or financial institutions that become Banks hereunder pursuant to this sentence does not exceed the amount of the terminated or reduced Commitment of the Defaulting Lender.</w:t>
      </w:r>
    </w:p>
    <w:p>
      <w:pPr>
        <w:spacing w:after="0" w:line="12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w:t>
      </w:r>
    </w:p>
    <w:p>
      <w:pPr>
        <w:spacing w:after="0" w:line="224"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 xml:space="preserve">2.20 </w:t>
      </w:r>
      <w:r>
        <w:rPr>
          <w:rFonts w:ascii="Arial" w:cs="Arial" w:eastAsia="Arial" w:hAnsi="Arial"/>
          <w:sz w:val="15"/>
          <w:szCs w:val="15"/>
          <w:u w:val="single" w:color="auto"/>
          <w:color w:val="auto"/>
        </w:rPr>
        <w:t>Mitigation Obligations; Replacement of Lenders</w:t>
      </w:r>
      <w:r>
        <w:rPr>
          <w:rFonts w:ascii="Arial" w:cs="Arial" w:eastAsia="Arial" w:hAnsi="Arial"/>
          <w:sz w:val="15"/>
          <w:szCs w:val="15"/>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in the judgment of such Bank, such designation or assignment (i) would eliminate or reduce amounts payable pursuant to Section 2.16 or 2.17, as the case may be, in the future and (ii) would not subject such Bank to any unreimbursed cost or expense and would not otherwise be disadvantageous to such Bank. The Company hereby agrees to pay all reasonable costs and expenses incurred by any Bank in connection with any such designation or assignment.</w:t>
      </w:r>
    </w:p>
    <w:p>
      <w:pPr>
        <w:spacing w:after="0" w:line="105" w:lineRule="exact"/>
        <w:rPr>
          <w:sz w:val="20"/>
          <w:szCs w:val="20"/>
          <w:color w:val="auto"/>
        </w:rPr>
      </w:pPr>
    </w:p>
    <w:p>
      <w:pPr>
        <w:ind w:right="40" w:firstLine="921"/>
        <w:spacing w:after="0" w:line="255" w:lineRule="auto"/>
        <w:tabs>
          <w:tab w:leader="none" w:pos="1162"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 accordance with and subject to the restrictions contained in, and consents required by, Section 12.7), all of its interests, rights and obligations under this Agreement to an assignee that shall assume such obligations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19" w:name="page120"/>
    <w:bookmarkEnd w:id="11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3. RESERVED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4. REPRESENTATIONS AND WARRANTIES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order to induce the Banks to enter into this Agreement and to make the Loans herein provided for, the Company hereby represents and warrants to the Banks and the Administrative Agent that:</w:t>
      </w:r>
    </w:p>
    <w:p>
      <w:pPr>
        <w:spacing w:after="0" w:line="1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audited consolidated balance sheets of the Company and its consolidated Subsidiaries as at December 31,</w:t>
      </w:r>
    </w:p>
    <w:p>
      <w:pPr>
        <w:spacing w:after="0" w:line="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2007, December 31, 2008 and December 31, 2009,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 Neither the Company nor any of its Subsidiaries, as of the Effective Date, has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w:t>
      </w:r>
    </w:p>
    <w:p>
      <w:pPr>
        <w:spacing w:after="0" w:line="12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2009, there has been no event or development that would reasonably be expected to have a Material Adverse Effect.</w:t>
      </w:r>
    </w:p>
    <w:p>
      <w:pPr>
        <w:spacing w:after="0" w:line="132"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Existence; Compliance with Law</w:t>
      </w:r>
      <w:r>
        <w:rPr>
          <w:rFonts w:ascii="Arial" w:cs="Arial" w:eastAsia="Arial" w:hAnsi="Arial"/>
          <w:sz w:val="18"/>
          <w:szCs w:val="18"/>
          <w:color w:val="auto"/>
        </w:rPr>
        <w:t>. The Company (a) is a limited liability company formed and validly existing under the Limited Liability Company Law of the State of Delaware, or, if at any time after the Effective Date the Company has changed its form of business organization to a corporate or partnership form, is, on any date on or after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20" w:name="page121"/>
    <w:bookmarkEnd w:id="12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would not reasonably be expected, in the aggregate, to have a Material Adverse Effect. Each of the Company and its Significant Subsidiaries is in compliance with all Requirements of Law except to the extent that the failure to comply therewith would not, in the aggregate, have a material adverse effect on the business, property, financial condition or results of operations of the Company and its Subsidiaries, taken as a whole, and would not materially adversely affect the ability of the Company to perform its obligations under this Agreement and the Notes.</w:t>
      </w:r>
    </w:p>
    <w:p>
      <w:pPr>
        <w:spacing w:after="0" w:line="12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12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Notes, the borrowings hereunder and the use of the proceeds thereof, will not violate the organizational or governing documents of the Company or any of its Significant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21" w:name="page122"/>
    <w:bookmarkEnd w:id="12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material Requirement of Law or any material Contractual Obligation of the Company or of any of its Significant Subsidiaries, and will not result in, or require, the creation or imposition of any Lien on any of its or their respective properties or revenues pursuant to any Requirement of Law or Contractual Obligation.</w:t>
      </w:r>
    </w:p>
    <w:p>
      <w:pPr>
        <w:spacing w:after="0" w:line="140"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Material Litigation</w:t>
      </w:r>
      <w:r>
        <w:rPr>
          <w:rFonts w:ascii="Arial" w:cs="Arial" w:eastAsia="Arial" w:hAnsi="Arial"/>
          <w:sz w:val="16"/>
          <w:szCs w:val="16"/>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113"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Default</w:t>
      </w:r>
      <w:r>
        <w:rPr>
          <w:rFonts w:ascii="Arial" w:cs="Arial" w:eastAsia="Arial" w:hAnsi="Arial"/>
          <w:sz w:val="16"/>
          <w:szCs w:val="16"/>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85"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Company and its Subsidiaries, if any, has good title to or valid leasehold interests in all its material real property, and good title to all its other material property, and none of such property is subject to any Lien prohibited by Section 7.3.</w:t>
      </w:r>
    </w:p>
    <w:p>
      <w:pPr>
        <w:spacing w:after="0" w:line="8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Taxes</w:t>
      </w:r>
      <w:r>
        <w:rPr>
          <w:rFonts w:ascii="Arial" w:cs="Arial" w:eastAsia="Arial" w:hAnsi="Arial"/>
          <w:sz w:val="18"/>
          <w:szCs w:val="18"/>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 Subsidiaries, as the case may be, or (b) to the extent that the failure to do so would not reasonably be expected to have a Material Adverse Effect.</w:t>
      </w:r>
    </w:p>
    <w:p>
      <w:pPr>
        <w:spacing w:after="0" w:line="144"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107"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ERISA</w:t>
      </w:r>
      <w:r>
        <w:rPr>
          <w:rFonts w:ascii="Arial" w:cs="Arial" w:eastAsia="Arial" w:hAnsi="Arial"/>
          <w:sz w:val="16"/>
          <w:szCs w:val="16"/>
          <w:color w:val="auto"/>
        </w:rPr>
        <w:t>. Except as, in the aggregate, could not reasonably be expected to have a Material Adverse Effect: (a) during the five-year period prior to the date on which this representation is made or deemed made, (i) no Reportable Event or non-exempt Prohibited Transaction has occurred with respect to any Plan; (ii) no termination of a Single Employer Plan has occurred with respect to which the liability remains unsatisfied and no Lien in favor of the PBGC has arisen; (iii) there has been no failure to meet the minimum funding standards (within the meaning of Sections 412 or 430 of the Code or Section 302 of ERISA, including but not limited to the occurrence of an “accumulated funding deficiency” (within the meaning of Section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22" w:name="page123"/>
    <w:bookmarkEnd w:id="122"/>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 of the Code or Section 302 of ERISA as in effect prior to the effective date of the Pension Protection Act of 2006)) with respect 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 (d) 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could reasonably be expected to result in any liability under Section 4201 of ERISA, and neither the Company nor any Commonly Controlled Entity would become subject to any liability under ERISA if the Company or any such Commonly Controlled Entity were to withdraw completely from all Multiemployer Plans as of the valuation date most closely preceding the date on which this representation is made or deemed made;</w:t>
      </w:r>
    </w:p>
    <w:p>
      <w:pPr>
        <w:spacing w:after="0" w:line="5" w:lineRule="exact"/>
        <w:rPr>
          <w:sz w:val="20"/>
          <w:szCs w:val="20"/>
          <w:color w:val="auto"/>
        </w:rPr>
      </w:pPr>
    </w:p>
    <w:p>
      <w:pPr>
        <w:ind w:right="40" w:firstLine="8"/>
        <w:spacing w:after="0" w:line="252" w:lineRule="auto"/>
        <w:tabs>
          <w:tab w:leader="none" w:pos="219" w:val="left"/>
        </w:tabs>
        <w:numPr>
          <w:ilvl w:val="0"/>
          <w:numId w:val="72"/>
        </w:numPr>
        <w:rPr>
          <w:rFonts w:ascii="Arial" w:cs="Arial" w:eastAsia="Arial" w:hAnsi="Arial"/>
          <w:sz w:val="18"/>
          <w:szCs w:val="18"/>
          <w:color w:val="auto"/>
        </w:rPr>
      </w:pPr>
      <w:r>
        <w:rPr>
          <w:rFonts w:ascii="Arial" w:cs="Arial" w:eastAsia="Arial" w:hAnsi="Arial"/>
          <w:sz w:val="18"/>
          <w:szCs w:val="18"/>
          <w:color w:val="auto"/>
        </w:rPr>
        <w:t>neither the Company nor any Commonly Controlled Entity has received any notice of a determination that a Multiemployer Plan is in Reorganization, Insolvent or in “endangered” or “critical” status (within the meaning of Section 432 of the Code or Section 305 of ERISA); and (g) with respect to each Foreign Plan, there has been no failure (i) 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 (iii) of any Foreign Plan to comply with any material provisions of applicable law and regulations or with the material terms of such Foreign Plan.</w:t>
      </w:r>
    </w:p>
    <w:p>
      <w:pPr>
        <w:spacing w:after="0" w:line="148"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 Other Regulations</w:t>
      </w:r>
      <w:r>
        <w:rPr>
          <w:rFonts w:ascii="Arial" w:cs="Arial" w:eastAsia="Arial" w:hAnsi="Arial"/>
          <w:sz w:val="18"/>
          <w:szCs w:val="18"/>
          <w:color w:val="auto"/>
        </w:rPr>
        <w:t>. Neither the Company nor any of its Subsidiaries is an “investment company”, or a company “controlled” by a registered “investment company”, within the meaning of the Investment Company Act of 1940, as amended. Neither the Company nor any of its Subsidiaries is subject to regulation under any Requirement of Law (other than Regulation X of the Board and Rule 15c3-1 as promulgated by the SEC under the Act) that limits its ability to incur Indebtedness.</w:t>
      </w:r>
    </w:p>
    <w:p>
      <w:pPr>
        <w:spacing w:after="0" w:line="143"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Significant Subsidiaries</w:t>
      </w:r>
      <w:r>
        <w:rPr>
          <w:rFonts w:ascii="Arial" w:cs="Arial" w:eastAsia="Arial" w:hAnsi="Arial"/>
          <w:sz w:val="16"/>
          <w:szCs w:val="16"/>
          <w:color w:val="auto"/>
        </w:rPr>
        <w:t>. Except as disclosed to the Administrative Agent (who shall promptly notify the other Banks upon receipt of such disclosure) by the Company in writing from time to time after the Effective Date, (a) Schedule 4.13 sets forth the name and jurisdiction of incorporation of each Significant Subsidiary and, as to each such Significant Subsidiary, the percentage of each class of Capital Stock owned by the Company and (b) there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23" w:name="page124"/>
    <w:bookmarkEnd w:id="123"/>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no outstanding subscriptions, options, warrants, calls, rights or other agreements or commitments (other than Exchangeable Interests, stock options granted to employees or directors and directors’ qualifying shares) of any nature relating to any Capital Stock of the Company or any of its Significant Subsidiaries, except as created by this Agreement.</w:t>
      </w:r>
    </w:p>
    <w:p>
      <w:pPr>
        <w:spacing w:after="0" w:line="14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misleading in each case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 actual results during the period or periods covered by such information may differ from the projected results set forth therein by a material amount. There is no fact known to the Company that could reasonably be expected to have a Material Adverse Effect that has not been expressly disclosed herein or in any other documents, certificates and statements furnished to the Administrative Agent and the Banks for use in connection with the transactions contemplated hereby.</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by the Company for general corporate purposes.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5. CONDITIONS PRECEDENT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of Initial Loans</w:t>
      </w:r>
      <w:r>
        <w:rPr>
          <w:rFonts w:ascii="Arial" w:cs="Arial" w:eastAsia="Arial" w:hAnsi="Arial"/>
          <w:sz w:val="18"/>
          <w:szCs w:val="18"/>
          <w:color w:val="auto"/>
        </w:rPr>
        <w:t>. The obligation of each Bank to make its initial Loan hereunder and the effectiveness of this Agreement are subject to the satisfaction of the following conditions precedent:</w:t>
      </w:r>
    </w:p>
    <w:p>
      <w:pPr>
        <w:spacing w:after="0" w:line="51" w:lineRule="exact"/>
        <w:rPr>
          <w:sz w:val="20"/>
          <w:szCs w:val="20"/>
          <w:color w:val="auto"/>
        </w:rPr>
      </w:pPr>
    </w:p>
    <w:p>
      <w:pPr>
        <w:ind w:left="460" w:right="280" w:firstLine="443"/>
        <w:spacing w:after="0" w:line="268"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Administrative Agent shall have received this Agreement, executed by an authorized officer of each Bank party hereto and by an authorized officer of the Company.</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Administrative Agent shall have received a Note conforming to the requirements hereof and executed by an authorized officer of the Company for each Bank that has requested a Note prior to the Effective Date. The Administrative Agent shall promptly forward any such Notes to the appropriate Banks.</w:t>
      </w:r>
    </w:p>
    <w:p>
      <w:pPr>
        <w:spacing w:after="0" w:line="59" w:lineRule="exact"/>
        <w:rPr>
          <w:rFonts w:ascii="Arial" w:cs="Arial" w:eastAsia="Arial" w:hAnsi="Arial"/>
          <w:sz w:val="18"/>
          <w:szCs w:val="18"/>
          <w:color w:val="auto"/>
        </w:rPr>
      </w:pPr>
    </w:p>
    <w:p>
      <w:pPr>
        <w:ind w:left="460" w:right="280" w:firstLine="443"/>
        <w:spacing w:after="0" w:line="259" w:lineRule="auto"/>
        <w:tabs>
          <w:tab w:leader="none" w:pos="1137"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Prior to or substantially simultaneously with the Effective Date, the commitments under the Existing Credit Agreement shall have been terminated and the Company shall have repaid all outstanding loans, unpaid interest thereon and all fees and expenses owed thereunder.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124" w:name="page125"/>
    <w:bookmarkEnd w:id="124"/>
    <w:p>
      <w:pPr>
        <w:ind w:left="460" w:right="140" w:firstLine="443"/>
        <w:spacing w:after="0" w:line="256"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Opinion</w:t>
      </w:r>
      <w:r>
        <w:rPr>
          <w:rFonts w:ascii="Arial" w:cs="Arial" w:eastAsia="Arial" w:hAnsi="Arial"/>
          <w:sz w:val="18"/>
          <w:szCs w:val="18"/>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Effective Date and addressed to the Administrative Agent and the Banks.</w:t>
      </w:r>
    </w:p>
    <w:p>
      <w:pPr>
        <w:spacing w:after="0" w:line="62" w:lineRule="exact"/>
        <w:rPr>
          <w:rFonts w:ascii="Arial" w:cs="Arial" w:eastAsia="Arial" w:hAnsi="Arial"/>
          <w:sz w:val="18"/>
          <w:szCs w:val="18"/>
          <w:color w:val="auto"/>
        </w:rPr>
      </w:pPr>
    </w:p>
    <w:p>
      <w:pPr>
        <w:ind w:left="460" w:right="200" w:firstLine="443"/>
        <w:spacing w:after="0" w:line="259" w:lineRule="auto"/>
        <w:tabs>
          <w:tab w:leader="none" w:pos="113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The Administrative Agent shall have received a Closing Certificate of the Company dated the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11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Incumbency and Signatures</w:t>
      </w:r>
      <w:r>
        <w:rPr>
          <w:rFonts w:ascii="Arial" w:cs="Arial" w:eastAsia="Arial" w:hAnsi="Arial"/>
          <w:sz w:val="18"/>
          <w:szCs w:val="18"/>
          <w:color w:val="auto"/>
        </w:rPr>
        <w:t>. The Administrative Agent shall have received a certificate of an officer of the Company, dated the Effective Date, as to the incumbency and signatures of the officers of the Company, duly authorized to sign this Agreement, the Notes and any certificate or other document required to be delivered pursuant thereto.</w:t>
      </w:r>
    </w:p>
    <w:p>
      <w:pPr>
        <w:spacing w:after="0" w:line="59"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fees required to be paid to it and each Bank under this Agreement on or prior to the Effective Date.</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Conditions to All Loans</w:t>
      </w:r>
      <w:r>
        <w:rPr>
          <w:rFonts w:ascii="Arial" w:cs="Arial" w:eastAsia="Arial" w:hAnsi="Arial"/>
          <w:sz w:val="16"/>
          <w:szCs w:val="16"/>
          <w:color w:val="auto"/>
        </w:rPr>
        <w:t>. The making by each Bank of any Loan hereunder (but not the conversion or continuation of any Loan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2.7) is subject to the satisfaction of the following conditions precedent on the relevant Borrowing Date:</w:t>
      </w:r>
    </w:p>
    <w:p>
      <w:pPr>
        <w:spacing w:after="0" w:line="84" w:lineRule="exact"/>
        <w:rPr>
          <w:sz w:val="20"/>
          <w:szCs w:val="20"/>
          <w:color w:val="auto"/>
        </w:rPr>
      </w:pPr>
    </w:p>
    <w:p>
      <w:pPr>
        <w:ind w:left="460" w:firstLine="443"/>
        <w:spacing w:after="0" w:line="256" w:lineRule="auto"/>
        <w:tabs>
          <w:tab w:leader="none" w:pos="113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herein or which are contained in any certificate furnished at any time under or in connection herewith shall be true and correct on and as of the Borrowing Date as if made on and as of such date (it being understood and agreed that any representation and warranty which by its terms is made as of a specified date shall be required to be true and correct only as of such specified date).</w:t>
      </w:r>
    </w:p>
    <w:p>
      <w:pPr>
        <w:spacing w:after="0" w:line="62"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after giving effect to the Loan to be made on such Borrowing Date.</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37"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171"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 is owing to the Banks or the Administrative Agent hereunder, the Company shall and (except in the case of delivery of financial information, reports and notices) shall cause each Significant Subsidiary to:</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right="160" w:firstLine="443"/>
        <w:spacing w:after="0" w:line="298" w:lineRule="auto"/>
        <w:tabs>
          <w:tab w:leader="none" w:pos="1137"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each December 31</w:t>
      </w:r>
      <w:r>
        <w:rPr>
          <w:rFonts w:ascii="Arial" w:cs="Arial" w:eastAsia="Arial" w:hAnsi="Arial"/>
          <w:sz w:val="10"/>
          <w:szCs w:val="10"/>
          <w:color w:val="auto"/>
        </w:rPr>
        <w:t>st</w:t>
      </w:r>
      <w:r>
        <w:rPr>
          <w:rFonts w:ascii="Arial" w:cs="Arial" w:eastAsia="Arial" w:hAnsi="Arial"/>
          <w:sz w:val="16"/>
          <w:szCs w:val="16"/>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and</w:t>
      </w:r>
    </w:p>
    <w:p>
      <w:pPr>
        <w:spacing w:after="0" w:line="31" w:lineRule="exact"/>
        <w:rPr>
          <w:rFonts w:ascii="Arial" w:cs="Arial" w:eastAsia="Arial" w:hAnsi="Arial"/>
          <w:sz w:val="16"/>
          <w:szCs w:val="16"/>
          <w:color w:val="auto"/>
        </w:rPr>
      </w:pPr>
    </w:p>
    <w:p>
      <w:pPr>
        <w:jc w:val="both"/>
        <w:ind w:left="460" w:firstLine="443"/>
        <w:spacing w:after="0" w:line="298"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 income of the Company and its consolidated Subsidiaries for the fiscal year to date, certified by a Responsible Officer of the Company with responsibility for financial reporting matters (subject to normal year-end audit adjustments);</w:t>
      </w:r>
    </w:p>
    <w:p>
      <w:pPr>
        <w:spacing w:after="0" w:line="113"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in accordance with GAAP applied consistently throughout the period reflected therein, and in the case of clause (b) above, subject to normal year-end audit adjustments and the absence of footnotes.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firstLine="443"/>
        <w:spacing w:after="0" w:line="294" w:lineRule="auto"/>
        <w:tabs>
          <w:tab w:leader="none" w:pos="11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Sections 6.1(a) and (b), a certificate of an authorized financial officer of the Company (i) stating that, to the best of such authorized financial officer’s knowledge, the Company and its Significant Subsidiaries during such period have observed or performed all of their covenants and other agreements, and satisfied every condition, contained in this Agreement and in the Notes to be observed, performed or satisfied by them, and that such officer has obtained no knowledge of any Event of Default, in each case except as specified in such certificate and (ii) setting forth quarterly computations with respect to compliance with Section 7.1 of this Agreement;</w:t>
      </w:r>
    </w:p>
    <w:p>
      <w:pPr>
        <w:spacing w:after="0" w:line="34"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soon as available, but in any event not later than 45 days after the end of each of the quarterly periods of each fiscal year of each Designated Subsidiary, a copy of the Statement of Financial Condition and Computation of Net Capital of such</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126" w:name="page127"/>
    <w:bookmarkEnd w:id="126"/>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Subsidiary as of the end of such quarter included in Part II of such Designated Subsidiary’s FOCUS Report, Annual Audit Report, amendment to Form ADV or amendment to Form BD (as applicable) for such quarter, certified as correct as of the date thereof, subject to changes resulting from subsequent audit adjustments, by an authorized officer of such Designated Subsidiary;</w:t>
      </w:r>
    </w:p>
    <w:p>
      <w:pPr>
        <w:spacing w:after="0" w:line="59" w:lineRule="exact"/>
        <w:rPr>
          <w:sz w:val="20"/>
          <w:szCs w:val="20"/>
          <w:color w:val="auto"/>
        </w:rPr>
      </w:pPr>
    </w:p>
    <w:p>
      <w:pPr>
        <w:ind w:left="460" w:right="20" w:firstLine="443"/>
        <w:spacing w:after="0" w:line="294" w:lineRule="auto"/>
        <w:tabs>
          <w:tab w:leader="none" w:pos="1137"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soon as possible and in any event within 30 days after the Company knows or has reason to know of the following events: (i) the occurrence or expected occurrence of any Reportable Event with respect to any Plan or (ii) the institution of proceedings or the taking of any other action by the PBGC, the Company or any Commonly Controlled Entity with respect to the withdrawal from, or the terminating, reorganization or insolvency of, any Single Employer Plan or Multiemployer Plan, a certificate of an authorized officer of the Company setting forth the details thereof and the action, if any, that the Company or the Commonly Controlled Entity proposes to take with respect thereto;</w:t>
      </w:r>
    </w:p>
    <w:p>
      <w:pPr>
        <w:spacing w:after="0" w:line="34"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promptly, such additional financial and other information, confidential or otherwise, as the Banks may from time to time reasonably request and which the Company is not expressly prohibited by law or written contract from disclosing; and</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within 5 days after the same are sent, copies of all financial statements and reports that Holdings or the Company sends to the holders of any class of its debt securities or public equity securities and, within five (5) days after the same are filed, copies of all financial statements and reports that Holdings or the Company may make to, or file with, the SEC.</w:t>
      </w:r>
    </w:p>
    <w:p>
      <w:pPr>
        <w:spacing w:after="0" w:line="140"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Conduct of Business and Maintenance of Existence; Compliance</w:t>
      </w:r>
      <w:r>
        <w:rPr>
          <w:rFonts w:ascii="Arial" w:cs="Arial" w:eastAsia="Arial" w:hAnsi="Arial"/>
          <w:sz w:val="16"/>
          <w:szCs w:val="16"/>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material rights, privileges and franchises necessary or desirable in the normal conduct of its business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127"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Keep all property useful and necessary in its business in good working order and condition, ordinary wear and tear excepted;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27" w:name="page128"/>
    <w:bookmarkEnd w:id="127"/>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 with financially sound and reputable insurance companies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14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Inspection of Property; Books and Records; Discussions</w:t>
      </w:r>
      <w:r>
        <w:rPr>
          <w:rFonts w:ascii="Arial" w:cs="Arial" w:eastAsia="Arial" w:hAnsi="Arial"/>
          <w:sz w:val="16"/>
          <w:szCs w:val="16"/>
          <w:color w:val="auto"/>
        </w:rPr>
        <w:t>. Keep proper books of records and account in which full, true and correct entries shall be made of all dealings and transactions in relation to its business and activities; and,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Promptly give notice to the Administrative Agent and each Bank:</w:t>
      </w:r>
    </w:p>
    <w:p>
      <w:pPr>
        <w:spacing w:after="0" w:line="90" w:lineRule="exact"/>
        <w:rPr>
          <w:sz w:val="20"/>
          <w:szCs w:val="20"/>
          <w:color w:val="auto"/>
        </w:rPr>
      </w:pPr>
    </w:p>
    <w:p>
      <w:pPr>
        <w:ind w:left="1140" w:hanging="237"/>
        <w:spacing w:after="0"/>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upon obtaining knowledge thereof;</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 any litigation or proceeding which may exist at any time between the Company or any Subsidiary and any other person, which is reasonably likely to be adversely determined and if adversely determined would have a Material Adverse Effect;</w:t>
      </w:r>
    </w:p>
    <w:p>
      <w:pPr>
        <w:spacing w:after="0" w:line="50" w:lineRule="exact"/>
        <w:rPr>
          <w:rFonts w:ascii="Arial" w:cs="Arial" w:eastAsia="Arial" w:hAnsi="Arial"/>
          <w:sz w:val="18"/>
          <w:szCs w:val="18"/>
          <w:color w:val="auto"/>
        </w:rPr>
      </w:pPr>
    </w:p>
    <w:p>
      <w:pPr>
        <w:ind w:left="460" w:firstLine="443"/>
        <w:spacing w:after="0" w:line="286"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color w:val="auto"/>
        </w:rPr>
        <w:t>of the following events, as soon as possible and in any event within 30 days after the Company knows or has reason to know thereof: (i) the occurrence of any Reportable Event or non-exempt Prohibited Transaction resulting in liability in excess of $10,000,000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Reorganization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46" w:lineRule="exact"/>
        <w:rPr>
          <w:rFonts w:ascii="Arial" w:cs="Arial" w:eastAsia="Arial" w:hAnsi="Arial"/>
          <w:sz w:val="16"/>
          <w:szCs w:val="16"/>
          <w:color w:val="auto"/>
        </w:rPr>
      </w:pPr>
    </w:p>
    <w:p>
      <w:pPr>
        <w:ind w:left="1160" w:hanging="257"/>
        <w:spacing w:after="0"/>
        <w:tabs>
          <w:tab w:leader="none" w:pos="11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 any other development that has had or would reasonably be expected to have a Material Adverse Effect.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128" w:name="page129"/>
    <w:bookmarkEnd w:id="12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7. NEGATIVE COVENANTS</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 is owing to the Banks or the Administrative Agent hereunder, the Company shall not, and shall not permit any of its Significant Subsidiaries to, directly or indirectly: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r>
        <w:rPr>
          <w:rFonts w:ascii="Arial" w:cs="Arial" w:eastAsia="Arial" w:hAnsi="Arial"/>
          <w:sz w:val="18"/>
          <w:szCs w:val="18"/>
          <w:color w:val="auto"/>
        </w:rPr>
        <w:t>.</w:t>
      </w:r>
    </w:p>
    <w:p>
      <w:pPr>
        <w:spacing w:after="0" w:line="90" w:lineRule="exact"/>
        <w:rPr>
          <w:sz w:val="20"/>
          <w:szCs w:val="20"/>
          <w:color w:val="auto"/>
        </w:rPr>
      </w:pPr>
    </w:p>
    <w:p>
      <w:pPr>
        <w:ind w:left="460" w:right="20" w:firstLine="443"/>
        <w:spacing w:after="0" w:line="268" w:lineRule="auto"/>
        <w:tabs>
          <w:tab w:leader="none" w:pos="1137"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last day of any fiscal quarter, commencing with the fiscal quarter ended June 30, 2010, to be greater than 4.00 to 1.00.</w:t>
      </w:r>
    </w:p>
    <w:p>
      <w:pPr>
        <w:spacing w:after="0" w:line="50" w:lineRule="exact"/>
        <w:rPr>
          <w:rFonts w:ascii="Arial" w:cs="Arial" w:eastAsia="Arial" w:hAnsi="Arial"/>
          <w:sz w:val="18"/>
          <w:szCs w:val="18"/>
          <w:color w:val="auto"/>
        </w:rPr>
      </w:pPr>
    </w:p>
    <w:p>
      <w:pPr>
        <w:ind w:left="460" w:right="120" w:firstLine="443"/>
        <w:spacing w:after="0" w:line="332" w:lineRule="auto"/>
        <w:tabs>
          <w:tab w:leader="none" w:pos="1147"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for the period of four consecutive fiscal quarters ending on the last day of any fiscal quarter, commencing with the fiscal quarter ended June 30, 2010, to be less than 3.00 to 1.00.</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arising under this Agreement or the Notes;</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of the Company to any Wholly Owned Subsidiary and of any Wholly Owned Subsidiary to the Company or any other Wholly Owned Subsidiary;</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Indebtedness outstanding on the date hereof and listed on Schedule 7.2 and any Permitted Refinancing Indebtedness incurred to Refinance such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secured Broker-Dealer Indebtedness and Indebtedness of Lazard Frères Banque;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any unsecured Indebtedness by Lazard Frères Bank permitted under this Section 7.2(e), the aggregate of its unencumbered assets shall exceed the aggregate of its unsecured Indebtedness;</w:t>
      </w:r>
    </w:p>
    <w:p>
      <w:pPr>
        <w:spacing w:after="0" w:line="59" w:lineRule="exact"/>
        <w:rPr>
          <w:rFonts w:ascii="Arial" w:cs="Arial" w:eastAsia="Arial" w:hAnsi="Arial"/>
          <w:sz w:val="18"/>
          <w:szCs w:val="18"/>
          <w:color w:val="auto"/>
        </w:rPr>
      </w:pPr>
    </w:p>
    <w:p>
      <w:pPr>
        <w:ind w:left="460" w:firstLine="443"/>
        <w:spacing w:after="0" w:line="294" w:lineRule="auto"/>
        <w:tabs>
          <w:tab w:leader="none" w:pos="111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after the Effective Date or a corporation or other entity merged into or consolidated with the Company or any Subsidiary after the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the acquisition or assumption of such Indebtedness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280" w:right="29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than Permitted Refinancing Indebtedness incurred to Refinance such Indebtedness), the Leverage Ratio shall not be greater than 3.5 to 1.0;</w:t>
      </w:r>
    </w:p>
    <w:p>
      <w:pPr>
        <w:spacing w:after="0" w:line="113" w:lineRule="exact"/>
        <w:rPr>
          <w:sz w:val="20"/>
          <w:szCs w:val="20"/>
          <w:color w:val="auto"/>
        </w:rPr>
      </w:pPr>
    </w:p>
    <w:p>
      <w:pPr>
        <w:ind w:firstLine="443"/>
        <w:spacing w:after="0" w:line="259"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Capital Lease Obligations in connection with the Paris Lease and any Indebtedness the net proceeds of which are used to refinance or replace such Capital Lease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principal amount of such Indebtedness does not exceed the value of the real property covered by the Paris Lease;</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additional Capital Lease Obligations in an aggregate principal amount not to exceed $10,000,000 at any one time outstanding;</w:t>
      </w:r>
    </w:p>
    <w:p>
      <w:pPr>
        <w:spacing w:after="0" w:line="90" w:lineRule="exact"/>
        <w:rPr>
          <w:rFonts w:ascii="Arial" w:cs="Arial" w:eastAsia="Arial" w:hAnsi="Arial"/>
          <w:sz w:val="18"/>
          <w:szCs w:val="18"/>
          <w:color w:val="auto"/>
        </w:rPr>
      </w:pPr>
    </w:p>
    <w:p>
      <w:pPr>
        <w:ind w:right="80" w:firstLine="443"/>
        <w:spacing w:after="0" w:line="256"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purchase money Indebtedness incurred by the Company or any Subsidiary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62" w:lineRule="exact"/>
        <w:rPr>
          <w:rFonts w:ascii="Arial" w:cs="Arial" w:eastAsia="Arial" w:hAnsi="Arial"/>
          <w:sz w:val="18"/>
          <w:szCs w:val="18"/>
          <w:color w:val="auto"/>
        </w:rPr>
      </w:pPr>
    </w:p>
    <w:p>
      <w:pPr>
        <w:ind w:right="960" w:firstLine="443"/>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Indebtedness of the Company in respect of the Senior Notes and any Permitted Refinancing Indebtedness incurred to Refinance such Indebtedness;</w:t>
      </w:r>
    </w:p>
    <w:p>
      <w:pPr>
        <w:spacing w:after="0" w:line="50" w:lineRule="exact"/>
        <w:rPr>
          <w:rFonts w:ascii="Arial" w:cs="Arial" w:eastAsia="Arial" w:hAnsi="Arial"/>
          <w:sz w:val="18"/>
          <w:szCs w:val="18"/>
          <w:color w:val="auto"/>
        </w:rPr>
      </w:pPr>
    </w:p>
    <w:p>
      <w:pPr>
        <w:ind w:right="160" w:firstLine="443"/>
        <w:spacing w:after="0" w:line="268"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Indebtedness in connection with Permitted Receivables Financings in an aggregate principal amount not to exceed $50,000,000 at any one time outstanding;</w:t>
      </w:r>
    </w:p>
    <w:p>
      <w:pPr>
        <w:spacing w:after="0" w:line="50" w:lineRule="exact"/>
        <w:rPr>
          <w:rFonts w:ascii="Arial" w:cs="Arial" w:eastAsia="Arial" w:hAnsi="Arial"/>
          <w:sz w:val="18"/>
          <w:szCs w:val="18"/>
          <w:color w:val="auto"/>
        </w:rPr>
      </w:pPr>
    </w:p>
    <w:p>
      <w:pPr>
        <w:ind w:right="700" w:firstLine="443"/>
        <w:spacing w:after="0" w:line="268"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Indebtedness in respect of letters of credit issued for the account of the Company or its Subsidiaries (other than letters of credit issued as guaranties for Indebtedness of the Company and its Subsidiaries);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Subordinated Indebtedness of the Company or any of its Subsidiaries (other than LFNY);</w:t>
      </w:r>
    </w:p>
    <w:p>
      <w:pPr>
        <w:spacing w:after="0" w:line="90" w:lineRule="exact"/>
        <w:rPr>
          <w:rFonts w:ascii="Arial" w:cs="Arial" w:eastAsia="Arial" w:hAnsi="Arial"/>
          <w:sz w:val="18"/>
          <w:szCs w:val="18"/>
          <w:color w:val="auto"/>
        </w:rPr>
      </w:pPr>
    </w:p>
    <w:p>
      <w:pPr>
        <w:ind w:right="40" w:firstLine="443"/>
        <w:spacing w:after="0" w:line="259"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additional Indebtedness of the Company or any of its Subsidiaries in an aggregate principal amount (for the Company and all Subsidiaries) not to exceed $125,000,000 at any one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such additional Indebtedness, the Leverage Ratio shall not be greater than 3.5 to 1.0;</w:t>
      </w:r>
    </w:p>
    <w:p>
      <w:pPr>
        <w:spacing w:after="0" w:line="59" w:lineRule="exact"/>
        <w:rPr>
          <w:rFonts w:ascii="Arial" w:cs="Arial" w:eastAsia="Arial" w:hAnsi="Arial"/>
          <w:sz w:val="18"/>
          <w:szCs w:val="18"/>
          <w:color w:val="auto"/>
        </w:rPr>
      </w:pPr>
    </w:p>
    <w:p>
      <w:pPr>
        <w:ind w:right="720" w:firstLine="443"/>
        <w:spacing w:after="0" w:line="268" w:lineRule="auto"/>
        <w:tabs>
          <w:tab w:leader="none" w:pos="687" w:val="left"/>
        </w:tabs>
        <w:numPr>
          <w:ilvl w:val="0"/>
          <w:numId w:val="82"/>
        </w:numPr>
        <w:rPr>
          <w:rFonts w:ascii="Arial" w:cs="Arial" w:eastAsia="Arial" w:hAnsi="Arial"/>
          <w:sz w:val="18"/>
          <w:szCs w:val="18"/>
          <w:color w:val="auto"/>
        </w:rPr>
      </w:pPr>
      <w:r>
        <w:rPr>
          <w:rFonts w:ascii="Arial" w:cs="Arial" w:eastAsia="Arial" w:hAnsi="Arial"/>
          <w:sz w:val="18"/>
          <w:szCs w:val="18"/>
          <w:color w:val="auto"/>
        </w:rPr>
        <w:t>Guarantee Obligations of the Company and its Subsidiaries in respect of Indebtedness of the Company or its Subsidiaries so long as the incurrence of such Indebtedness is permitted under this Agreement;</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Indebtedness under the Intesa Notes and any Permitted Refinancing Indebtedness incurred to Refinance such Indebtedness; and</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Specified Non-Recourse Indebtedness.</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130" w:name="page131"/>
    <w:bookmarkEnd w:id="130"/>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except:</w:t>
      </w:r>
    </w:p>
    <w:p>
      <w:pPr>
        <w:spacing w:after="0" w:line="51" w:lineRule="exact"/>
        <w:rPr>
          <w:sz w:val="20"/>
          <w:szCs w:val="20"/>
          <w:color w:val="auto"/>
        </w:rPr>
      </w:pPr>
    </w:p>
    <w:p>
      <w:pPr>
        <w:ind w:left="460" w:right="20" w:firstLine="443"/>
        <w:spacing w:after="0" w:line="268" w:lineRule="auto"/>
        <w:tabs>
          <w:tab w:leader="none" w:pos="11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created, incurred or assumed by any Subsidiary of the Company which is a registered broker-dealer upon assets owned by such Subsidiary or held for such Subsidiary’s account to secure Trade Debt;</w:t>
      </w:r>
    </w:p>
    <w:p>
      <w:pPr>
        <w:spacing w:after="0" w:line="50" w:lineRule="exact"/>
        <w:rPr>
          <w:rFonts w:ascii="Arial" w:cs="Arial" w:eastAsia="Arial" w:hAnsi="Arial"/>
          <w:sz w:val="18"/>
          <w:szCs w:val="18"/>
          <w:color w:val="auto"/>
        </w:rPr>
      </w:pPr>
    </w:p>
    <w:p>
      <w:pPr>
        <w:ind w:left="460" w:right="720" w:firstLine="443"/>
        <w:spacing w:after="0" w:line="332" w:lineRule="auto"/>
        <w:tabs>
          <w:tab w:leader="none" w:pos="1147" w:val="left"/>
        </w:tabs>
        <w:numPr>
          <w:ilvl w:val="0"/>
          <w:numId w:val="83"/>
        </w:numPr>
        <w:rPr>
          <w:rFonts w:ascii="Arial" w:cs="Arial" w:eastAsia="Arial" w:hAnsi="Arial"/>
          <w:sz w:val="16"/>
          <w:szCs w:val="16"/>
          <w:color w:val="auto"/>
        </w:rPr>
      </w:pPr>
      <w:r>
        <w:rPr>
          <w:rFonts w:ascii="Arial" w:cs="Arial" w:eastAsia="Arial" w:hAnsi="Arial"/>
          <w:sz w:val="16"/>
          <w:szCs w:val="16"/>
          <w:color w:val="auto"/>
        </w:rPr>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4" w:lineRule="exact"/>
        <w:rPr>
          <w:rFonts w:ascii="Arial" w:cs="Arial" w:eastAsia="Arial" w:hAnsi="Arial"/>
          <w:sz w:val="16"/>
          <w:szCs w:val="16"/>
          <w:color w:val="auto"/>
        </w:rPr>
      </w:pPr>
    </w:p>
    <w:p>
      <w:pPr>
        <w:ind w:left="460" w:right="140" w:firstLine="443"/>
        <w:spacing w:after="0" w:line="332"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4" w:lineRule="exact"/>
        <w:rPr>
          <w:rFonts w:ascii="Arial" w:cs="Arial" w:eastAsia="Arial" w:hAnsi="Arial"/>
          <w:sz w:val="16"/>
          <w:szCs w:val="16"/>
          <w:color w:val="auto"/>
        </w:rPr>
      </w:pPr>
    </w:p>
    <w:p>
      <w:pPr>
        <w:jc w:val="both"/>
        <w:ind w:left="460" w:right="60" w:firstLine="443"/>
        <w:spacing w:after="0" w:line="256"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 (iii) Liens arising from UCC financing statements regarding operating leases and (iv) Liens on securities that are the subject of repurchase agreements constituting Cash Equivalents;</w:t>
      </w:r>
    </w:p>
    <w:p>
      <w:pPr>
        <w:spacing w:after="0" w:line="62" w:lineRule="exact"/>
        <w:rPr>
          <w:rFonts w:ascii="Arial" w:cs="Arial" w:eastAsia="Arial" w:hAnsi="Arial"/>
          <w:sz w:val="18"/>
          <w:szCs w:val="18"/>
          <w:color w:val="auto"/>
        </w:rPr>
      </w:pPr>
    </w:p>
    <w:p>
      <w:pPr>
        <w:ind w:left="460" w:right="160" w:firstLine="443"/>
        <w:spacing w:after="0" w:line="332" w:lineRule="auto"/>
        <w:tabs>
          <w:tab w:leader="none" w:pos="1137"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(other than for borrowed money), leases, statutory and other obligations required by law, surety and appeal bonds, performance bonds and other obligations of a like nature incurred in the ordinary course of business;</w:t>
      </w:r>
    </w:p>
    <w:p>
      <w:pPr>
        <w:spacing w:after="0" w:line="4" w:lineRule="exact"/>
        <w:rPr>
          <w:rFonts w:ascii="Arial" w:cs="Arial" w:eastAsia="Arial" w:hAnsi="Arial"/>
          <w:sz w:val="16"/>
          <w:szCs w:val="16"/>
          <w:color w:val="auto"/>
        </w:rPr>
      </w:pPr>
    </w:p>
    <w:p>
      <w:pPr>
        <w:ind w:left="460" w:firstLine="443"/>
        <w:spacing w:after="0" w:line="259" w:lineRule="auto"/>
        <w:tabs>
          <w:tab w:leader="none" w:pos="1117"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Liens on real property, leasehold improvements and equipment of the Company securing Specified Non-Recourse Indebtedness and/or Specified Recourse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judgment Liens in respect of judgments that do not constitute an Event of Default under clause (h) of Section 9;</w:t>
      </w:r>
    </w:p>
    <w:p>
      <w:pPr>
        <w:spacing w:after="0" w:line="90" w:lineRule="exact"/>
        <w:rPr>
          <w:rFonts w:ascii="Arial" w:cs="Arial" w:eastAsia="Arial" w:hAnsi="Arial"/>
          <w:sz w:val="18"/>
          <w:szCs w:val="18"/>
          <w:color w:val="auto"/>
        </w:rPr>
      </w:pPr>
    </w:p>
    <w:p>
      <w:pPr>
        <w:ind w:left="460" w:firstLine="443"/>
        <w:spacing w:after="0" w:line="306" w:lineRule="auto"/>
        <w:tabs>
          <w:tab w:leader="none" w:pos="1108" w:val="left"/>
        </w:tabs>
        <w:numPr>
          <w:ilvl w:val="0"/>
          <w:numId w:val="83"/>
        </w:numPr>
        <w:rPr>
          <w:rFonts w:ascii="Arial" w:cs="Arial" w:eastAsia="Arial" w:hAnsi="Arial"/>
          <w:sz w:val="16"/>
          <w:szCs w:val="16"/>
          <w:color w:val="auto"/>
        </w:rPr>
      </w:pPr>
      <w:r>
        <w:rPr>
          <w:rFonts w:ascii="Arial" w:cs="Arial" w:eastAsia="Arial" w:hAnsi="Arial"/>
          <w:sz w:val="16"/>
          <w:szCs w:val="16"/>
          <w:color w:val="auto"/>
        </w:rPr>
        <w:t>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 Lien existing on any such property or assets at the time of acquisition (other than any such Liens created in</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80" w:right="339" w:bottom="1440" w:gutter="0" w:footer="0" w:header="0"/>
        </w:sectPr>
      </w:pPr>
    </w:p>
    <w:bookmarkStart w:id="131" w:name="page132"/>
    <w:bookmarkEnd w:id="131"/>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contemplation of such acquisition that do not secure the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Lien shall extend to or cover any property other than property being acquired, constructed on or improved;</w:t>
      </w:r>
    </w:p>
    <w:p>
      <w:pPr>
        <w:spacing w:after="0" w:line="51" w:lineRule="exact"/>
        <w:rPr>
          <w:sz w:val="20"/>
          <w:szCs w:val="20"/>
          <w:color w:val="auto"/>
        </w:rPr>
      </w:pPr>
    </w:p>
    <w:p>
      <w:pPr>
        <w:ind w:left="460" w:right="20" w:firstLine="443"/>
        <w:spacing w:after="0" w:line="259" w:lineRule="auto"/>
        <w:tabs>
          <w:tab w:leader="none" w:pos="110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59" w:lineRule="exact"/>
        <w:rPr>
          <w:rFonts w:ascii="Arial" w:cs="Arial" w:eastAsia="Arial" w:hAnsi="Arial"/>
          <w:sz w:val="18"/>
          <w:szCs w:val="18"/>
          <w:color w:val="auto"/>
        </w:rPr>
      </w:pPr>
    </w:p>
    <w:p>
      <w:pPr>
        <w:ind w:left="460" w:right="40" w:firstLine="443"/>
        <w:spacing w:after="0" w:line="332" w:lineRule="auto"/>
        <w:tabs>
          <w:tab w:leader="none" w:pos="1147"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in whole or in part, of any of the Liens permitted by clause (i) above upon the same real property or assets theretofore subject thereto without increase in the amount of Indebtedness secured thereby;</w:t>
      </w:r>
    </w:p>
    <w:p>
      <w:pPr>
        <w:spacing w:after="0" w:line="4" w:lineRule="exact"/>
        <w:rPr>
          <w:rFonts w:ascii="Arial" w:cs="Arial" w:eastAsia="Arial" w:hAnsi="Arial"/>
          <w:sz w:val="16"/>
          <w:szCs w:val="16"/>
          <w:color w:val="auto"/>
        </w:rPr>
      </w:pPr>
    </w:p>
    <w:p>
      <w:pPr>
        <w:ind w:left="460" w:right="20" w:firstLine="443"/>
        <w:spacing w:after="0" w:line="291" w:lineRule="auto"/>
        <w:tabs>
          <w:tab w:leader="none" w:pos="11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Lien on any property or asset (or proceeds therefrom) that is existing prior to the acquisition thereof by the Company or any Subsidiary or on any property or asset of any Person that becomes a Subsidiary after the Effective Date that is existing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Sections 7.2(b) (only to the extent required under Requirements of Law), 7.2(e), 7.2(g), 7.2(h), 7.2(i) and 7.2(k); and</w:t>
      </w:r>
    </w:p>
    <w:p>
      <w:pPr>
        <w:spacing w:after="0" w:line="5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not prohibited under Section 7.2 in an aggregate principal amount outstanding not to exceed $5,000,000 at any time outstanding.</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Limitation on Fundamental Changes</w:t>
      </w:r>
      <w:r>
        <w:rPr>
          <w:rFonts w:ascii="Arial" w:cs="Arial" w:eastAsia="Arial" w:hAnsi="Arial"/>
          <w:sz w:val="16"/>
          <w:szCs w:val="16"/>
          <w:color w:val="auto"/>
        </w:rPr>
        <w:t>. Consummate any merger, amalgamation, statutory share exchange or consolidation or similar transaction (collectively, to “</w:t>
      </w:r>
      <w:r>
        <w:rPr>
          <w:rFonts w:ascii="Arial" w:cs="Arial" w:eastAsia="Arial" w:hAnsi="Arial"/>
          <w:sz w:val="16"/>
          <w:szCs w:val="16"/>
          <w:u w:val="single" w:color="auto"/>
          <w:color w:val="auto"/>
        </w:rPr>
        <w:t>Merge</w:t>
      </w:r>
      <w:r>
        <w:rPr>
          <w:rFonts w:ascii="Arial" w:cs="Arial" w:eastAsia="Arial" w:hAnsi="Arial"/>
          <w:sz w:val="16"/>
          <w:szCs w:val="16"/>
          <w:color w:val="auto"/>
        </w:rPr>
        <w:t>” or a “</w:t>
      </w:r>
      <w:r>
        <w:rPr>
          <w:rFonts w:ascii="Arial" w:cs="Arial" w:eastAsia="Arial" w:hAnsi="Arial"/>
          <w:sz w:val="16"/>
          <w:szCs w:val="16"/>
          <w:u w:val="single" w:color="auto"/>
          <w:color w:val="auto"/>
        </w:rPr>
        <w:t>Merger</w:t>
      </w:r>
      <w:r>
        <w:rPr>
          <w:rFonts w:ascii="Arial" w:cs="Arial" w:eastAsia="Arial" w:hAnsi="Arial"/>
          <w:sz w:val="16"/>
          <w:szCs w:val="16"/>
          <w:color w:val="auto"/>
        </w:rPr>
        <w:t>”, as applicable) involving the Company and its Significant Subsidiaries, or a sale or other disposition of all or substantially all of the assets of Company and its Subsidiaries taken as a whole (any of the foregoing,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except that:</w:t>
      </w:r>
    </w:p>
    <w:p>
      <w:pPr>
        <w:spacing w:after="0" w:line="26" w:lineRule="exact"/>
        <w:rPr>
          <w:sz w:val="20"/>
          <w:szCs w:val="20"/>
          <w:color w:val="auto"/>
        </w:rPr>
      </w:pPr>
    </w:p>
    <w:p>
      <w:pPr>
        <w:ind w:left="460" w:right="40" w:firstLine="443"/>
        <w:spacing w:after="0" w:line="332" w:lineRule="auto"/>
        <w:tabs>
          <w:tab w:leader="none" w:pos="1137"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Subsidiary of the Company may Merge with or into the Company or enter into a Business Combination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Merge with or into, or enter into a Business Combination with, any other Subsidiary;</w:t>
      </w:r>
    </w:p>
    <w:p>
      <w:pPr>
        <w:spacing w:after="0" w:line="4" w:lineRule="exact"/>
        <w:rPr>
          <w:rFonts w:ascii="Arial" w:cs="Arial" w:eastAsia="Arial" w:hAnsi="Arial"/>
          <w:sz w:val="16"/>
          <w:szCs w:val="16"/>
          <w:color w:val="auto"/>
        </w:rPr>
      </w:pPr>
    </w:p>
    <w:p>
      <w:pPr>
        <w:ind w:left="460" w:right="20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so long as no Default exists or would result therefrom, any Merger of a Significant Subsidiary, the purpose of which is to effect an asset sale or disposition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32" w:name="page133"/>
    <w:bookmarkEnd w:id="132"/>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permitted under this Agreement and not constituting a sale or other disposition of all or substantially all of the assets of the Company and its Subsidiaries taken as a whole; and</w:t>
      </w:r>
    </w:p>
    <w:p>
      <w:pPr>
        <w:spacing w:after="0" w:line="51" w:lineRule="exact"/>
        <w:rPr>
          <w:sz w:val="20"/>
          <w:szCs w:val="20"/>
          <w:color w:val="auto"/>
        </w:rPr>
      </w:pPr>
    </w:p>
    <w:p>
      <w:pPr>
        <w:ind w:left="460" w:right="20" w:firstLine="443"/>
        <w:spacing w:after="0" w:line="294" w:lineRule="auto"/>
        <w:tabs>
          <w:tab w:leader="none" w:pos="1137"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Limitation on Optional Payments and Modifications of Subordinated Indebtedness</w:t>
      </w:r>
      <w:r>
        <w:rPr>
          <w:rFonts w:ascii="Arial" w:cs="Arial" w:eastAsia="Arial" w:hAnsi="Arial"/>
          <w:sz w:val="16"/>
          <w:szCs w:val="16"/>
          <w:color w:val="auto"/>
        </w:rPr>
        <w:t xml:space="preserve">. (a) Make any optional payment or prepayment on, or optional redemption or purchase of, any Subordinated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optional payments, prepayments, redemptions or purchases shall be permitted so long as (i) made with the proceeds of Permitted Refinancing Indebtedness with respect thereto, (ii) such payments do not exceed in the aggregate the amount then available for Restricted Payments pursuant to Section 7.8(e), or (iii) the Leverage Ratio is not greater than 3.5 to 1.0 after giving effect to such optional payment, prepayment, redemption or purchase, or (b) make any amendment, modification or change, or consent or agree to any amendment, modification or change to any of the terms relating to the payment or prepayment of principal of or interest on, any Subordinated Indebtedness (other than any such amendment, modification or change which would extend the maturity or reduce the amount of any payment of principal thereof or which would reduce the rate or extend the date for payment of interest thereon or any such amendment, modification or change which would not otherwise cause such Subordinated Indebtedness (assuming that such Indebtedness were incurred after the Effective Date) to fail to constitute Subordinated Indebtedness as defined herein). For the avoidance of doubt, the Intesa Notes can be repaid in accordance with their terms and such payments will not constitute optional payments or prepayments subject to this Section 7.6;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Senior Indebtedness incurred to make such payment or prepayment shall be subject to Section 7.2(n).</w:t>
      </w:r>
    </w:p>
    <w:p>
      <w:pPr>
        <w:spacing w:after="0" w:line="127" w:lineRule="exact"/>
        <w:rPr>
          <w:sz w:val="20"/>
          <w:szCs w:val="20"/>
          <w:color w:val="auto"/>
        </w:rPr>
      </w:pPr>
    </w:p>
    <w:p>
      <w:pPr>
        <w:ind w:right="20" w:firstLine="913"/>
        <w:spacing w:after="0" w:line="312"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Clauses Restricting Subsidiary Distributions</w:t>
      </w:r>
      <w:r>
        <w:rPr>
          <w:rFonts w:ascii="Arial" w:cs="Arial" w:eastAsia="Arial" w:hAnsi="Arial"/>
          <w:sz w:val="15"/>
          <w:szCs w:val="15"/>
          <w:color w:val="auto"/>
        </w:rPr>
        <w:t>.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 Subsidiary imposed pursuant to an agreement that has been entered into in connection with the Disposition of all or substantially all of the Capital Stock or assets of such Significant Subsidiary, (iii) restrictions and conditions with</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33" w:name="page134"/>
    <w:bookmarkEnd w:id="13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a Person that is not a Significant Subsidiary on the date hereof,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and (vi) customary provisions in leases and other contracts restricting the assignment thereof.</w:t>
      </w:r>
    </w:p>
    <w:p>
      <w:pPr>
        <w:spacing w:after="0" w:line="143" w:lineRule="exact"/>
        <w:rPr>
          <w:sz w:val="20"/>
          <w:szCs w:val="20"/>
          <w:color w:val="auto"/>
        </w:rPr>
      </w:pPr>
    </w:p>
    <w:p>
      <w:pPr>
        <w:ind w:right="240" w:firstLine="913"/>
        <w:spacing w:after="0" w:line="294"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 Company or any of its Subsidiaries, whether now or hereafter outstanding, or make any other distribution in respect thereof, either directly or indirectly, whether in cash or property or in obligations of any of the Company or any Subsidiary (collectively, “</w:t>
      </w:r>
      <w:r>
        <w:rPr>
          <w:rFonts w:ascii="Arial" w:cs="Arial" w:eastAsia="Arial" w:hAnsi="Arial"/>
          <w:sz w:val="16"/>
          <w:szCs w:val="16"/>
          <w:u w:val="single" w:color="auto"/>
          <w:color w:val="auto"/>
        </w:rPr>
        <w:t>Restricted Payments</w:t>
      </w:r>
      <w:r>
        <w:rPr>
          <w:rFonts w:ascii="Arial" w:cs="Arial" w:eastAsia="Arial" w:hAnsi="Arial"/>
          <w:sz w:val="16"/>
          <w:szCs w:val="16"/>
          <w:color w:val="auto"/>
        </w:rPr>
        <w:t>”). Notwithstanding the foregoing, the Company and each Subsidiary may make the following Restricted Payments:</w:t>
      </w:r>
    </w:p>
    <w:p>
      <w:pPr>
        <w:spacing w:after="0" w:line="35" w:lineRule="exact"/>
        <w:rPr>
          <w:sz w:val="20"/>
          <w:szCs w:val="20"/>
          <w:color w:val="auto"/>
        </w:rPr>
      </w:pPr>
    </w:p>
    <w:p>
      <w:pPr>
        <w:ind w:left="1140" w:hanging="237"/>
        <w:spacing w:after="0"/>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amounts necessary for tax distributions in accordance with Article VI of the Company’s operating agreement as in effect as of the date 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distributions made in accordance with the Company’s operating agreement, as in effect as of the date hereof, in respect of profit participation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interests;</w:t>
      </w:r>
    </w:p>
    <w:p>
      <w:pPr>
        <w:spacing w:after="0" w:line="83" w:lineRule="exact"/>
        <w:rPr>
          <w:rFonts w:ascii="Arial" w:cs="Arial" w:eastAsia="Arial" w:hAnsi="Arial"/>
          <w:sz w:val="16"/>
          <w:szCs w:val="16"/>
          <w:color w:val="auto"/>
        </w:rPr>
      </w:pPr>
    </w:p>
    <w:p>
      <w:pPr>
        <w:ind w:left="460" w:right="80" w:firstLine="443"/>
        <w:spacing w:after="0" w:line="268" w:lineRule="auto"/>
        <w:tabs>
          <w:tab w:leader="none" w:pos="1137"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Restricted Payments made by any Subsidiary of the Company to the Company or any other Subsidiary of the Company or ratably with respect to its Capital Stock;</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 rata distributions to any holders of Capital Stock in a joint venture;</w:t>
      </w:r>
    </w:p>
    <w:p>
      <w:pPr>
        <w:spacing w:after="0" w:line="90" w:lineRule="exact"/>
        <w:rPr>
          <w:rFonts w:ascii="Arial" w:cs="Arial" w:eastAsia="Arial" w:hAnsi="Arial"/>
          <w:sz w:val="18"/>
          <w:szCs w:val="18"/>
          <w:color w:val="auto"/>
        </w:rPr>
      </w:pPr>
    </w:p>
    <w:p>
      <w:pPr>
        <w:ind w:left="460" w:right="80" w:firstLine="443"/>
        <w:spacing w:after="0" w:line="291" w:lineRule="auto"/>
        <w:tabs>
          <w:tab w:leader="none" w:pos="113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Restricted Payments in an amount equal to (i) $38,000,000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 cumulative amount from and after May 10, 2005 equal to the sum of (A) so long as at the time of declaration the Working Capital of the Company is greater than zero, 40% of Consolidated Net Income as determined in accordance with the financial statements for the relevant period or periods,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proceeds received by the Company after the May 10, 2005 from the issuance of its Capital Stock and capital contributions,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principal amount of any convertible or exchangeable securities actually converted or exchanged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the aggregate amount of restricted payments made during the period from May 10, 2005, to the Effective Date pursuant to Section 7.8(e) of the Existing Credit Agreement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at any time, the aggregate amount of payments made pursuant to Section 7.6(a)(ii) hereto;</w:t>
      </w:r>
    </w:p>
    <w:p>
      <w:pPr>
        <w:spacing w:after="0" w:line="39" w:lineRule="exact"/>
        <w:rPr>
          <w:rFonts w:ascii="Arial" w:cs="Arial" w:eastAsia="Arial" w:hAnsi="Arial"/>
          <w:sz w:val="16"/>
          <w:szCs w:val="16"/>
          <w:color w:val="auto"/>
        </w:rPr>
      </w:pPr>
    </w:p>
    <w:p>
      <w:pPr>
        <w:ind w:left="460" w:right="100" w:firstLine="443"/>
        <w:spacing w:after="0" w:line="268" w:lineRule="auto"/>
        <w:tabs>
          <w:tab w:leader="none" w:pos="1117"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34" w:name="page135"/>
    <w:bookmarkEnd w:id="134"/>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no Event of Default has occurred and is continuing, payments of dividends on any preferred stock;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dividend payments to employees holding Capital Stock received upon the exercise of compensation options under a benefit plan; and</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Restricted Payments made in connection with the Lazard Asset Management Equity Plan.</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Disposition of Designated Subsidiaries</w:t>
      </w:r>
      <w:r>
        <w:rPr>
          <w:rFonts w:ascii="Arial" w:cs="Arial" w:eastAsia="Arial" w:hAnsi="Arial"/>
          <w:sz w:val="18"/>
          <w:szCs w:val="18"/>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 (b) the Capital Stock of such Designated Subsidiary entitled to vote generally in the election of directors or (c) the right to receive dividends or other distributions from such Designated Subsidiary.</w:t>
      </w:r>
    </w:p>
    <w:p>
      <w:pPr>
        <w:spacing w:after="0" w:line="22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SECTION 8. RESERVED</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SECTION 9. EVENTS OF DEFAULT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90" w:lineRule="exact"/>
        <w:rPr>
          <w:sz w:val="20"/>
          <w:szCs w:val="20"/>
          <w:color w:val="auto"/>
        </w:rPr>
      </w:pPr>
    </w:p>
    <w:p>
      <w:pPr>
        <w:ind w:left="460" w:right="20" w:firstLine="443"/>
        <w:spacing w:after="0" w:line="259"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fail to pay any principal of any Loan when any such amount becomes due in accordance with the terms hereof; or to pay any interest on any Loan, or any other amount payable hereunder, within five (5) days after such interest or other amount becomes due in accordance with the terms hereof; or</w:t>
      </w:r>
    </w:p>
    <w:p>
      <w:pPr>
        <w:spacing w:after="0" w:line="59" w:lineRule="exact"/>
        <w:rPr>
          <w:rFonts w:ascii="Arial" w:cs="Arial" w:eastAsia="Arial" w:hAnsi="Arial"/>
          <w:sz w:val="18"/>
          <w:szCs w:val="18"/>
          <w:color w:val="auto"/>
        </w:rPr>
      </w:pPr>
    </w:p>
    <w:p>
      <w:pPr>
        <w:ind w:left="460" w:right="180" w:firstLine="443"/>
        <w:spacing w:after="0" w:line="357" w:lineRule="auto"/>
        <w:tabs>
          <w:tab w:leader="none" w:pos="1147"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ind w:left="460" w:right="160" w:firstLine="443"/>
        <w:spacing w:after="0" w:line="332" w:lineRule="auto"/>
        <w:tabs>
          <w:tab w:leader="none" w:pos="1137"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w:t>
      </w:r>
    </w:p>
    <w:p>
      <w:pPr>
        <w:spacing w:after="0" w:line="4" w:lineRule="exact"/>
        <w:rPr>
          <w:rFonts w:ascii="Arial" w:cs="Arial" w:eastAsia="Arial" w:hAnsi="Arial"/>
          <w:sz w:val="16"/>
          <w:szCs w:val="16"/>
          <w:color w:val="auto"/>
        </w:rPr>
      </w:pPr>
    </w:p>
    <w:p>
      <w:pPr>
        <w:ind w:left="460" w:right="300" w:firstLine="443"/>
        <w:spacing w:after="0" w:line="357" w:lineRule="auto"/>
        <w:tabs>
          <w:tab w:leader="none" w:pos="1147"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ind w:left="460" w:right="360" w:firstLine="443"/>
        <w:spacing w:after="0" w:line="268" w:lineRule="auto"/>
        <w:tabs>
          <w:tab w:leader="none" w:pos="113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 any other agreement contained in this Agreement (other than as provided in paragraphs (a) through</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280" w:right="319" w:bottom="1440" w:gutter="0" w:footer="0" w:header="0"/>
        </w:sectPr>
      </w:pPr>
    </w:p>
    <w:bookmarkStart w:id="135" w:name="page136"/>
    <w:bookmarkEnd w:id="135"/>
    <w:p>
      <w:pPr>
        <w:ind w:right="620" w:firstLine="4"/>
        <w:spacing w:after="0" w:line="268"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Section), and such default shall continue unremedied for a period of 30 days following notice thereof by the Administrative Agent to the Company; or</w:t>
      </w:r>
    </w:p>
    <w:p>
      <w:pPr>
        <w:spacing w:after="0" w:line="50" w:lineRule="exact"/>
        <w:rPr>
          <w:rFonts w:ascii="Arial" w:cs="Arial" w:eastAsia="Arial" w:hAnsi="Arial"/>
          <w:sz w:val="18"/>
          <w:szCs w:val="18"/>
          <w:color w:val="auto"/>
        </w:rPr>
      </w:pPr>
    </w:p>
    <w:p>
      <w:pPr>
        <w:ind w:right="40" w:firstLine="443"/>
        <w:spacing w:after="0" w:line="290" w:lineRule="auto"/>
        <w:tabs>
          <w:tab w:leader="none" w:pos="657"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Company or any of its Significant Subsidiaries shall (i) default in any payment of principal of or interest on any Indebtedness (other than the Loans) in excess of $10,000,000 (or in the case of the Company, $25,000,000)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$10,000,000 (or in the case of the Company, $25,000,000) to become due prior to its stated maturity; or</w:t>
      </w:r>
    </w:p>
    <w:p>
      <w:pPr>
        <w:spacing w:after="0" w:line="37" w:lineRule="exact"/>
        <w:rPr>
          <w:rFonts w:ascii="Arial" w:cs="Arial" w:eastAsia="Arial" w:hAnsi="Arial"/>
          <w:sz w:val="16"/>
          <w:szCs w:val="16"/>
          <w:color w:val="auto"/>
        </w:rPr>
      </w:pPr>
    </w:p>
    <w:p>
      <w:pPr>
        <w:ind w:firstLine="443"/>
        <w:spacing w:after="0" w:line="284" w:lineRule="auto"/>
        <w:tabs>
          <w:tab w:leader="none" w:pos="687" w:val="left"/>
        </w:tabs>
        <w:numPr>
          <w:ilvl w:val="1"/>
          <w:numId w:val="90"/>
        </w:numPr>
        <w:rPr>
          <w:rFonts w:ascii="Arial" w:cs="Arial" w:eastAsia="Arial" w:hAnsi="Arial"/>
          <w:sz w:val="16"/>
          <w:szCs w:val="16"/>
          <w:color w:val="auto"/>
        </w:rPr>
      </w:pPr>
      <w:r>
        <w:rPr>
          <w:rFonts w:ascii="Arial" w:cs="Arial" w:eastAsia="Arial" w:hAnsi="Arial"/>
          <w:sz w:val="16"/>
          <w:szCs w:val="16"/>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 arise on the assets of the Company or any of its Significant Subsidiaries or any Commonly Controlled Entity;</w:t>
      </w:r>
    </w:p>
    <w:p>
      <w:pPr>
        <w:spacing w:after="0" w:line="1" w:lineRule="exact"/>
        <w:rPr>
          <w:rFonts w:ascii="Arial" w:cs="Arial" w:eastAsia="Arial" w:hAnsi="Arial"/>
          <w:sz w:val="16"/>
          <w:szCs w:val="16"/>
          <w:color w:val="auto"/>
        </w:rPr>
      </w:pPr>
    </w:p>
    <w:p>
      <w:pPr>
        <w:ind w:firstLine="4"/>
        <w:spacing w:after="0" w:line="281" w:lineRule="auto"/>
        <w:tabs>
          <w:tab w:leader="none" w:pos="307"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 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w:t>
      </w:r>
    </w:p>
    <w:p>
      <w:pPr>
        <w:spacing w:after="0" w:line="4" w:lineRule="exact"/>
        <w:rPr>
          <w:rFonts w:ascii="Arial" w:cs="Arial" w:eastAsia="Arial" w:hAnsi="Arial"/>
          <w:sz w:val="16"/>
          <w:szCs w:val="16"/>
          <w:color w:val="auto"/>
        </w:rPr>
      </w:pPr>
    </w:p>
    <w:p>
      <w:pPr>
        <w:ind w:right="20"/>
        <w:spacing w:after="0" w:line="288" w:lineRule="auto"/>
        <w:rPr>
          <w:rFonts w:ascii="Arial" w:cs="Arial" w:eastAsia="Arial" w:hAnsi="Arial"/>
          <w:sz w:val="16"/>
          <w:szCs w:val="16"/>
          <w:color w:val="auto"/>
        </w:rPr>
      </w:pPr>
      <w:r>
        <w:rPr>
          <w:rFonts w:ascii="Arial" w:cs="Arial" w:eastAsia="Arial" w:hAnsi="Arial"/>
          <w:sz w:val="16"/>
          <w:szCs w:val="16"/>
          <w:color w:val="auto"/>
        </w:rPr>
        <w:t>(vii) the Company, any of its Significant Subsidiaries or any Commonly Controlled Entity shall, or shall be reasonably likely to, incur any liability in connection with a withdrawal from, or the Insolvency or Reorganization of, a Multiemployer Plan or there shall be a determination that any Multiemployer Plan is, or is expected to be, in “endangered” or “critical” status (within the meaning of Section 432 of the Code or Section 305 of ERISA); (viii) with respect to any Foreign Plan, there shall occur (A) 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700" w:top="280" w:right="259" w:bottom="1440" w:gutter="0" w:footer="0" w:header="0"/>
        </w:sectPr>
      </w:pPr>
    </w:p>
    <w:bookmarkStart w:id="136" w:name="page137"/>
    <w:bookmarkEnd w:id="136"/>
    <w:p>
      <w:pPr>
        <w:jc w:val="both"/>
        <w:ind w:righ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occur or exist with respect to a Plan; and in each case in clauses (i) through (ix) 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59" w:lineRule="exact"/>
        <w:rPr>
          <w:sz w:val="20"/>
          <w:szCs w:val="20"/>
          <w:color w:val="auto"/>
        </w:rPr>
      </w:pPr>
    </w:p>
    <w:p>
      <w:pPr>
        <w:ind w:right="160" w:firstLine="443"/>
        <w:spacing w:after="0" w:line="306" w:lineRule="auto"/>
        <w:tabs>
          <w:tab w:leader="none" w:pos="687" w:val="left"/>
        </w:tabs>
        <w:numPr>
          <w:ilvl w:val="1"/>
          <w:numId w:val="92"/>
        </w:numPr>
        <w:rPr>
          <w:rFonts w:ascii="Arial" w:cs="Arial" w:eastAsia="Arial" w:hAnsi="Arial"/>
          <w:sz w:val="16"/>
          <w:szCs w:val="16"/>
          <w:color w:val="auto"/>
        </w:rPr>
      </w:pPr>
      <w:r>
        <w:rPr>
          <w:rFonts w:ascii="Arial" w:cs="Arial" w:eastAsia="Arial" w:hAnsi="Arial"/>
          <w:sz w:val="16"/>
          <w:szCs w:val="16"/>
          <w:color w:val="auto"/>
        </w:rPr>
        <w:t>One or more judgments or decrees shall be entered against the Company or any of its Significant Subsidiaries involving in the aggregate a liability (not paid or to the extent not covered by insurance) of $10,000,000 (or in the case of the Company, $25,000,000) or more and all such judgments or decrees shall not have been vacated, discharged, stayed or bonded pending appeal within 60 days from the entry thereof; or</w:t>
      </w:r>
    </w:p>
    <w:p>
      <w:pPr>
        <w:spacing w:after="0" w:line="25" w:lineRule="exact"/>
        <w:rPr>
          <w:rFonts w:ascii="Arial" w:cs="Arial" w:eastAsia="Arial" w:hAnsi="Arial"/>
          <w:sz w:val="16"/>
          <w:szCs w:val="16"/>
          <w:color w:val="auto"/>
        </w:rPr>
      </w:pPr>
    </w:p>
    <w:p>
      <w:pPr>
        <w:ind w:firstLine="443"/>
        <w:spacing w:after="0" w:line="283" w:lineRule="auto"/>
        <w:tabs>
          <w:tab w:leader="none" w:pos="648" w:val="left"/>
        </w:tabs>
        <w:numPr>
          <w:ilvl w:val="1"/>
          <w:numId w:val="92"/>
        </w:numPr>
        <w:rPr>
          <w:rFonts w:ascii="Arial" w:cs="Arial" w:eastAsia="Arial" w:hAnsi="Arial"/>
          <w:sz w:val="16"/>
          <w:szCs w:val="16"/>
          <w:color w:val="auto"/>
        </w:rPr>
      </w:pPr>
      <w:r>
        <w:rPr>
          <w:rFonts w:ascii="Arial" w:cs="Arial" w:eastAsia="Arial" w:hAnsi="Arial"/>
          <w:sz w:val="16"/>
          <w:szCs w:val="16"/>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w:t>
      </w:r>
    </w:p>
    <w:p>
      <w:pPr>
        <w:spacing w:after="0" w:line="2" w:lineRule="exact"/>
        <w:rPr>
          <w:rFonts w:ascii="Arial" w:cs="Arial" w:eastAsia="Arial" w:hAnsi="Arial"/>
          <w:sz w:val="16"/>
          <w:szCs w:val="16"/>
          <w:color w:val="auto"/>
        </w:rPr>
      </w:pPr>
    </w:p>
    <w:p>
      <w:pPr>
        <w:ind w:firstLine="4"/>
        <w:spacing w:after="0" w:line="287" w:lineRule="auto"/>
        <w:tabs>
          <w:tab w:leader="none" w:pos="259"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there shall be commenced against the Company or any of its Significant Subsidiaries any case, proceeding or other action of a nature referred to in clause (i) above that (A) results in the entry of an order for relief or any such adjudication or appointment or (B) 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43" w:lineRule="exact"/>
        <w:rPr>
          <w:rFonts w:ascii="Arial" w:cs="Arial" w:eastAsia="Arial" w:hAnsi="Arial"/>
          <w:sz w:val="16"/>
          <w:szCs w:val="16"/>
          <w:color w:val="auto"/>
        </w:rPr>
      </w:pPr>
    </w:p>
    <w:p>
      <w:pPr>
        <w:ind w:left="660" w:hanging="217"/>
        <w:spacing w:after="0"/>
        <w:tabs>
          <w:tab w:leader="none" w:pos="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9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w:t>
      </w:r>
    </w:p>
    <w:p>
      <w:pPr>
        <w:spacing w:after="0" w:line="2" w:lineRule="exact"/>
        <w:rPr>
          <w:sz w:val="20"/>
          <w:szCs w:val="20"/>
          <w:color w:val="auto"/>
        </w:rPr>
      </w:pPr>
    </w:p>
    <w:p>
      <w:pPr>
        <w:ind w:left="5160" w:right="4680" w:hanging="5156"/>
        <w:spacing w:after="0" w:line="433" w:lineRule="auto"/>
        <w:tabs>
          <w:tab w:leader="none" w:pos="257" w:val="left"/>
        </w:tabs>
        <w:numPr>
          <w:ilvl w:val="0"/>
          <w:numId w:val="94"/>
        </w:numPr>
        <w:rPr>
          <w:rFonts w:ascii="Arial" w:cs="Arial" w:eastAsia="Arial" w:hAnsi="Arial"/>
          <w:sz w:val="18"/>
          <w:szCs w:val="18"/>
          <w:color w:val="auto"/>
        </w:rPr>
      </w:pPr>
      <w:r>
        <w:rPr>
          <w:rFonts w:ascii="Arial" w:cs="Arial" w:eastAsia="Arial" w:hAnsi="Arial"/>
          <w:sz w:val="18"/>
          <w:szCs w:val="18"/>
          <w:color w:val="auto"/>
        </w:rPr>
        <w:t>with the consent of the Required Lenders, the Administrative Agent may, or upon the 50</w:t>
      </w:r>
    </w:p>
    <w:p>
      <w:pPr>
        <w:sectPr>
          <w:pgSz w:w="11900" w:h="16838" w:orient="portrait"/>
          <w:cols w:equalWidth="0" w:num="1">
            <w:col w:w="10940"/>
          </w:cols>
          <w:pgMar w:left="700" w:top="280" w:right="259" w:bottom="1440" w:gutter="0" w:footer="0" w:header="0"/>
        </w:sectPr>
      </w:pPr>
    </w:p>
    <w:bookmarkStart w:id="137" w:name="page138"/>
    <w:bookmarkEnd w:id="137"/>
    <w:p>
      <w:pPr>
        <w:ind w:left="460"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11. THE ADMINISTRATIVE AGENT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Appointment</w:t>
      </w:r>
      <w:r>
        <w:rPr>
          <w:rFonts w:ascii="Arial" w:cs="Arial" w:eastAsia="Arial" w:hAnsi="Arial"/>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 Banks, and no implied covenants, function, responsibilities, duties, obligations or liabilities shall be read into this Agreement or otherwise exist against the Administrative Agent.</w:t>
      </w:r>
    </w:p>
    <w:p>
      <w:pPr>
        <w:spacing w:after="0" w:line="12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14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(except for its or such Person’s own gross negligence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w:t>
      </w:r>
    </w:p>
    <w:p>
      <w:pPr>
        <w:spacing w:after="0" w:line="11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Reliance by Agent</w:t>
      </w:r>
      <w:r>
        <w:rPr>
          <w:rFonts w:ascii="Arial" w:cs="Arial" w:eastAsia="Arial" w:hAnsi="Arial"/>
          <w:sz w:val="18"/>
          <w:szCs w:val="18"/>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38" w:name="page139"/>
    <w:bookmarkEnd w:id="138"/>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118"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 Agent receives such a notice, the Administrative Agent shall give notice thereof to the Banks. The Administrative Agent shall take such action with respect to such Default or Event of Default as shall be reasonably directed by the Banks jointly;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118" w:lineRule="exact"/>
        <w:rPr>
          <w:sz w:val="20"/>
          <w:szCs w:val="20"/>
          <w:color w:val="auto"/>
        </w:rPr>
      </w:pPr>
    </w:p>
    <w:p>
      <w:pPr>
        <w:ind w:firstLine="913"/>
        <w:spacing w:after="0" w:line="307" w:lineRule="auto"/>
        <w:rPr>
          <w:sz w:val="20"/>
          <w:szCs w:val="20"/>
          <w:color w:val="auto"/>
        </w:rPr>
      </w:pPr>
      <w:r>
        <w:rPr>
          <w:rFonts w:ascii="Arial" w:cs="Arial" w:eastAsia="Arial" w:hAnsi="Arial"/>
          <w:sz w:val="15"/>
          <w:szCs w:val="15"/>
          <w:color w:val="auto"/>
        </w:rPr>
        <w:t xml:space="preserve">11.6 </w:t>
      </w:r>
      <w:r>
        <w:rPr>
          <w:rFonts w:ascii="Arial" w:cs="Arial" w:eastAsia="Arial" w:hAnsi="Arial"/>
          <w:sz w:val="15"/>
          <w:szCs w:val="15"/>
          <w:u w:val="single" w:color="auto"/>
          <w:color w:val="auto"/>
        </w:rPr>
        <w:t>Non-Reliance on Administrative Agent</w:t>
      </w:r>
      <w:r>
        <w:rPr>
          <w:rFonts w:ascii="Arial" w:cs="Arial" w:eastAsia="Arial" w:hAnsi="Arial"/>
          <w:sz w:val="15"/>
          <w:szCs w:val="15"/>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39" w:name="page140"/>
    <w:bookmarkEnd w:id="13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creditworthiness of the Company which may come into the possession of the Administrative Agent or any of its officers, directors, employees, agents, attorneys-in-fact or Affiliates.</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2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11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Successor Agent</w:t>
      </w:r>
      <w:r>
        <w:rPr>
          <w:rFonts w:ascii="Arial" w:cs="Arial" w:eastAsia="Arial" w:hAnsi="Arial"/>
          <w:sz w:val="16"/>
          <w:szCs w:val="16"/>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 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SECTION 12. MISCELLANEOUS</w:t>
      </w:r>
    </w:p>
    <w:p>
      <w:pPr>
        <w:spacing w:after="0" w:line="171" w:lineRule="exact"/>
        <w:rPr>
          <w:sz w:val="20"/>
          <w:szCs w:val="20"/>
          <w:color w:val="auto"/>
        </w:rPr>
      </w:pPr>
    </w:p>
    <w:p>
      <w:pPr>
        <w:ind w:right="340" w:firstLine="913"/>
        <w:spacing w:after="0" w:line="335"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Amendments and Waivers</w:t>
      </w:r>
      <w:r>
        <w:rPr>
          <w:rFonts w:ascii="Arial" w:cs="Arial" w:eastAsia="Arial" w:hAnsi="Arial"/>
          <w:sz w:val="15"/>
          <w:szCs w:val="15"/>
          <w:color w:val="auto"/>
        </w:rPr>
        <w:t>.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80" w:right="299" w:bottom="1440" w:gutter="0" w:footer="0" w:header="0"/>
        </w:sectPr>
      </w:pPr>
    </w:p>
    <w:bookmarkStart w:id="140" w:name="page141"/>
    <w:bookmarkEnd w:id="140"/>
    <w:p>
      <w:pPr>
        <w:ind w:right="1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 Default or Event of Default and its consequences;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waiver and no such amendment, supplement or modification shall</w:t>
      </w:r>
    </w:p>
    <w:p>
      <w:pPr>
        <w:spacing w:after="0" w:line="1" w:lineRule="exact"/>
        <w:rPr>
          <w:sz w:val="20"/>
          <w:szCs w:val="20"/>
          <w:color w:val="auto"/>
        </w:rPr>
      </w:pPr>
    </w:p>
    <w:p>
      <w:pPr>
        <w:ind w:firstLine="8"/>
        <w:spacing w:after="0" w:line="286" w:lineRule="auto"/>
        <w:tabs>
          <w:tab w:leader="none" w:pos="210" w:val="left"/>
        </w:tabs>
        <w:numPr>
          <w:ilvl w:val="0"/>
          <w:numId w:val="95"/>
        </w:numPr>
        <w:rPr>
          <w:rFonts w:ascii="Arial" w:cs="Arial" w:eastAsia="Arial" w:hAnsi="Arial"/>
          <w:sz w:val="16"/>
          <w:szCs w:val="16"/>
          <w:color w:val="auto"/>
        </w:rPr>
      </w:pPr>
      <w:r>
        <w:rPr>
          <w:rFonts w:ascii="Arial" w:cs="Arial" w:eastAsia="Arial" w:hAnsi="Arial"/>
          <w:sz w:val="16"/>
          <w:szCs w:val="16"/>
          <w:color w:val="auto"/>
        </w:rPr>
        <w:t>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121"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 All notices, requests and demands to or upon the respective parties hereto to be effective shall be in writing (including by facsimile), and, unless otherwise expressly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Global Controller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richard.hittner@lazard.com</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Lazard Group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Global Treasurer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41" w:name="page142"/>
    <w:bookmarkEnd w:id="14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Facsimile: (212) 632-6670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robert.starr@lazard.com</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Administrative Agent: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1615 Brett Road, OPS 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Robert Ross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(212) 994-0961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(302) 323-5499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Address: Robert.Ross@citigroup.com</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Copy to: GLAgentOfficeOps@citi.com</w:t>
      </w:r>
    </w:p>
    <w:p>
      <w:pPr>
        <w:spacing w:after="0" w:line="205" w:lineRule="exact"/>
        <w:rPr>
          <w:sz w:val="20"/>
          <w:szCs w:val="20"/>
          <w:color w:val="auto"/>
        </w:rPr>
      </w:pPr>
    </w:p>
    <w:p>
      <w:pPr>
        <w:ind w:left="1040" w:right="140" w:hanging="1039"/>
        <w:spacing w:after="0" w:line="259" w:lineRule="auto"/>
        <w:tabs>
          <w:tab w:leader="none" w:pos="1020" w:val="left"/>
        </w:tabs>
        <w:rPr>
          <w:sz w:val="20"/>
          <w:szCs w:val="20"/>
          <w:color w:val="auto"/>
        </w:rPr>
      </w:pPr>
      <w:r>
        <w:rPr>
          <w:rFonts w:ascii="Arial" w:cs="Arial" w:eastAsia="Arial" w:hAnsi="Arial"/>
          <w:sz w:val="18"/>
          <w:szCs w:val="18"/>
          <w:color w:val="auto"/>
        </w:rPr>
        <w:t>The Banks:</w:t>
        <w:tab/>
        <w:t>address, facsimile number, electronic mail address or telephone number specified in the Bank’s Administrative Questionnaire, a form supplied by the Administrative Agent, or to such other address, facsimile number, electronic mail address or telephone number as shall be designated by the Bank in a notice to the Administrative Agent</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any Bank pursuant to Sections 2.6, 2.7, 2.8 and 2.9 shall not be effective until received.</w:t>
      </w:r>
    </w:p>
    <w:p>
      <w:pPr>
        <w:spacing w:after="0" w:line="132" w:lineRule="exact"/>
        <w:rPr>
          <w:sz w:val="20"/>
          <w:szCs w:val="20"/>
          <w:color w:val="auto"/>
        </w:rPr>
      </w:pPr>
    </w:p>
    <w:p>
      <w:pPr>
        <w:ind w:firstLine="921"/>
        <w:spacing w:after="0" w:line="288" w:lineRule="auto"/>
        <w:tabs>
          <w:tab w:leader="none" w:pos="1162"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 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119" w:lineRule="exact"/>
        <w:rPr>
          <w:rFonts w:ascii="Arial" w:cs="Arial" w:eastAsia="Arial" w:hAnsi="Arial"/>
          <w:sz w:val="16"/>
          <w:szCs w:val="16"/>
          <w:color w:val="auto"/>
        </w:rPr>
      </w:pPr>
    </w:p>
    <w:p>
      <w:pPr>
        <w:ind w:right="1180" w:firstLine="921"/>
        <w:spacing w:after="0" w:line="268" w:lineRule="auto"/>
        <w:tabs>
          <w:tab w:leader="none" w:pos="1152"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further agrees that the Administrative Agent may make the Communications available to the Banks by posting the Communications on Debt Domain or a substantially similar electronic transmission systems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Administrative Agent agrees that the receipt of the Communications by the Administrative Agent at its e-mail address set forth in paragraph</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of this Section shall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42" w:name="page143"/>
    <w:bookmarkEnd w:id="142"/>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143" w:lineRule="exact"/>
        <w:rPr>
          <w:sz w:val="20"/>
          <w:szCs w:val="20"/>
          <w:color w:val="auto"/>
        </w:rPr>
      </w:pPr>
    </w:p>
    <w:p>
      <w:pPr>
        <w:ind w:right="420" w:firstLine="921"/>
        <w:spacing w:after="0" w:line="268" w:lineRule="auto"/>
        <w:tabs>
          <w:tab w:leader="none" w:pos="11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any Credit Document in any other manner specified in such Credit Document.</w:t>
      </w:r>
    </w:p>
    <w:p>
      <w:pPr>
        <w:spacing w:after="0" w:line="132"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14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8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Payment of Expenses and Taxes</w:t>
      </w:r>
      <w:r>
        <w:rPr>
          <w:rFonts w:ascii="Arial" w:cs="Arial" w:eastAsia="Arial" w:hAnsi="Arial"/>
          <w:sz w:val="16"/>
          <w:szCs w:val="16"/>
          <w:color w:val="auto"/>
        </w:rPr>
        <w:t>. The Company agrees (a) to pay or reimburse the Administrative Agent and the Lead Arranger for all its reasonable out-of-pocket costs and expenses incurred in connection with the preparation and execution, and any amendments or modifications or waivers of the provisions of this Agreement and any other documents prepared in connection therewith, and the consummation and administration of the transactions contemplated hereby and thereby, including the reasonable fees and disbursements of one counsel (and, if necessary, one local counsel per jurisdiction) to the Administrative Agent and filing and recording fees and expenses, with statements with respect to the foregoing to be submitted to the Company prior to the Effective Date (in the case of amounts to be paid on the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143" w:name="page144"/>
    <w:bookmarkEnd w:id="14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and any such other documents, and (d) to pay, indemnify, and hold each Bank and the Administrative Agent and their respective officers, directors, employees, affiliates, agents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 actions, judgments, suits, costs, expenses or disbursements of any kind or nature whatsoever with respect to the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 Indemnified Liabilities to the extent such Indemnified Liabilities are found by a court of competent jurisdiction to have resulted from the gross negligence or willful misconduct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Banks shall not disclose any information that the Company or any of its Subsidiaries furnishes to the Banks, other than</w:t>
      </w:r>
    </w:p>
    <w:p>
      <w:pPr>
        <w:spacing w:after="0" w:line="38" w:lineRule="exact"/>
        <w:rPr>
          <w:sz w:val="20"/>
          <w:szCs w:val="20"/>
          <w:color w:val="auto"/>
        </w:rPr>
      </w:pPr>
    </w:p>
    <w:p>
      <w:pPr>
        <w:ind w:right="540" w:firstLine="8"/>
        <w:spacing w:after="0" w:line="323" w:lineRule="auto"/>
        <w:tabs>
          <w:tab w:leader="none" w:pos="239" w:val="left"/>
        </w:tabs>
        <w:numPr>
          <w:ilvl w:val="0"/>
          <w:numId w:val="99"/>
        </w:numPr>
        <w:rPr>
          <w:rFonts w:ascii="Arial" w:cs="Arial" w:eastAsia="Arial" w:hAnsi="Arial"/>
          <w:sz w:val="16"/>
          <w:szCs w:val="16"/>
          <w:color w:val="auto"/>
        </w:rPr>
      </w:pPr>
      <w:r>
        <w:rPr>
          <w:rFonts w:ascii="Arial" w:cs="Arial" w:eastAsia="Arial" w:hAnsi="Arial"/>
          <w:sz w:val="16"/>
          <w:szCs w:val="16"/>
          <w:color w:val="auto"/>
        </w:rPr>
        <w:t>as required by any law, rule or regulation or judicial process, (b) as requested by any state, federal or foreign authority or examiner regulating banks or banking, (c) to actual or proposed (with the consent of the Company) assignees, transferees and participants and (d) to its advisors and attorneys.</w:t>
      </w:r>
    </w:p>
    <w:p>
      <w:pPr>
        <w:spacing w:after="0" w:line="9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Administrative Agent’s and each Bank’s Affiliates and their respective directors, officers, employees, agents and advisors) any legal or equitable right, remedy or claim under or by reason of this Agreement.</w:t>
      </w:r>
    </w:p>
    <w:p>
      <w:pPr>
        <w:spacing w:after="0" w:line="118" w:lineRule="exact"/>
        <w:rPr>
          <w:sz w:val="20"/>
          <w:szCs w:val="20"/>
          <w:color w:val="auto"/>
        </w:rPr>
      </w:pPr>
    </w:p>
    <w:p>
      <w:pPr>
        <w:ind w:right="300" w:firstLine="921"/>
        <w:spacing w:after="0" w:line="259" w:lineRule="auto"/>
        <w:tabs>
          <w:tab w:leader="none" w:pos="11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Bank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280" w:right="299" w:bottom="1440" w:gutter="0" w:footer="0" w:header="0"/>
        </w:sectPr>
      </w:pPr>
    </w:p>
    <w:bookmarkStart w:id="144" w:name="page145"/>
    <w:bookmarkEnd w:id="144"/>
    <w:p>
      <w:pPr>
        <w:ind w:left="460" w:right="120" w:firstLine="443"/>
        <w:spacing w:after="0" w:line="259" w:lineRule="auto"/>
        <w:tabs>
          <w:tab w:leader="none" w:pos="1186"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(such consent not to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Company shall be required (x) for an assignment to a Bank, an affiliate of a Bank, or an Approved Fund (as defined below) or (y) if an Event of Default under Sections 9(a) or (i) has occurred;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7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Loan to a Bank, an affiliate of a Bank or an Approved Fund.</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90" w:lineRule="exact"/>
        <w:rPr>
          <w:sz w:val="20"/>
          <w:szCs w:val="20"/>
          <w:color w:val="auto"/>
        </w:rPr>
      </w:pPr>
    </w:p>
    <w:p>
      <w:pPr>
        <w:ind w:left="460" w:firstLine="443"/>
        <w:spacing w:after="0" w:line="255" w:lineRule="auto"/>
        <w:tabs>
          <w:tab w:leader="none" w:pos="118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Bank, an affiliate of a Bank or an Approved Fund or an assignment of the entire remaining amount of the assigning Bank Commitments or Loans hereunder, the 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aggregated in respect of each Bank and its affiliates or Approved Funds, if any;</w:t>
      </w:r>
    </w:p>
    <w:p>
      <w:pPr>
        <w:spacing w:after="0" w:line="61" w:lineRule="exact"/>
        <w:rPr>
          <w:rFonts w:ascii="Arial" w:cs="Arial" w:eastAsia="Arial" w:hAnsi="Arial"/>
          <w:sz w:val="18"/>
          <w:szCs w:val="18"/>
          <w:color w:val="auto"/>
        </w:rPr>
      </w:pPr>
    </w:p>
    <w:p>
      <w:pPr>
        <w:ind w:left="460" w:right="120" w:firstLine="443"/>
        <w:spacing w:after="0" w:line="268" w:lineRule="auto"/>
        <w:tabs>
          <w:tab w:leader="none" w:pos="117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 and</w:t>
      </w:r>
    </w:p>
    <w:p>
      <w:pPr>
        <w:spacing w:after="0" w:line="50" w:lineRule="exact"/>
        <w:rPr>
          <w:rFonts w:ascii="Arial" w:cs="Arial" w:eastAsia="Arial" w:hAnsi="Arial"/>
          <w:sz w:val="18"/>
          <w:szCs w:val="18"/>
          <w:color w:val="auto"/>
        </w:rPr>
      </w:pPr>
    </w:p>
    <w:p>
      <w:pPr>
        <w:ind w:left="1180" w:hanging="277"/>
        <w:spacing w:after="0"/>
        <w:tabs>
          <w:tab w:leader="none" w:pos="1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Assignee, if it shall not be a Bank, shall deliver to the Administrative Agent an administrative questionnaire.</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For the purposes of this Section 12.7, “</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40" w:lineRule="exact"/>
        <w:rPr>
          <w:sz w:val="20"/>
          <w:szCs w:val="20"/>
          <w:color w:val="auto"/>
        </w:rPr>
      </w:pPr>
    </w:p>
    <w:p>
      <w:pPr>
        <w:ind w:right="40" w:firstLine="921"/>
        <w:spacing w:after="0" w:line="290" w:lineRule="auto"/>
        <w:tabs>
          <w:tab w:leader="none" w:pos="12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145" w:name="page146"/>
    <w:bookmarkEnd w:id="145"/>
    <w:p>
      <w:pPr>
        <w:ind w:firstLine="921"/>
        <w:spacing w:after="0" w:line="291" w:lineRule="auto"/>
        <w:tabs>
          <w:tab w:leader="none" w:pos="1210"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Banks, and the Commitments of, and principal amount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120" w:lineRule="exact"/>
        <w:rPr>
          <w:rFonts w:ascii="Arial" w:cs="Arial" w:eastAsia="Arial" w:hAnsi="Arial"/>
          <w:sz w:val="16"/>
          <w:szCs w:val="16"/>
          <w:color w:val="auto"/>
        </w:rPr>
      </w:pPr>
    </w:p>
    <w:p>
      <w:pPr>
        <w:ind w:right="320" w:firstLine="921"/>
        <w:spacing w:after="0" w:line="294" w:lineRule="auto"/>
        <w:tabs>
          <w:tab w:leader="none" w:pos="116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16" w:lineRule="exact"/>
        <w:rPr>
          <w:sz w:val="20"/>
          <w:szCs w:val="20"/>
          <w:color w:val="auto"/>
        </w:rPr>
      </w:pPr>
    </w:p>
    <w:p>
      <w:pPr>
        <w:ind w:right="60" w:firstLine="921"/>
        <w:spacing w:after="0" w:line="285" w:lineRule="auto"/>
        <w:tabs>
          <w:tab w:leader="none" w:pos="11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Any Bank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Bank’s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Bank’s obligations under this Agreement shall remain unchanged, (B) such Bank shall remain solely responsible to the other parties hereto for the performance of such obligations and (C) the Company, the Administrative Agent and the other Banks shall continue to deal solely and directly with such Bank in connection with such Bank’s rights and obligations under this Agreement. Any agreement pursuant to which a Bank sells such a participation shall provide that such Bank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Bank will not, without the consent of the Participant, agree to any amendment, modification or waiver that (1) requires the consent of each Bank directly affected thereby pursuant to the proviso to the second sentence of Section 12.1 and (2) directly affects such Participant. Subject to paragraph (c)(ii) of this Section, the Company agrees that each Participant shall be entitled to the benefits of Sections 2.12, 2.16 and 2.17 to the same extent as if it were a Bank and had acquired its interest by assignment pursuant to paragraph (b) of this Section. To the extent permitted by law, each Participant also shall be entitled to the benefits of Section 12.8(b) as though it were a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shall be subject to Section 12.8(a) as though it were a Bank. Each Bank that sells a participation, acting solely for this purpose as an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The entries in the Participant Register shall be conclusive, and such Bank and the Administrative Agent shall treat each person whose name is recorded in the Participant Register pursuant to the terms hereof as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owner of such participation for all purposes of this Agreement, notwithstanding notice to the contrary.</w:t>
      </w:r>
    </w:p>
    <w:p>
      <w:pPr>
        <w:spacing w:after="0" w:line="171" w:lineRule="exact"/>
        <w:rPr>
          <w:sz w:val="20"/>
          <w:szCs w:val="20"/>
          <w:color w:val="auto"/>
        </w:rPr>
      </w:pPr>
    </w:p>
    <w:p>
      <w:pPr>
        <w:ind w:firstLine="921"/>
        <w:spacing w:after="0" w:line="306" w:lineRule="auto"/>
        <w:tabs>
          <w:tab w:leader="none" w:pos="117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107" w:lineRule="exact"/>
        <w:rPr>
          <w:sz w:val="20"/>
          <w:szCs w:val="20"/>
          <w:color w:val="auto"/>
        </w:rPr>
      </w:pPr>
    </w:p>
    <w:p>
      <w:pPr>
        <w:ind w:firstLine="921"/>
        <w:spacing w:after="0" w:line="256" w:lineRule="auto"/>
        <w:tabs>
          <w:tab w:leader="none" w:pos="115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143" w:lineRule="exact"/>
        <w:rPr>
          <w:rFonts w:ascii="Arial" w:cs="Arial" w:eastAsia="Arial" w:hAnsi="Arial"/>
          <w:sz w:val="18"/>
          <w:szCs w:val="18"/>
          <w:color w:val="auto"/>
        </w:rPr>
      </w:pPr>
    </w:p>
    <w:p>
      <w:pPr>
        <w:ind w:right="120" w:firstLine="921"/>
        <w:spacing w:after="0" w:line="268" w:lineRule="auto"/>
        <w:tabs>
          <w:tab w:leader="none" w:pos="115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upon receipt of written notice from the relevant Bank, agrees to issue Notes to any Bank requiring Notes to facilitate transactions of the type described in paragraph (d) above.</w:t>
      </w:r>
    </w:p>
    <w:p>
      <w:pPr>
        <w:spacing w:after="0" w:line="131" w:lineRule="exact"/>
        <w:rPr>
          <w:rFonts w:ascii="Arial" w:cs="Arial" w:eastAsia="Arial" w:hAnsi="Arial"/>
          <w:sz w:val="18"/>
          <w:szCs w:val="18"/>
          <w:color w:val="auto"/>
        </w:rPr>
      </w:pPr>
    </w:p>
    <w:p>
      <w:pPr>
        <w:ind w:firstLine="921"/>
        <w:spacing w:after="0" w:line="301" w:lineRule="auto"/>
        <w:tabs>
          <w:tab w:leader="none" w:pos="1132" w:val="left"/>
        </w:tabs>
        <w:numPr>
          <w:ilvl w:val="1"/>
          <w:numId w:val="107"/>
        </w:numPr>
        <w:rPr>
          <w:rFonts w:ascii="Arial" w:cs="Arial" w:eastAsia="Arial" w:hAnsi="Arial"/>
          <w:sz w:val="15"/>
          <w:szCs w:val="15"/>
          <w:color w:val="auto"/>
        </w:rPr>
      </w:pPr>
      <w:r>
        <w:rPr>
          <w:rFonts w:ascii="Arial" w:cs="Arial" w:eastAsia="Arial" w:hAnsi="Arial"/>
          <w:sz w:val="15"/>
          <w:szCs w:val="15"/>
          <w:color w:val="auto"/>
        </w:rPr>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 and such other documents and information as it has deemed appropriate to make its own credit analysis and decision to enter into such Assignment and Assumption; (v) such 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 (vi) such assignee appoints and authorizes the Administrative Agent to take such action as agents on its behalf and to exercise such powers under this Agreement as are delegated to them by the terms hereof, together with such powers as are reasonably incidental thereto; and</w:t>
      </w:r>
    </w:p>
    <w:p>
      <w:pPr>
        <w:spacing w:after="0" w:line="2" w:lineRule="exact"/>
        <w:rPr>
          <w:rFonts w:ascii="Arial" w:cs="Arial" w:eastAsia="Arial" w:hAnsi="Arial"/>
          <w:sz w:val="15"/>
          <w:szCs w:val="15"/>
          <w:color w:val="auto"/>
        </w:rPr>
      </w:pPr>
    </w:p>
    <w:p>
      <w:pPr>
        <w:ind w:left="360" w:hanging="352"/>
        <w:spacing w:after="0"/>
        <w:tabs>
          <w:tab w:leader="none" w:pos="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such assignee agrees that it will perform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their terms all the obligations that by the terms of this Agreement are required to be performed by it as a Bank.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Adjustments; Right of Setoff</w:t>
      </w:r>
      <w:r>
        <w:rPr>
          <w:rFonts w:ascii="Arial" w:cs="Arial" w:eastAsia="Arial" w:hAnsi="Arial"/>
          <w:sz w:val="18"/>
          <w:szCs w:val="18"/>
          <w:color w:val="auto"/>
        </w:rPr>
        <w:t>.</w:t>
      </w:r>
    </w:p>
    <w:p>
      <w:pPr>
        <w:spacing w:after="0" w:line="171" w:lineRule="exact"/>
        <w:rPr>
          <w:sz w:val="20"/>
          <w:szCs w:val="20"/>
          <w:color w:val="auto"/>
        </w:rPr>
      </w:pPr>
    </w:p>
    <w:p>
      <w:pPr>
        <w:ind w:right="40" w:firstLine="921"/>
        <w:spacing w:after="0" w:line="312" w:lineRule="auto"/>
        <w:tabs>
          <w:tab w:leader="none" w:pos="1152"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If any Bank (a “</w:t>
      </w:r>
      <w:r>
        <w:rPr>
          <w:rFonts w:ascii="Arial" w:cs="Arial" w:eastAsia="Arial" w:hAnsi="Arial"/>
          <w:sz w:val="15"/>
          <w:szCs w:val="15"/>
          <w:u w:val="single" w:color="auto"/>
          <w:color w:val="auto"/>
        </w:rPr>
        <w:t>Benefited Bank</w:t>
      </w:r>
      <w:r>
        <w:rPr>
          <w:rFonts w:ascii="Arial" w:cs="Arial" w:eastAsia="Arial" w:hAnsi="Arial"/>
          <w:sz w:val="15"/>
          <w:szCs w:val="15"/>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105" w:lineRule="exact"/>
        <w:rPr>
          <w:rFonts w:ascii="Arial" w:cs="Arial" w:eastAsia="Arial" w:hAnsi="Arial"/>
          <w:sz w:val="15"/>
          <w:szCs w:val="15"/>
          <w:color w:val="auto"/>
        </w:rPr>
      </w:pPr>
    </w:p>
    <w:p>
      <w:pPr>
        <w:ind w:right="60" w:firstLine="921"/>
        <w:spacing w:after="0" w:line="289" w:lineRule="auto"/>
        <w:tabs>
          <w:tab w:leader="none" w:pos="116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Each Bank agrees promptly to notify the Company and the Administrative Agent after any such application made by such Company, provided that the failure to give such notice shall not affect the validity of such application.</w:t>
      </w:r>
    </w:p>
    <w:p>
      <w:pPr>
        <w:spacing w:after="0" w:line="112" w:lineRule="exact"/>
        <w:rPr>
          <w:sz w:val="20"/>
          <w:szCs w:val="20"/>
          <w:color w:val="auto"/>
        </w:rPr>
      </w:pPr>
    </w:p>
    <w:p>
      <w:pPr>
        <w:ind w:right="520" w:firstLine="913"/>
        <w:spacing w:after="0" w:line="26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u w:val="single" w:color="auto"/>
          <w:color w:val="auto"/>
        </w:rPr>
        <w:t>WAIVERS OF JURY TRIAL</w:t>
      </w:r>
      <w:r>
        <w:rPr>
          <w:rFonts w:ascii="Arial" w:cs="Arial" w:eastAsia="Arial" w:hAnsi="Arial"/>
          <w:sz w:val="18"/>
          <w:szCs w:val="18"/>
          <w:b w:val="1"/>
          <w:bCs w:val="1"/>
          <w:color w:val="auto"/>
        </w:rPr>
        <w:t>. THE COMPANY AND THE ADMINISTRATIVE AGENT AND THE BANKS HEREBY</w:t>
      </w:r>
      <w:r>
        <w:rPr>
          <w:rFonts w:ascii="Arial" w:cs="Arial" w:eastAsia="Arial" w:hAnsi="Arial"/>
          <w:sz w:val="18"/>
          <w:szCs w:val="18"/>
          <w:color w:val="auto"/>
        </w:rPr>
        <w:t xml:space="preserve"> </w:t>
      </w:r>
      <w:r>
        <w:rPr>
          <w:rFonts w:ascii="Arial" w:cs="Arial" w:eastAsia="Arial" w:hAnsi="Arial"/>
          <w:sz w:val="18"/>
          <w:szCs w:val="18"/>
          <w:b w:val="1"/>
          <w:bCs w:val="1"/>
          <w:color w:val="auto"/>
        </w:rPr>
        <w:t>IRREVOCABLY AND UNCONDITIONALLY WAIVE TRIAL BY JURY IN ANY LEGAL ACTION OR PROCEEDING RELATING TO THIS AGREEMENT AND FOR ANY COUNTERCLAIM THEREIN.</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Company hereby irrevocably and unconditionally:</w:t>
      </w:r>
    </w:p>
    <w:p>
      <w:pPr>
        <w:spacing w:after="0" w:line="90" w:lineRule="exact"/>
        <w:rPr>
          <w:sz w:val="20"/>
          <w:szCs w:val="20"/>
          <w:color w:val="auto"/>
        </w:rPr>
      </w:pPr>
    </w:p>
    <w:p>
      <w:pPr>
        <w:ind w:left="1140" w:hanging="237"/>
        <w:spacing w:after="0"/>
        <w:tabs>
          <w:tab w:leader="none" w:pos="11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or for recognition and enforcement of any</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judgment in respect thereof, to the non-exclusive general jurisdiction of the courts of the State of New York, the courts of the United States for the Southern District of New York, and appellate courts from any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48" w:name="page149"/>
    <w:bookmarkEnd w:id="148"/>
    <w:p>
      <w:pPr>
        <w:ind w:left="460" w:right="100" w:firstLine="443"/>
        <w:spacing w:after="0" w:line="259"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9" w:lineRule="exact"/>
        <w:rPr>
          <w:rFonts w:ascii="Arial" w:cs="Arial" w:eastAsia="Arial" w:hAnsi="Arial"/>
          <w:sz w:val="18"/>
          <w:szCs w:val="18"/>
          <w:color w:val="auto"/>
        </w:rPr>
      </w:pPr>
    </w:p>
    <w:p>
      <w:pPr>
        <w:jc w:val="both"/>
        <w:ind w:left="460" w:right="200" w:firstLine="443"/>
        <w:spacing w:after="0" w:line="259" w:lineRule="auto"/>
        <w:tabs>
          <w:tab w:leader="none" w:pos="11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Company, as the case may be at its address set forth in Section 12.2 or at such other address of which the Administrative Agent shall have been notified pursuant thereto;</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32"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134"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Notes and the rights and obligations of the parties under this Agreement and the Notes shall</w:t>
      </w:r>
      <w:r>
        <w:rPr>
          <w:rFonts w:ascii="Arial" w:cs="Arial" w:eastAsia="Arial" w:hAnsi="Arial"/>
          <w:sz w:val="18"/>
          <w:szCs w:val="18"/>
          <w:color w:val="auto"/>
        </w:rPr>
        <w:t xml:space="preserve"> </w:t>
      </w:r>
      <w:r>
        <w:rPr>
          <w:rFonts w:ascii="Arial" w:cs="Arial" w:eastAsia="Arial" w:hAnsi="Arial"/>
          <w:sz w:val="18"/>
          <w:szCs w:val="18"/>
          <w:b w:val="1"/>
          <w:bCs w:val="1"/>
          <w:color w:val="auto"/>
        </w:rPr>
        <w:t>be governed by, and construed and interpreted in accordance with, the law of the State of New York.</w:t>
      </w:r>
    </w:p>
    <w:p>
      <w:pPr>
        <w:spacing w:after="0" w:line="12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49" w:name="page150"/>
    <w:bookmarkEnd w:id="149"/>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43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Michael J. Castellano</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Michael J. Castellano</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0" w:name="page151"/>
    <w:bookmarkEnd w:id="15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 and as a Bank</w:t>
      </w:r>
    </w:p>
    <w:p>
      <w:pPr>
        <w:spacing w:after="0" w:line="219" w:lineRule="exact"/>
        <w:rPr>
          <w:sz w:val="20"/>
          <w:szCs w:val="20"/>
          <w:color w:val="auto"/>
        </w:rPr>
      </w:pPr>
    </w:p>
    <w:tbl>
      <w:tblPr>
        <w:tblLayout w:type="fixed"/>
        <w:tblInd w:w="31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Maureen R. Maroney</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Maureen R. Maroney</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Authorized Signatory</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80" w:right="239" w:bottom="1440" w:gutter="0" w:footer="0" w:header="0"/>
        </w:sectPr>
      </w:pPr>
    </w:p>
    <w:bookmarkStart w:id="151" w:name="page152"/>
    <w:bookmarkEnd w:id="15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Street Bank and Trust Company,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tbl>
      <w:tblPr>
        <w:tblLayout w:type="fixed"/>
        <w:tblInd w:w="31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T. Daley</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John T. Daley</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Vice-President</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79" w:right="239" w:bottom="1440" w:gutter="0" w:footer="0" w:header="0"/>
        </w:sectPr>
      </w:pPr>
    </w:p>
    <w:bookmarkStart w:id="152" w:name="page153"/>
    <w:bookmarkEnd w:id="152"/>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tbl>
      <w:tblPr>
        <w:tblLayout w:type="fixed"/>
        <w:tblInd w:w="3180" w:type="dxa"/>
        <w:tblCellMar>
          <w:top w:w="0" w:type="dxa"/>
          <w:left w:w="0" w:type="dxa"/>
          <w:bottom w:w="0" w:type="dxa"/>
          <w:right w:w="0" w:type="dxa"/>
        </w:tblCellMar>
      </w:tblP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Terence Law</w:t>
            </w:r>
          </w:p>
        </w:tc>
      </w:tr>
      <w:tr>
        <w:trPr>
          <w:trHeight w:val="203"/>
        </w:trPr>
        <w:tc>
          <w:tcPr>
            <w:tcW w:w="3020" w:type="dxa"/>
            <w:vAlign w:val="bottom"/>
          </w:tcPr>
          <w:p>
            <w:pPr>
              <w:ind w:left="2480"/>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Terence Law</w:t>
            </w:r>
          </w:p>
        </w:tc>
      </w:tr>
      <w:tr>
        <w:trPr>
          <w:trHeight w:val="222"/>
        </w:trPr>
        <w:tc>
          <w:tcPr>
            <w:tcW w:w="3020" w:type="dxa"/>
            <w:vAlign w:val="bottom"/>
          </w:tcPr>
          <w:p>
            <w:pPr>
              <w:ind w:left="2480"/>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Managing Director</w:t>
            </w:r>
          </w:p>
        </w:tc>
      </w:tr>
      <w:tr>
        <w:trPr>
          <w:trHeight w:val="378"/>
        </w:trPr>
        <w:tc>
          <w:tcPr>
            <w:tcW w:w="3020" w:type="dxa"/>
            <w:vAlign w:val="bottom"/>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Signature Page to Credit Agreement</w:t>
            </w:r>
            <w:r>
              <w:rPr>
                <w:rFonts w:ascii="Arial" w:cs="Arial" w:eastAsia="Arial" w:hAnsi="Arial"/>
                <w:sz w:val="18"/>
                <w:szCs w:val="18"/>
                <w:color w:val="auto"/>
                <w:w w:val="99"/>
              </w:rPr>
              <w:t>]</w:t>
            </w:r>
          </w:p>
        </w:tc>
        <w:tc>
          <w:tcPr>
            <w:tcW w:w="4020" w:type="dxa"/>
            <w:vAlign w:val="bottom"/>
          </w:tcPr>
          <w:p>
            <w:pPr>
              <w:spacing w:after="0"/>
              <w:rPr>
                <w:sz w:val="24"/>
                <w:szCs w:val="24"/>
                <w:color w:val="auto"/>
              </w:rPr>
            </w:pPr>
          </w:p>
        </w:tc>
      </w:tr>
    </w:tbl>
    <w:p>
      <w:pPr>
        <w:sectPr>
          <w:pgSz w:w="11900" w:h="16838" w:orient="portrait"/>
          <w:cols w:equalWidth="0" w:num="1">
            <w:col w:w="10220"/>
          </w:cols>
          <w:pgMar w:left="1440" w:top="2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1.1A</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920" w:type="dxa"/>
            <w:vAlign w:val="bottom"/>
            <w:gridSpan w:val="3"/>
          </w:tcPr>
          <w:p>
            <w:pPr>
              <w:jc w:val="right"/>
              <w:ind w:right="2100"/>
              <w:spacing w:after="0"/>
              <w:rPr>
                <w:sz w:val="20"/>
                <w:szCs w:val="20"/>
                <w:color w:val="auto"/>
              </w:rPr>
            </w:pPr>
            <w:r>
              <w:rPr>
                <w:rFonts w:ascii="Arial" w:cs="Arial" w:eastAsia="Arial" w:hAnsi="Arial"/>
                <w:sz w:val="18"/>
                <w:szCs w:val="18"/>
                <w:color w:val="auto"/>
              </w:rPr>
              <w:t>Commitment Amounts</w:t>
            </w:r>
          </w:p>
        </w:tc>
        <w:tc>
          <w:tcPr>
            <w:tcW w:w="980" w:type="dxa"/>
            <w:vAlign w:val="bottom"/>
          </w:tcPr>
          <w:p>
            <w:pPr>
              <w:spacing w:after="0"/>
              <w:rPr>
                <w:sz w:val="17"/>
                <w:szCs w:val="17"/>
                <w:color w:val="auto"/>
              </w:rPr>
            </w:pPr>
          </w:p>
        </w:tc>
      </w:tr>
      <w:tr>
        <w:trPr>
          <w:trHeight w:val="372"/>
        </w:trPr>
        <w:tc>
          <w:tcPr>
            <w:tcW w:w="2860" w:type="dxa"/>
            <w:vAlign w:val="bottom"/>
          </w:tcPr>
          <w:p>
            <w:pPr>
              <w:spacing w:after="0"/>
              <w:rPr>
                <w:sz w:val="20"/>
                <w:szCs w:val="20"/>
                <w:color w:val="auto"/>
              </w:rPr>
            </w:pPr>
            <w:r>
              <w:rPr>
                <w:rFonts w:ascii="Arial" w:cs="Arial" w:eastAsia="Arial" w:hAnsi="Arial"/>
                <w:sz w:val="14"/>
                <w:szCs w:val="14"/>
                <w:b w:val="1"/>
                <w:bCs w:val="1"/>
                <w:color w:val="auto"/>
              </w:rPr>
              <w:t>Bank</w:t>
            </w:r>
          </w:p>
        </w:tc>
        <w:tc>
          <w:tcPr>
            <w:tcW w:w="2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jc w:val="right"/>
              <w:ind w:right="276"/>
              <w:spacing w:after="0"/>
              <w:rPr>
                <w:sz w:val="20"/>
                <w:szCs w:val="20"/>
                <w:color w:val="auto"/>
              </w:rPr>
            </w:pPr>
            <w:r>
              <w:rPr>
                <w:rFonts w:ascii="Arial" w:cs="Arial" w:eastAsia="Arial" w:hAnsi="Arial"/>
                <w:sz w:val="14"/>
                <w:szCs w:val="14"/>
                <w:b w:val="1"/>
                <w:bCs w:val="1"/>
                <w:color w:val="auto"/>
              </w:rPr>
              <w:t>Amount</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Citibank, N.A.</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5"/>
              </w:rPr>
              <w:t>60,000,000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w w:val="93"/>
              </w:rPr>
              <w:t>State Street Bank and Trust Company</w:t>
            </w:r>
          </w:p>
        </w:tc>
        <w:tc>
          <w:tcPr>
            <w:tcW w:w="3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w w:val="95"/>
              </w:rPr>
              <w:t>60,000,000</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 Bank of New York Mellon</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5"/>
              </w:rPr>
              <w:t>30,000,000</w:t>
            </w:r>
          </w:p>
        </w:tc>
      </w:tr>
      <w:tr>
        <w:trPr>
          <w:trHeight w:val="228"/>
        </w:trPr>
        <w:tc>
          <w:tcPr>
            <w:tcW w:w="2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9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auto"/>
                <w:w w:val="85"/>
              </w:rPr>
              <w:t>150,000,000</w:t>
            </w:r>
          </w:p>
        </w:tc>
      </w:tr>
    </w:tbl>
    <w:p>
      <w:pPr>
        <w:sectPr>
          <w:pgSz w:w="11900" w:h="16838" w:orient="portrait"/>
          <w:cols w:equalWidth="0" w:num="1">
            <w:col w:w="10220"/>
          </w:cols>
          <w:pgMar w:left="1440" w:top="27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4.13</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Significant Subsidiaries</w:t>
            </w:r>
          </w:p>
        </w:tc>
      </w:tr>
      <w:tr>
        <w:trPr>
          <w:trHeight w:val="392"/>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 of Subsidiary</w:t>
            </w:r>
          </w:p>
        </w:tc>
        <w:tc>
          <w:tcPr>
            <w:tcW w:w="178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9"/>
              </w:rPr>
              <w:t>Country of Organization</w:t>
            </w:r>
          </w:p>
        </w:tc>
      </w:tr>
      <w:tr>
        <w:trPr>
          <w:trHeight w:val="203"/>
        </w:trPr>
        <w:tc>
          <w:tcPr>
            <w:tcW w:w="2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Lazard Frères &amp; Co. LLC</w:t>
            </w:r>
          </w:p>
        </w:tc>
        <w:tc>
          <w:tcPr>
            <w:tcW w:w="17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Asset Management LLC</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International Holdings, Inc.</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Funding Limited LLC</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United States</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&amp; Co., Holdings Limited</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&amp; Co., Limited</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United Kingdom</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Frères SAS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Lazard Frères Gestion SAS</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Frères Banque SA</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Maison Lazard SAS</w:t>
            </w:r>
          </w:p>
        </w:tc>
        <w:tc>
          <w:tcPr>
            <w:tcW w:w="1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Compagnie Financière Lazard Frères SAS</w:t>
            </w:r>
          </w:p>
        </w:tc>
        <w:tc>
          <w:tcPr>
            <w:tcW w:w="17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France</w:t>
            </w:r>
          </w:p>
        </w:tc>
      </w:tr>
    </w:tbl>
    <w:p>
      <w:pPr>
        <w:sectPr>
          <w:pgSz w:w="11900" w:h="16838" w:orient="portrait"/>
          <w:cols w:equalWidth="0" w:num="1">
            <w:col w:w="10220"/>
          </w:cols>
          <w:pgMar w:left="1440" w:top="27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Existing Indebtedness</w:t>
      </w:r>
    </w:p>
    <w:p>
      <w:pPr>
        <w:spacing w:after="0" w:line="177" w:lineRule="exact"/>
        <w:rPr>
          <w:sz w:val="20"/>
          <w:szCs w:val="20"/>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Indebtedness under the Senior Notes, including related contract adjustment payment obligations.</w:t>
      </w:r>
    </w:p>
    <w:p>
      <w:pPr>
        <w:spacing w:after="0" w:line="171" w:lineRule="exact"/>
        <w:rPr>
          <w:rFonts w:ascii="Arial" w:cs="Arial" w:eastAsia="Arial" w:hAnsi="Arial"/>
          <w:sz w:val="18"/>
          <w:szCs w:val="18"/>
          <w:color w:val="auto"/>
        </w:rPr>
      </w:pPr>
    </w:p>
    <w:p>
      <w:pPr>
        <w:ind w:right="420" w:firstLine="8"/>
        <w:spacing w:after="0" w:line="268" w:lineRule="auto"/>
        <w:tabs>
          <w:tab w:leader="none" w:pos="17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Subordinated convertible promissory note, dated March 26, 2003 and amended and restated as of May 15, 2006, in the principal amount of $150,000,000, issued by Lazard Funding Limited LLC in favor of Banca Intesa S.p.A.</w:t>
      </w:r>
    </w:p>
    <w:p>
      <w:pPr>
        <w:spacing w:after="0" w:line="131" w:lineRule="exact"/>
        <w:rPr>
          <w:rFonts w:ascii="Arial" w:cs="Arial" w:eastAsia="Arial" w:hAnsi="Arial"/>
          <w:sz w:val="18"/>
          <w:szCs w:val="18"/>
          <w:color w:val="auto"/>
        </w:rPr>
      </w:pPr>
    </w:p>
    <w:p>
      <w:pPr>
        <w:ind w:left="180" w:hanging="172"/>
        <w:spacing w:after="0"/>
        <w:tabs>
          <w:tab w:leader="none" w:pos="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Capital Lease Obligations in an amount of $22,572,000.</w:t>
      </w:r>
    </w:p>
    <w:p>
      <w:pPr>
        <w:sectPr>
          <w:pgSz w:w="11900" w:h="16838" w:orient="portrait"/>
          <w:cols w:equalWidth="0" w:num="1">
            <w:col w:w="11420"/>
          </w:cols>
          <w:pgMar w:left="240" w:top="274" w:right="239" w:bottom="1440" w:gutter="0" w:footer="0" w:header="0"/>
        </w:sectPr>
      </w:pPr>
    </w:p>
    <w:bookmarkStart w:id="156" w:name="page157"/>
    <w:bookmarkEnd w:id="156"/>
    <w:p>
      <w:pPr>
        <w:ind w:left="105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THIS NOTE IS SUBJECT TO THE PROVISIONS OF THE CREDIT AGREEMENT DATED AS OF APRIL 29, 2010 AMONG THE UNDERSIGNED, THE BANKS PARTY THERETO, AND CITIBANK, N.A., AS ADMINISTRATIVE AGENT AND AS BANK.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20" w:type="dxa"/>
            <w:vAlign w:val="bottom"/>
            <w:gridSpan w:val="3"/>
          </w:tcPr>
          <w:p>
            <w:pPr>
              <w:ind w:left="3480"/>
              <w:spacing w:after="0"/>
              <w:rPr>
                <w:sz w:val="20"/>
                <w:szCs w:val="20"/>
                <w:color w:val="auto"/>
              </w:rPr>
            </w:pPr>
            <w:r>
              <w:rPr>
                <w:rFonts w:ascii="Arial" w:cs="Arial" w:eastAsia="Arial" w:hAnsi="Arial"/>
                <w:sz w:val="18"/>
                <w:szCs w:val="18"/>
                <w:color w:val="auto"/>
              </w:rPr>
              <w:t>[FORM OF REVOLVING CREDIT NOTE]</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9"/>
        </w:trPr>
        <w:tc>
          <w:tcPr>
            <w:tcW w:w="160" w:type="dxa"/>
            <w:vAlign w:val="bottom"/>
          </w:tcPr>
          <w:p>
            <w:pPr>
              <w:spacing w:after="0"/>
              <w:rPr>
                <w:sz w:val="20"/>
                <w:szCs w:val="20"/>
                <w:color w:val="auto"/>
              </w:rPr>
            </w:pPr>
            <w:r>
              <w:rPr>
                <w:rFonts w:ascii="Arial" w:cs="Arial" w:eastAsia="Arial" w:hAnsi="Arial"/>
                <w:sz w:val="18"/>
                <w:szCs w:val="18"/>
                <w:color w:val="auto"/>
                <w:w w:val="92"/>
              </w:rPr>
              <w:t>$[</w:t>
            </w:r>
          </w:p>
        </w:tc>
        <w:tc>
          <w:tcPr>
            <w:tcW w:w="4000" w:type="dxa"/>
            <w:vAlign w:val="bottom"/>
            <w:gridSpan w:val="2"/>
          </w:tcPr>
          <w:p>
            <w:pPr>
              <w:jc w:val="right"/>
              <w:ind w:right="3332"/>
              <w:spacing w:after="0"/>
              <w:rPr>
                <w:sz w:val="20"/>
                <w:szCs w:val="20"/>
                <w:color w:val="auto"/>
              </w:rPr>
            </w:pPr>
            <w:r>
              <w:rPr>
                <w:rFonts w:ascii="Arial" w:cs="Arial" w:eastAsia="Arial" w:hAnsi="Arial"/>
                <w:sz w:val="18"/>
                <w:szCs w:val="18"/>
                <w:color w:val="auto"/>
              </w:rPr>
              <w:t>]</w:t>
            </w:r>
          </w:p>
        </w:tc>
        <w:tc>
          <w:tcPr>
            <w:tcW w:w="312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120" w:type="dxa"/>
            <w:vAlign w:val="bottom"/>
            <w:gridSpan w:val="6"/>
          </w:tcPr>
          <w:p>
            <w:pPr>
              <w:jc w:val="right"/>
              <w:spacing w:after="0"/>
              <w:rPr>
                <w:sz w:val="20"/>
                <w:szCs w:val="20"/>
                <w:color w:val="auto"/>
              </w:rPr>
            </w:pPr>
            <w:r>
              <w:rPr>
                <w:rFonts w:ascii="Arial" w:cs="Arial" w:eastAsia="Arial" w:hAnsi="Arial"/>
                <w:sz w:val="18"/>
                <w:szCs w:val="18"/>
                <w:color w:val="auto"/>
              </w:rPr>
              <w:t>New York, New York</w:t>
            </w:r>
          </w:p>
        </w:tc>
      </w:tr>
      <w:tr>
        <w:trPr>
          <w:trHeight w:val="196"/>
        </w:trPr>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4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7"/>
                <w:szCs w:val="17"/>
                <w:color w:val="auto"/>
              </w:rPr>
            </w:pPr>
          </w:p>
        </w:tc>
        <w:tc>
          <w:tcPr>
            <w:tcW w:w="6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  ]</w:t>
            </w: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40" w:type="dxa"/>
            <w:vAlign w:val="bottom"/>
            <w:gridSpan w:val="4"/>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740" w:type="dxa"/>
            <w:vAlign w:val="bottom"/>
            <w:gridSpan w:val="9"/>
          </w:tcPr>
          <w:p>
            <w:pPr>
              <w:jc w:val="right"/>
              <w:ind w:right="160"/>
              <w:spacing w:after="0"/>
              <w:rPr>
                <w:sz w:val="20"/>
                <w:szCs w:val="20"/>
                <w:color w:val="auto"/>
              </w:rPr>
            </w:pPr>
            <w:r>
              <w:rPr>
                <w:rFonts w:ascii="Arial" w:cs="Arial" w:eastAsia="Arial" w:hAnsi="Arial"/>
                <w:sz w:val="18"/>
                <w:szCs w:val="18"/>
                <w:color w:val="auto"/>
                <w:w w:val="92"/>
              </w:rPr>
              <w:t>FOR VALUE RECEIVED, the undersigned, LAZARD GROUP LLC, hereby unconditionally promises to pay on April 29, 2013 or such other date</w:t>
            </w:r>
          </w:p>
        </w:tc>
      </w:tr>
      <w:tr>
        <w:trPr>
          <w:trHeight w:val="184"/>
        </w:trPr>
        <w:tc>
          <w:tcPr>
            <w:tcW w:w="9300" w:type="dxa"/>
            <w:vAlign w:val="bottom"/>
            <w:gridSpan w:val="5"/>
          </w:tcPr>
          <w:p>
            <w:pPr>
              <w:spacing w:after="0" w:line="184" w:lineRule="exact"/>
              <w:rPr>
                <w:sz w:val="20"/>
                <w:szCs w:val="20"/>
                <w:color w:val="auto"/>
              </w:rPr>
            </w:pPr>
            <w:r>
              <w:rPr>
                <w:rFonts w:ascii="Arial" w:cs="Arial" w:eastAsia="Arial" w:hAnsi="Arial"/>
                <w:sz w:val="18"/>
                <w:szCs w:val="18"/>
                <w:color w:val="auto"/>
                <w:w w:val="87"/>
              </w:rPr>
              <w:t>as the amounts hereunder may become due and payable as provided in the Credit Agreement hereinafter referred to, to the order of [</w:t>
            </w: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auto"/>
                <w:w w:val="92"/>
              </w:rPr>
              <w:t>] (the “Bank”), at</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office of the Bank specified in the Credit Agreement, in lawful money of the United States of America and in immediately available funds, the principal</w:t>
      </w:r>
    </w:p>
    <w:p>
      <w:pPr>
        <w:spacing w:after="0" w:line="38" w:lineRule="exact"/>
        <w:rPr>
          <w:sz w:val="20"/>
          <w:szCs w:val="20"/>
          <w:color w:val="auto"/>
        </w:rPr>
      </w:pPr>
    </w:p>
    <w:p>
      <w:pPr>
        <w:spacing w:after="0"/>
        <w:tabs>
          <w:tab w:leader="none" w:pos="2820" w:val="left"/>
          <w:tab w:leader="none" w:pos="3480" w:val="left"/>
        </w:tabs>
        <w:rPr>
          <w:sz w:val="20"/>
          <w:szCs w:val="20"/>
          <w:color w:val="auto"/>
        </w:rPr>
      </w:pPr>
      <w:r>
        <w:rPr>
          <w:rFonts w:ascii="Arial" w:cs="Arial" w:eastAsia="Arial" w:hAnsi="Arial"/>
          <w:sz w:val="18"/>
          <w:szCs w:val="18"/>
          <w:color w:val="auto"/>
        </w:rPr>
        <w:t>amount of the lesser of (a)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 and (b) the aggregate unpaid principal amount of all loans made by the Bank to the undersigned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-17780</wp:posOffset>
            </wp:positionV>
            <wp:extent cx="9848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right="80"/>
        <w:spacing w:after="0" w:line="255" w:lineRule="auto"/>
        <w:rPr>
          <w:sz w:val="20"/>
          <w:szCs w:val="20"/>
          <w:color w:val="auto"/>
        </w:rPr>
      </w:pPr>
      <w:r>
        <w:rPr>
          <w:rFonts w:ascii="Arial" w:cs="Arial" w:eastAsia="Arial" w:hAnsi="Arial"/>
          <w:sz w:val="18"/>
          <w:szCs w:val="18"/>
          <w:color w:val="auto"/>
        </w:rPr>
        <w:t>Section 2.1 of the Credit Agreement. The undersigned further agrees to pay interest in like money at such office on the unpaid principal amount hereof from time to time from the date hereof at the applicable rates and on the dates provided for in Section 2.3 of the Credit Agreement, until paid in full (both before and after judgment).</w:t>
      </w:r>
    </w:p>
    <w:p>
      <w:pPr>
        <w:spacing w:after="0" w:line="144" w:lineRule="exact"/>
        <w:rPr>
          <w:sz w:val="20"/>
          <w:szCs w:val="20"/>
          <w:color w:val="auto"/>
        </w:rPr>
      </w:pPr>
    </w:p>
    <w:p>
      <w:pPr>
        <w:ind w:right="360" w:firstLine="913"/>
        <w:spacing w:after="0" w:line="298" w:lineRule="auto"/>
        <w:rPr>
          <w:sz w:val="20"/>
          <w:szCs w:val="20"/>
          <w:color w:val="auto"/>
        </w:rPr>
      </w:pPr>
      <w:r>
        <w:rPr>
          <w:rFonts w:ascii="Arial" w:cs="Arial" w:eastAsia="Arial" w:hAnsi="Arial"/>
          <w:sz w:val="16"/>
          <w:szCs w:val="16"/>
          <w:color w:val="auto"/>
        </w:rPr>
        <w:t>This Note is one of the Notes referred to in the Credit Agreement dated as of April 29, 2010 (as from time to time amended, supplemented or otherwise modified, the “Agreement”) among the undersigned, the Bank, the other financial institutions party thereto, and Citibank, N.A., a national banking association, as Administrative Agent and as a bank, and the terms thereof are incorporated herein by reference and the holder hereof is entitled to the benefits thereof. This Note is subject to optional prepayment in whole or in part only as permitted by Section 2.9 of the Agreement.</w:t>
      </w:r>
    </w:p>
    <w:p>
      <w:pPr>
        <w:spacing w:after="0" w:line="113"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In case an Event of Default, as defined in the Agreement, shall occur or be continuing, all amounts then remaining unpaid on this Note shall become, or may be declared to be, due and payable in the manner, with the effect and subject to the conditions provided therein.</w:t>
      </w:r>
    </w:p>
    <w:p>
      <w:pPr>
        <w:sectPr>
          <w:pgSz w:w="11900" w:h="16838" w:orient="portrait"/>
          <w:cols w:equalWidth="0" w:num="1">
            <w:col w:w="11420"/>
          </w:cols>
          <w:pgMar w:left="240" w:top="274" w:right="239" w:bottom="1440" w:gutter="0" w:footer="0" w:header="0"/>
        </w:sectPr>
      </w:pPr>
    </w:p>
    <w:bookmarkStart w:id="157" w:name="page158"/>
    <w:bookmarkEnd w:id="15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and interpreted in accordance with the laws of the State of New York.</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-129540</wp:posOffset>
            </wp:positionV>
            <wp:extent cx="25469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4120515</wp:posOffset>
            </wp:positionH>
            <wp:positionV relativeFrom="paragraph">
              <wp:posOffset>6985</wp:posOffset>
            </wp:positionV>
            <wp:extent cx="25469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46985" cy="8890"/>
                    </a:xfrm>
                    <a:prstGeom prst="rect">
                      <a:avLst/>
                    </a:prstGeom>
                    <a:noFill/>
                  </pic:spPr>
                </pic:pic>
              </a:graphicData>
            </a:graphic>
          </wp:anchor>
        </w:drawing>
        <w:drawing>
          <wp:anchor simplePos="0" relativeHeight="251657728" behindDoc="1" locked="0" layoutInCell="0" allowOverlap="1">
            <wp:simplePos x="0" y="0"/>
            <wp:positionH relativeFrom="column">
              <wp:posOffset>4120515</wp:posOffset>
            </wp:positionH>
            <wp:positionV relativeFrom="paragraph">
              <wp:posOffset>-129540</wp:posOffset>
            </wp:positionV>
            <wp:extent cx="25469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Note</w:t>
      </w:r>
      <w:r>
        <w:rPr>
          <w:rFonts w:ascii="Arial" w:cs="Arial" w:eastAsia="Arial" w:hAnsi="Arial"/>
          <w:sz w:val="18"/>
          <w:szCs w:val="18"/>
          <w:color w:val="auto"/>
        </w:rPr>
        <w:t>]</w:t>
      </w:r>
    </w:p>
    <w:p>
      <w:pPr>
        <w:sectPr>
          <w:pgSz w:w="11900" w:h="16838" w:orient="portrait"/>
          <w:cols w:equalWidth="0" w:num="1">
            <w:col w:w="9299"/>
          </w:cols>
          <w:pgMar w:left="1160" w:top="280"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6"/>
              </w:rPr>
              <w:t>Schedule to</w:t>
            </w:r>
          </w:p>
        </w:tc>
      </w:tr>
      <w:tr>
        <w:trPr>
          <w:trHeight w:val="216"/>
        </w:trPr>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Revolving</w:t>
            </w:r>
          </w:p>
        </w:tc>
      </w:tr>
      <w:tr>
        <w:trPr>
          <w:trHeight w:val="184"/>
        </w:trPr>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90"/>
              </w:rPr>
              <w:t>Credit Note</w:t>
            </w:r>
          </w:p>
        </w:tc>
      </w:tr>
      <w:tr>
        <w:trPr>
          <w:trHeight w:val="358"/>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3"/>
              </w:rPr>
              <w:t>LOANS AND PAYMENTS OF PRINCIPAL</w:t>
            </w:r>
          </w:p>
        </w:tc>
        <w:tc>
          <w:tcPr>
            <w:tcW w:w="480" w:type="dxa"/>
            <w:vAlign w:val="bottom"/>
            <w:gridSpan w:val="2"/>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1"/>
        </w:trPr>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center"/>
              <w:ind w:right="100"/>
              <w:spacing w:after="0"/>
              <w:rPr>
                <w:sz w:val="20"/>
                <w:szCs w:val="20"/>
                <w:color w:val="auto"/>
              </w:rPr>
            </w:pPr>
            <w:r>
              <w:rPr>
                <w:rFonts w:ascii="Arial" w:cs="Arial" w:eastAsia="Arial" w:hAnsi="Arial"/>
                <w:sz w:val="14"/>
                <w:szCs w:val="14"/>
                <w:color w:val="auto"/>
                <w:w w:val="90"/>
              </w:rPr>
              <w:t>Amount of</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Unpaid</w:t>
            </w: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49"/>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Amount of</w:t>
            </w:r>
          </w:p>
        </w:tc>
        <w:tc>
          <w:tcPr>
            <w:tcW w:w="20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Type/Int.</w:t>
            </w:r>
          </w:p>
        </w:tc>
        <w:tc>
          <w:tcPr>
            <w:tcW w:w="19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Principal</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Principal</w:t>
            </w:r>
          </w:p>
        </w:tc>
        <w:tc>
          <w:tcPr>
            <w:tcW w:w="17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Notation</w:t>
            </w:r>
          </w:p>
        </w:tc>
      </w:tr>
      <w:tr>
        <w:trPr>
          <w:trHeight w:val="179"/>
        </w:trPr>
        <w:tc>
          <w:tcPr>
            <w:tcW w:w="340" w:type="dxa"/>
            <w:vAlign w:val="bottom"/>
          </w:tcPr>
          <w:p>
            <w:pPr>
              <w:spacing w:after="0"/>
              <w:rPr>
                <w:sz w:val="15"/>
                <w:szCs w:val="15"/>
                <w:color w:val="auto"/>
              </w:rPr>
            </w:pPr>
          </w:p>
        </w:tc>
        <w:tc>
          <w:tcPr>
            <w:tcW w:w="28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1"/>
              </w:rPr>
              <w:t>Date</w:t>
            </w:r>
          </w:p>
        </w:tc>
        <w:tc>
          <w:tcPr>
            <w:tcW w:w="960" w:type="dxa"/>
            <w:vAlign w:val="bottom"/>
          </w:tcPr>
          <w:p>
            <w:pPr>
              <w:spacing w:after="0"/>
              <w:rPr>
                <w:sz w:val="15"/>
                <w:szCs w:val="15"/>
                <w:color w:val="auto"/>
              </w:rPr>
            </w:pPr>
          </w:p>
        </w:tc>
        <w:tc>
          <w:tcPr>
            <w:tcW w:w="184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5"/>
              </w:rPr>
              <w:t>Loans Made</w:t>
            </w:r>
          </w:p>
        </w:tc>
        <w:tc>
          <w:tcPr>
            <w:tcW w:w="200" w:type="dxa"/>
            <w:vAlign w:val="bottom"/>
          </w:tcPr>
          <w:p>
            <w:pPr>
              <w:spacing w:after="0"/>
              <w:rPr>
                <w:sz w:val="15"/>
                <w:szCs w:val="15"/>
                <w:color w:val="auto"/>
              </w:rPr>
            </w:pPr>
          </w:p>
        </w:tc>
        <w:tc>
          <w:tcPr>
            <w:tcW w:w="174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3"/>
              </w:rPr>
              <w:t>Period</w:t>
            </w:r>
          </w:p>
        </w:tc>
        <w:tc>
          <w:tcPr>
            <w:tcW w:w="19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5"/>
              </w:rPr>
              <w:t>Repaid</w:t>
            </w:r>
          </w:p>
        </w:tc>
        <w:tc>
          <w:tcPr>
            <w:tcW w:w="194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6"/>
              </w:rPr>
              <w:t>Balance</w:t>
            </w:r>
          </w:p>
        </w:tc>
        <w:tc>
          <w:tcPr>
            <w:tcW w:w="170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Made by</w:t>
            </w:r>
          </w:p>
        </w:tc>
      </w:tr>
      <w:tr>
        <w:trPr>
          <w:trHeight w:val="195"/>
        </w:trPr>
        <w:tc>
          <w:tcPr>
            <w:tcW w:w="1580" w:type="dxa"/>
            <w:vAlign w:val="bottom"/>
            <w:gridSpan w:val="3"/>
          </w:tcPr>
          <w:p>
            <w:pPr>
              <w:jc w:val="center"/>
              <w:ind w:right="620"/>
              <w:spacing w:after="0" w:line="195" w:lineRule="exact"/>
              <w:rPr>
                <w:sz w:val="20"/>
                <w:szCs w:val="20"/>
                <w:color w:val="auto"/>
              </w:rPr>
            </w:pPr>
            <w:r>
              <w:rPr>
                <w:rFonts w:ascii="Arial" w:cs="Arial" w:eastAsia="Arial" w:hAnsi="Arial"/>
                <w:sz w:val="18"/>
                <w:szCs w:val="18"/>
                <w:color w:val="auto"/>
                <w:w w:val="87"/>
              </w:rPr>
              <w:t>___________</w:t>
            </w: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6"/>
                <w:szCs w:val="16"/>
                <w:color w:val="auto"/>
              </w:rPr>
            </w:pPr>
          </w:p>
        </w:tc>
        <w:tc>
          <w:tcPr>
            <w:tcW w:w="182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center"/>
              <w:ind w:left="294"/>
              <w:spacing w:after="0" w:line="195" w:lineRule="exact"/>
              <w:rPr>
                <w:sz w:val="20"/>
                <w:szCs w:val="20"/>
                <w:color w:val="auto"/>
              </w:rPr>
            </w:pPr>
            <w:r>
              <w:rPr>
                <w:rFonts w:ascii="Arial" w:cs="Arial" w:eastAsia="Arial" w:hAnsi="Arial"/>
                <w:sz w:val="18"/>
                <w:szCs w:val="18"/>
                <w:color w:val="auto"/>
                <w:w w:val="88"/>
              </w:rPr>
              <w:t>___________</w:t>
            </w: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6"/>
                <w:szCs w:val="16"/>
                <w:color w:val="auto"/>
              </w:rPr>
            </w:pPr>
          </w:p>
        </w:tc>
        <w:tc>
          <w:tcPr>
            <w:tcW w:w="170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16"/>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8"/>
                <w:szCs w:val="18"/>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r>
        <w:trPr>
          <w:trHeight w:val="222"/>
        </w:trPr>
        <w:tc>
          <w:tcPr>
            <w:tcW w:w="15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___________</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___________</w:t>
            </w:r>
          </w:p>
        </w:tc>
        <w:tc>
          <w:tcPr>
            <w:tcW w:w="140" w:type="dxa"/>
            <w:vAlign w:val="bottom"/>
          </w:tcPr>
          <w:p>
            <w:pPr>
              <w:spacing w:after="0"/>
              <w:rPr>
                <w:sz w:val="19"/>
                <w:szCs w:val="19"/>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c>
          <w:tcPr>
            <w:tcW w:w="120" w:type="dxa"/>
            <w:vAlign w:val="bottom"/>
          </w:tcPr>
          <w:p>
            <w:pPr>
              <w:spacing w:after="0"/>
              <w:rPr>
                <w:sz w:val="19"/>
                <w:szCs w:val="19"/>
                <w:color w:val="auto"/>
              </w:rPr>
            </w:pPr>
          </w:p>
        </w:tc>
        <w:tc>
          <w:tcPr>
            <w:tcW w:w="1440" w:type="dxa"/>
            <w:vAlign w:val="bottom"/>
          </w:tcPr>
          <w:p>
            <w:pPr>
              <w:jc w:val="center"/>
              <w:ind w:left="294"/>
              <w:spacing w:after="0"/>
              <w:rPr>
                <w:sz w:val="20"/>
                <w:szCs w:val="20"/>
                <w:color w:val="auto"/>
              </w:rPr>
            </w:pPr>
            <w:r>
              <w:rPr>
                <w:rFonts w:ascii="Arial" w:cs="Arial" w:eastAsia="Arial" w:hAnsi="Arial"/>
                <w:sz w:val="18"/>
                <w:szCs w:val="18"/>
                <w:color w:val="auto"/>
                <w:w w:val="88"/>
              </w:rPr>
              <w:t>___________</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7"/>
              </w:rPr>
              <w:t>___________</w:t>
            </w:r>
          </w:p>
        </w:tc>
        <w:tc>
          <w:tcPr>
            <w:tcW w:w="10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___________</w:t>
            </w:r>
          </w:p>
        </w:tc>
      </w:tr>
    </w:tbl>
    <w:p>
      <w:pPr>
        <w:jc w:val="center"/>
        <w:spacing w:after="0"/>
        <w:rPr>
          <w:sz w:val="20"/>
          <w:szCs w:val="20"/>
          <w:color w:val="auto"/>
        </w:rPr>
        <w:sectPr>
          <w:pgSz w:w="11900" w:h="16838" w:orient="portrait"/>
          <w:cols w:equalWidth="0" w:num="1">
            <w:col w:w="10920"/>
          </w:cols>
          <w:pgMar w:left="7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9" w:name="page160"/>
    <w:bookmarkEnd w:id="15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17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[FORM OF OPINION OF CRAVATH, SWAINE &amp; MOORE LLP]</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u w:val="single" w:color="auto"/>
          <w:color w:val="auto"/>
        </w:rPr>
        <w:t>Lazard Group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 Agreement dated as of April 29,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acted as special New York counsel to Lazard Group LLC, a Delaware limited liability company (the “</w:t>
      </w:r>
      <w:r>
        <w:rPr>
          <w:rFonts w:ascii="Arial" w:cs="Arial" w:eastAsia="Arial" w:hAnsi="Arial"/>
          <w:sz w:val="16"/>
          <w:szCs w:val="16"/>
          <w:u w:val="single" w:color="auto"/>
          <w:color w:val="auto"/>
        </w:rPr>
        <w:t>Borrower</w:t>
      </w:r>
      <w:r>
        <w:rPr>
          <w:rFonts w:ascii="Arial" w:cs="Arial" w:eastAsia="Arial" w:hAnsi="Arial"/>
          <w:sz w:val="16"/>
          <w:szCs w:val="16"/>
          <w:color w:val="auto"/>
        </w:rPr>
        <w:t>”), in connection with the Credit Agreement dated as of April 29, 2010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Borrower, the lending institutions party thereto (the “</w:t>
      </w:r>
      <w:r>
        <w:rPr>
          <w:rFonts w:ascii="Arial" w:cs="Arial" w:eastAsia="Arial" w:hAnsi="Arial"/>
          <w:sz w:val="16"/>
          <w:szCs w:val="16"/>
          <w:u w:val="single" w:color="auto"/>
          <w:color w:val="auto"/>
        </w:rPr>
        <w:t>Banks</w:t>
      </w:r>
      <w:r>
        <w:rPr>
          <w:rFonts w:ascii="Arial" w:cs="Arial" w:eastAsia="Arial" w:hAnsi="Arial"/>
          <w:sz w:val="16"/>
          <w:szCs w:val="16"/>
          <w:color w:val="auto"/>
        </w:rPr>
        <w:t>”) and Citibank, N.A., as administrative agent for the Banks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This opinion is being delivered to you pursuant to Section 5.1(d) of the Credit Agreement. Capitalized terms used but not defined herein have the meanings assigned to them in the Credit Agreement.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that connection, we have examined originals, or copies certified or otherwise identified to our satisfaction, of such documents, corporate records and other instruments as we have deemed necessary or appropriate for purposes of this opinion, including:</w:t>
      </w:r>
    </w:p>
    <w:p>
      <w:pPr>
        <w:spacing w:after="0" w:line="51" w:lineRule="exact"/>
        <w:rPr>
          <w:sz w:val="20"/>
          <w:szCs w:val="20"/>
          <w:color w:val="auto"/>
        </w:rPr>
      </w:pPr>
    </w:p>
    <w:p>
      <w:pPr>
        <w:ind w:left="680" w:hanging="216"/>
        <w:spacing w:after="0"/>
        <w:tabs>
          <w:tab w:leader="none" w:pos="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Credit Agreement,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such other documents as we have deemed necessary or appropriate as a basis for the opinions set forth below.</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also relied, with respect to certain factual matters, on the representations and warranties of the Borrower contained in the Credit Agreement and have assumed compliance by the Borrower with the terms of the Credit Agreement.</w:t>
      </w:r>
    </w:p>
    <w:p>
      <w:pPr>
        <w:spacing w:after="0" w:line="13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In rendering our opinion, we have assumed (a) the genuineness of all signatures, (b) that each party to the Credit Agreement has been duly organized and is validly existing and in good standing under the laws of the jurisdiction of its organization and has all necessary power, authority and legal right to execute and deliver the Credit Agreement and to perform its obligations thereunder and that the Credit Agreement is a legal, valid and binding obligation of each party thereto (other than the Borrower), (c) the due authorization, execution and delivery of the Credit Agreement by all parties thereto, (d) the authenticity of all documents submitted to us as originals, (e) the conformity to original documents of all documents submitted to us as copies and (f) that insofar as any obligation under the Credit Agreement is to be performed in, or by a party organized under the laws of, any jurisdiction outside the State of New York, its performance will not be illegal or ineffective in any jurisdiction by virtue of the law of that jurisdiction. In rendering our opinion, we also have relied upon the opinion, dated the date</w:t>
      </w:r>
    </w:p>
    <w:p>
      <w:pPr>
        <w:spacing w:after="0"/>
        <w:tabs>
          <w:tab w:leader="none" w:pos="2760" w:val="left"/>
        </w:tabs>
        <w:rPr>
          <w:sz w:val="20"/>
          <w:szCs w:val="20"/>
          <w:color w:val="auto"/>
        </w:rPr>
      </w:pPr>
      <w:r>
        <w:rPr>
          <w:rFonts w:ascii="Arial" w:cs="Arial" w:eastAsia="Arial" w:hAnsi="Arial"/>
          <w:sz w:val="18"/>
          <w:szCs w:val="18"/>
          <w:color w:val="auto"/>
        </w:rPr>
        <w:t>hereof and addressed to you,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-17780</wp:posOffset>
            </wp:positionV>
            <wp:extent cx="3346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foregoing and subject to the qualifications hereinafter set forth, we are of opinion as follows:</w:t>
      </w:r>
    </w:p>
    <w:p>
      <w:pPr>
        <w:sectPr>
          <w:pgSz w:w="11900" w:h="16838" w:orient="portrait"/>
          <w:cols w:equalWidth="0" w:num="1">
            <w:col w:w="11420"/>
          </w:cols>
          <w:pgMar w:left="240" w:top="274" w:right="239" w:bottom="1440" w:gutter="0" w:footer="0" w:header="0"/>
        </w:sectPr>
      </w:pPr>
    </w:p>
    <w:bookmarkStart w:id="160" w:name="page161"/>
    <w:bookmarkEnd w:id="160"/>
    <w:p>
      <w:pPr>
        <w:ind w:right="80" w:firstLine="921"/>
        <w:spacing w:after="0" w:line="283" w:lineRule="auto"/>
        <w:tabs>
          <w:tab w:leader="none" w:pos="1088" w:val="left"/>
        </w:tabs>
        <w:numPr>
          <w:ilvl w:val="1"/>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Credit Agreement constitutes a legal, valid and binding obligation of the Borrower, enforceable against the Borrower in accordance with its terms, subject in each case to applicable bankruptcy, insolvency, reorganization, moratorium, fraudulent transfer and other similar laws relating to or affecting creditors’ rights generally from time to time in effect and to general principles of equity (including, without limitation, concepts of materiality, reasonableness, good faith and fair dealing), regardless of whether considered in a proceeding in equity or at law. The foregoing opinion is subject to the following qualifications:</w:t>
      </w:r>
    </w:p>
    <w:p>
      <w:pPr>
        <w:spacing w:after="0" w:line="2" w:lineRule="exact"/>
        <w:rPr>
          <w:rFonts w:ascii="Arial" w:cs="Arial" w:eastAsia="Arial" w:hAnsi="Arial"/>
          <w:sz w:val="16"/>
          <w:szCs w:val="16"/>
          <w:color w:val="auto"/>
        </w:rPr>
      </w:pPr>
    </w:p>
    <w:p>
      <w:pPr>
        <w:ind w:right="40" w:firstLine="8"/>
        <w:spacing w:after="0" w:line="252" w:lineRule="auto"/>
        <w:tabs>
          <w:tab w:leader="none" w:pos="23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insofar as provisions contained in the Credit Agreement provide for indemnification or limitations on liability, the enforceability thereof may be limited by public policy considerations, (b) the availability of a decree for specific performance or an injunction is subject to the discretion of the court requested to issue any such decree or injunction, (c) we express no opinion as to the effect of the laws of any jurisdiction other than the State of New York where any Bank may be located or where enforcement of the Credit Agreement may be sought that limit the rates of interest legally chargeable or collectible and (d) we express no opinion herein as to any provision in the Credit Agreement (i) that relates to the subject matter jurisdiction of any Federal court of the United States of America, or any Federal appellate court, to adjudicate any controversy related to the Credit Agreement, (ii) that contains a waiver of an inconvenient forum, (iii) that relates to a right of set-off in respect of purchases of participating interests in Loans or with respect to parties that may not hold mutual debts or (iv) that provides for liquidated damages.</w:t>
      </w:r>
    </w:p>
    <w:p>
      <w:pPr>
        <w:spacing w:after="0" w:line="145" w:lineRule="exact"/>
        <w:rPr>
          <w:rFonts w:ascii="Arial" w:cs="Arial" w:eastAsia="Arial" w:hAnsi="Arial"/>
          <w:sz w:val="18"/>
          <w:szCs w:val="18"/>
          <w:color w:val="auto"/>
        </w:rPr>
      </w:pPr>
    </w:p>
    <w:p>
      <w:pPr>
        <w:jc w:val="both"/>
        <w:ind w:right="120" w:firstLine="921"/>
        <w:spacing w:after="0" w:line="259" w:lineRule="auto"/>
        <w:tabs>
          <w:tab w:leader="none" w:pos="108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Assuming that the Borrower complies with the provisions of the Credit Agreement relating to the use of proceeds of the Loans, the execution and delivery by the Borrower of the Credit Agreement and the performance by the Borrower of its obligations thereunder do not violate any law of the United States of America or of the State of New York.</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understand that you are satisfying yourselves as to the status under Section 548 of the Bankruptcy Code and applicable state fraudulent conveyance laws of the obligations of the Borrower under the Credit Agreement and we express no opinion thereon.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are admitted to practice only in the State of New York, and we express no opinion as to matters governed by any laws other than the laws of the State of New York and the Federal law of the United States of America.</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This opinion is rendered only to the Administrative Agent and the Banks party to the Credit Agreement as of the date hereof and is solely for their benefit in connection with the Credit Agreement and the transactions thereunder. This opinion may not be relied upon by any other person or for any other purpose or used, circulated, quoted or otherwise referred to for any other purpose without our prior written consent. We are opining as to the matters herein only as of the date hereof, and do not undertake any obligation to update this opinion.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Administrative Agent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Banks party to the Credit Agreement as of the date hereof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 care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Citibank, N.A., 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161S Brett Road, OPS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Castle, Delaware 19720</w:t>
      </w:r>
    </w:p>
    <w:p>
      <w:pPr>
        <w:sectPr>
          <w:pgSz w:w="11900" w:h="16838" w:orient="portrait"/>
          <w:cols w:equalWidth="0" w:num="1">
            <w:col w:w="11420"/>
          </w:cols>
          <w:pgMar w:left="240" w:top="280"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[FORM OF OPINION OF GENERAL COUNSEL TO COMPANY]</w:t>
      </w:r>
    </w:p>
    <w:p>
      <w:pPr>
        <w:spacing w:after="0" w:line="212" w:lineRule="exact"/>
        <w:rPr>
          <w:sz w:val="20"/>
          <w:szCs w:val="20"/>
          <w:color w:val="auto"/>
        </w:rPr>
      </w:pPr>
    </w:p>
    <w:p>
      <w:pPr>
        <w:ind w:right="3700"/>
        <w:spacing w:after="0" w:line="438" w:lineRule="auto"/>
        <w:rPr>
          <w:sz w:val="20"/>
          <w:szCs w:val="20"/>
          <w:color w:val="auto"/>
        </w:rPr>
      </w:pPr>
      <w:r>
        <w:rPr>
          <w:rFonts w:ascii="Arial" w:cs="Arial" w:eastAsia="Arial" w:hAnsi="Arial"/>
          <w:sz w:val="18"/>
          <w:szCs w:val="18"/>
          <w:color w:val="auto"/>
        </w:rPr>
        <w:t>To: The Banks and the Administrative Agent referred to below c/o Citibank, N.A., as Administrative Agent Ladies and Gentlemen:</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 am General Counsel of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have acted as counsel to the Company in connection with the Credit Agreement dated as of April [29], 2010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the Company, the Banks party thereto, and Citibank, N.A. as Administrative Agent. Unless otherwise indicated, capitalized terms used and not defined herein shall have the meaning assigned to them in the Credit Agreement. This opinion is being rendered to you at the request of the Company and pursuant to Section 5.1(d) of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purposes of this opinion, I, or attorneys working under my direction, have reviewed the following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 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other documents as I have deemed necessary or appropriate as a basis for the opinions set forth below.</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 have examined originals or copies, certified or otherwise identified to my satisfaction, of such documents, corporate records, certificates of public officials and other instruments and have conducted such other investigations of fact and law as I have deemed necessary or advisable for purposes of the opinions expressed below. In such examination, I have assumed the genuineness of all signatures, the authenticity of all documents submitted to me as originals, the conformity to authentic original documents of all documents submitted to me as copies and the legal capacity of all individuals executing such documents. As to questions of fact material to this opinion which I did not independently establish or verify, I have, with your consent, relied upon the statements, certificates and representations of officers and other representatives of the Company. In addition, I have obtained and relied upon such certificates and assurances from public officials as I have deemed necessary.</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 have also assumed the valid authorization, execution and delivery of the Credit Agreement by each party thereto other than the Company, and I have assumed that each such other party has been duly organized and is validly existing and in good standing under its jurisdiction of organization, and that each such other party has the legal capacity, power and authority to perform its obligations thereunder, and that, except as expressly opined to below, the Credit Agreement constitutes the valid and binding obligation of all such other parties, enforceable against them in accordance with its terms.</w:t>
      </w:r>
    </w:p>
    <w:p>
      <w:pPr>
        <w:sectPr>
          <w:pgSz w:w="11900" w:h="16838" w:orient="portrait"/>
          <w:cols w:equalWidth="0" w:num="1">
            <w:col w:w="11420"/>
          </w:cols>
          <w:pgMar w:left="240" w:top="280" w:right="239" w:bottom="1440" w:gutter="0" w:footer="0" w:header="0"/>
        </w:sectPr>
      </w:pPr>
    </w:p>
    <w:bookmarkStart w:id="162" w:name="page163"/>
    <w:bookmarkEnd w:id="162"/>
    <w:p>
      <w:pPr>
        <w:ind w:right="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am a member of the Bar of the State of New York, and I have not considered, and I express no opinion as to, the laws of any jurisdiction other than the laws of the State of New York, the Limited Liability Company Act of the State of Delaware and the federal laws of the United States of America, in each case as in effect on the date hereof. My opinions below as to compliance with certain statutes, rules and regulations are based upon a review of those statutes, rules and regulations which, in my experience, are normally applicable to transactions of the type contemplated by the Credit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comments and qualifications set forth below, it is my opinion that:</w:t>
      </w:r>
    </w:p>
    <w:p>
      <w:pPr>
        <w:spacing w:after="0" w:line="90"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color w:val="auto"/>
        </w:rPr>
        <w:t>The Company (a) is a limited liability company duly formed and validly existing and in good standing under the Limited Liability Company Act of the State of Delaware, (b) has the requisite power and authority to conduct its business as now conducted and except where the failure to do so, in the aggregate, would not reasonably be expected to result in a Material Adverse Effect, is qualified to do business in, and is in good standing in, every other jurisdiction where its ownership, lease, or operation of property or the conduct of its business requires such qualification and (c) has the requisite power and authority to execute, deliver and perform the Credit Agreement.</w:t>
      </w:r>
    </w:p>
    <w:p>
      <w:pPr>
        <w:spacing w:after="0" w:line="35"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The execution, delivery and performance of the Credit Agreement by the Company and the borrowings by the Company under the Credit Agreement will not (i) violate the organizational or governing documents of the Company, any other material Requirement of Law or any material Contractual Obligation of the Company or (ii) result in the creation or imposition of any Lien on any of its properties or revenues pursuant to any such Requirement of Law or Contractual Obligation. No consent or authorization of, filing with, or other act by or in respect of any Governmental Authority, is required to be obtained or made by the Company in connection with the borrowings under the Credit Agreement or with the execution, delivery and performance of the Credit Agreement by the Company, or in connection with the validity or enforceability of the Credit Agreement against the Company.</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Credit Agreement has been duly authorized, executed and delivered by the Company.</w:t>
      </w:r>
    </w:p>
    <w:p>
      <w:pPr>
        <w:spacing w:after="0" w:line="90"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To the best of my knowledge, there is no litigation, proceeding, or governmental investigation pending or threatened against the Company or against any of its properties or revenues (a) with respect to the Credit Agreement or (b) which is reasonably likely to be adversely determined and, if adversely determined, would reasonably be expected to have, a Material Adverse Effect, except as disclosed to the Banks prior to the Effective Date (including, without limitation, any disclosure made in a filing with the Securities and Exchange Commission).</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opinion is rendered only to the Administrative Agent and the Banks party to the Credit Agreement as of the date hereof and is solely for their benefit in connection with the Credit Agreement and the transactions thereunder. This opinion may not be relied upon by any other person or for any other purpose or used, circulated, quoted or otherwise referred to for any</w:t>
      </w:r>
    </w:p>
    <w:p>
      <w:pPr>
        <w:sectPr>
          <w:pgSz w:w="11900" w:h="16838" w:orient="portrait"/>
          <w:cols w:equalWidth="0" w:num="1">
            <w:col w:w="11380"/>
          </w:cols>
          <w:pgMar w:left="240" w:top="280" w:right="279" w:bottom="1440" w:gutter="0" w:footer="0" w:header="0"/>
        </w:sectPr>
      </w:pPr>
    </w:p>
    <w:bookmarkStart w:id="163" w:name="page164"/>
    <w:bookmarkEnd w:id="16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purpose without my prior written consent. I am opining as to the matters herein only as of the date hereof, and do not undertake any obligation to update this opinion.</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28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OF OPINION WILMER CUTLER PICKERING HALE AND DORR LLP</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State Street Bank and Trust Co.,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Citibank, N.A.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1615 Brett Road, OPS 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Robert Ross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have requested our opinion in connection with the Credit Agreement dated April 29, 2010 (“Credit Agreement”), by and among Lazard Group LLC, a Delaware limited liability company (“Lazard Group”), and Citibank, N.A., State Street Bank and Trust Co., and The Bank of New York Mellon (collectively, “Banks”), relating to Loans (as defined in the Credit Agreement) made by the Banks to Lazard Group, that neither Lazard Group nor any of its Subsidiaries (as defined in the Credit Agreement) is an “investment company”, or a company “controlled” by a registered “investment company” within the meaning of the Investment Company Act of 1940, as amended (“Act”).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examined and relied upon originals, or copies certified to our satisfaction, of such company records, documents, certificates, and other instruments as in our judgment are necessary or appropriate to enable us to render the opinion set forth below. In our examination of the documents described above, we have assumed the genuineness of all signatures, the legal capacity of all individual signatories, the completeness of all corporate records provided to us, the authenticity of all documents submitted to us as originals, the conformity to original documents of all documents submitted to us as copies, and the authenticity of the originals of such latter documents. We also have examined and relied upon the documents filed by Lazard Ltd, a holding company organized under Bermuda law as an exempted Bermuda limited company, and Lazard Group with the Securities and Exchange Commission, including all exhibits thereto and incorporated by reference (“SEC Filings”). We assume, with your permission, that all of the facts included in the SEC Filings are accurate and complete in all material respects, and that the agreements included as exhibits to the SEC Filings contain the substantially final terms of such agreements.</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are of the opinion that neither Lazard Group nor any of its Subsidiaries is an “investment company”, or a company “controlled” by a registered “investment company” within the meaning of the Act.</w:t>
      </w:r>
    </w:p>
    <w:p>
      <w:pPr>
        <w:sectPr>
          <w:pgSz w:w="11900" w:h="16838" w:orient="portrait"/>
          <w:cols w:equalWidth="0" w:num="1">
            <w:col w:w="11420"/>
          </w:cols>
          <w:pgMar w:left="240" w:top="280" w:right="239" w:bottom="1440" w:gutter="0" w:footer="0" w:header="0"/>
        </w:sectPr>
      </w:pPr>
    </w:p>
    <w:bookmarkStart w:id="165" w:name="page166"/>
    <w:bookmarkEnd w:id="165"/>
    <w:p>
      <w:pPr>
        <w:ind w:right="2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may not be relied upon by or furnished to any other party (other than Lazard and its affiliates and their counsel) without our prior written consent. This opinion is provided to you as a legal opinion only and not as a guaranty or warranty of the matters discussed herein.</w:t>
      </w:r>
    </w:p>
    <w:p>
      <w:pPr>
        <w:spacing w:after="0" w:line="8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assume no obligation to advise you of changes that may be brought to our attention after the date of this opinion. Our opinion is based on the Act, the regulations thereunder, and administrative decisions and interpretations completed at the date of this opinion, and we do not opine as to any law, regulation, rule, or governmental policy or decision that may be enacted, determined, or adopted after the date hereof, nor assume any responsibility to advise you of future changes in our opinion. We do not express any conclusions as to the effect of any other Federal laws of the United States or of the laws of any other jurisdiction.</w:t>
      </w:r>
    </w:p>
    <w:p>
      <w:pPr>
        <w:spacing w:after="0" w:line="1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300"/>
          </w:cols>
          <w:pgMar w:left="240" w:top="280" w:right="35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ASSIGNMENT AND ACCEPTANCE</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is made to the Credit Agreement, dated as of April 29, 2010 (as amended,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Lazard Group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Banks party thereto and Citibank, N.A., a national banking association, as administrative agent for the Banks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Unless otherwise defined herein, terms defined in the Credit Agreement and used herein shall have the meanings given to them in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Assignor identified on Schedule l hereto (the “</w:t>
      </w:r>
      <w:r>
        <w:rPr>
          <w:rFonts w:ascii="Arial" w:cs="Arial" w:eastAsia="Arial" w:hAnsi="Arial"/>
          <w:sz w:val="16"/>
          <w:szCs w:val="16"/>
          <w:u w:val="single" w:color="auto"/>
          <w:color w:val="auto"/>
        </w:rPr>
        <w:t>Assignor</w:t>
      </w:r>
      <w:r>
        <w:rPr>
          <w:rFonts w:ascii="Arial" w:cs="Arial" w:eastAsia="Arial" w:hAnsi="Arial"/>
          <w:sz w:val="16"/>
          <w:szCs w:val="16"/>
          <w:color w:val="auto"/>
        </w:rPr>
        <w:t>”) and the Assignee identified on Schedule l hereto (the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194" w:lineRule="exact"/>
        <w:rPr>
          <w:sz w:val="20"/>
          <w:szCs w:val="20"/>
          <w:color w:val="auto"/>
        </w:rPr>
      </w:pPr>
    </w:p>
    <w:p>
      <w:pPr>
        <w:ind w:right="420" w:firstLine="8"/>
        <w:spacing w:after="0" w:line="294" w:lineRule="auto"/>
        <w:tabs>
          <w:tab w:leader="none" w:pos="1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Assignor hereby irrevocably sells and assigns to the Assignee without recourse to the Assignor, and the Assignee hereby irrevocably purchases and assumes from the Assignor without recourse to the Assignor, as of the Effective Date (as defined below), the interest described in Schedule 1 hereto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in and to the Assignor’s rights and obligations under the Credit Agreement with respect to those credit facilities contained in the Credit Agreement as are set forth on Schedule 1 hereto (individually, an “</w:t>
      </w:r>
      <w:r>
        <w:rPr>
          <w:rFonts w:ascii="Arial" w:cs="Arial" w:eastAsia="Arial" w:hAnsi="Arial"/>
          <w:sz w:val="16"/>
          <w:szCs w:val="16"/>
          <w:u w:val="single" w:color="auto"/>
          <w:color w:val="auto"/>
        </w:rPr>
        <w:t>Assigned Facility</w:t>
      </w:r>
      <w:r>
        <w:rPr>
          <w:rFonts w:ascii="Arial" w:cs="Arial" w:eastAsia="Arial" w:hAnsi="Arial"/>
          <w:sz w:val="16"/>
          <w:szCs w:val="16"/>
          <w:color w:val="auto"/>
        </w:rPr>
        <w:t>”; collectively, the “</w:t>
      </w:r>
      <w:r>
        <w:rPr>
          <w:rFonts w:ascii="Arial" w:cs="Arial" w:eastAsia="Arial" w:hAnsi="Arial"/>
          <w:sz w:val="16"/>
          <w:szCs w:val="16"/>
          <w:u w:val="single" w:color="auto"/>
          <w:color w:val="auto"/>
        </w:rPr>
        <w:t>Assigned Facilities</w:t>
      </w:r>
      <w:r>
        <w:rPr>
          <w:rFonts w:ascii="Arial" w:cs="Arial" w:eastAsia="Arial" w:hAnsi="Arial"/>
          <w:sz w:val="16"/>
          <w:szCs w:val="16"/>
          <w:color w:val="auto"/>
        </w:rPr>
        <w:t>”), in a principal amount for each Assigned Facility as set forth on Schedule 1 hereto.</w:t>
      </w:r>
    </w:p>
    <w:p>
      <w:pPr>
        <w:spacing w:after="0" w:line="115" w:lineRule="exact"/>
        <w:rPr>
          <w:rFonts w:ascii="Arial" w:cs="Arial" w:eastAsia="Arial" w:hAnsi="Arial"/>
          <w:sz w:val="16"/>
          <w:szCs w:val="16"/>
          <w:color w:val="auto"/>
        </w:rPr>
      </w:pPr>
    </w:p>
    <w:p>
      <w:pPr>
        <w:ind w:right="40" w:firstLine="8"/>
        <w:spacing w:after="0" w:line="290" w:lineRule="auto"/>
        <w:tabs>
          <w:tab w:leader="none" w:pos="1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Assignor (a) makes no representation or warranty and assumes no responsibility with respect to any statements, warranties or representations made in or in connection with the Credit Agreement or with respect to the execution, legality, validity, enforceability, genuineness, sufficiency or value of the Credit Agreement, any other Credit Document or any other instrument or document furnished pursuant thereto, other than that the Assignor has not created any adverse claim upon the interest being assigned by it hereunder and that such interest is free and clear of any such adverse claim and (b) makes no representation or warranty and assumes no responsibility with respect to the financial condition of the Company, any of its Affiliates or any other obligor or the performance or observance by the Company, any of its Affiliates or any other obligor of any of their respective obligations under the Credit Agreement or any other Credit Document or any other instrument or document furnished pursuant hereto or thereto.</w:t>
      </w:r>
    </w:p>
    <w:p>
      <w:pPr>
        <w:spacing w:after="0" w:line="118" w:lineRule="exact"/>
        <w:rPr>
          <w:rFonts w:ascii="Arial" w:cs="Arial" w:eastAsia="Arial" w:hAnsi="Arial"/>
          <w:sz w:val="16"/>
          <w:szCs w:val="16"/>
          <w:color w:val="auto"/>
        </w:rPr>
      </w:pPr>
    </w:p>
    <w:p>
      <w:pPr>
        <w:ind w:right="80" w:firstLine="8"/>
        <w:spacing w:after="0" w:line="290" w:lineRule="auto"/>
        <w:tabs>
          <w:tab w:leader="none" w:pos="17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Assignee (a) represents and warrants that it is legally authorized to enter into this Assignment and Acceptance; (b) confirms that it has received a copy of the Credit Agreement, together with copies of the financial statements delivered pursuant to Section 6.1 thereof and such other documents and information as it has deemed appropriate to make its own credit analysis and decision to enter into this Assignment and Acceptance; (c) agrees that it will, independently and without reliance upon the Assignor, the Administrative Agent or any Bank and based on such documents and information as it shall deem appropriate at the time, continue to make its own credit decisions in taking or not taking action under the Credit Agreement, the other Credit Documents or any other instrument or document furnished pursuant hereto or thereto; (d) appoints and authorizes the Administrative Agent to take such action as agent on its behalf and to exercise such powers and discretion under the Credit Agreement, the other Credit</w:t>
      </w:r>
    </w:p>
    <w:p>
      <w:pPr>
        <w:sectPr>
          <w:pgSz w:w="11900" w:h="16838" w:orient="portrait"/>
          <w:cols w:equalWidth="0" w:num="1">
            <w:col w:w="11420"/>
          </w:cols>
          <w:pgMar w:left="240" w:top="280" w:right="239" w:bottom="1440" w:gutter="0" w:footer="0" w:header="0"/>
        </w:sectPr>
      </w:pPr>
    </w:p>
    <w:bookmarkStart w:id="167" w:name="page168"/>
    <w:bookmarkEnd w:id="16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or any other instrument or document furnished pursuant hereto or thereto as are delegated to the Administrative Agent by the terms thereof, together with such powers as are incidental thereto; and (e) agrees that it will be bound by the provisions of the Credit Agreement and will perform in accordance with its terms all the obligations which by the terms of the Credit Agreement are required to be performed by it as a Bank including, if it is organized under the laws of a jurisdiction outside the United States, its obligation pursuant to Section 2.17(d) of the Credit Agreement.</w:t>
      </w:r>
    </w:p>
    <w:p>
      <w:pPr>
        <w:spacing w:after="0" w:line="113" w:lineRule="exact"/>
        <w:rPr>
          <w:sz w:val="20"/>
          <w:szCs w:val="20"/>
          <w:color w:val="auto"/>
        </w:rPr>
      </w:pPr>
    </w:p>
    <w:p>
      <w:pPr>
        <w:ind w:right="280" w:firstLine="8"/>
        <w:spacing w:after="0" w:line="298" w:lineRule="auto"/>
        <w:tabs>
          <w:tab w:leader="none" w:pos="17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effective date of this Assignment and Acceptance shall be the Effective Date of Assignment described in Schedule 1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 Following the execution of this Assignment and Acceptance, it will be delivered to the Administrative Agent for acceptance by it and recording by the Administrative Agent pursuant to the Credit Agreement, effective as of the Effective Date (which shall not, unless otherwise agreed to by the Administrative Agent, be earlier than five Business Days after the date of such acceptance and recording by the Administrative Agent).</w:t>
      </w:r>
    </w:p>
    <w:p>
      <w:pPr>
        <w:spacing w:after="0" w:line="112" w:lineRule="exact"/>
        <w:rPr>
          <w:rFonts w:ascii="Arial" w:cs="Arial" w:eastAsia="Arial" w:hAnsi="Arial"/>
          <w:sz w:val="16"/>
          <w:szCs w:val="16"/>
          <w:color w:val="auto"/>
        </w:rPr>
      </w:pPr>
    </w:p>
    <w:p>
      <w:pPr>
        <w:ind w:right="80" w:firstLine="8"/>
        <w:spacing w:after="0" w:line="298" w:lineRule="auto"/>
        <w:tabs>
          <w:tab w:leader="none" w:pos="17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Upon such acceptance and recording, from and after the Effective Date, the Administrative Agent shall make all payments in respect of the Assigned Interest (including payments of principal, interest, fees and other amounts) to the Assignee whether such amounts have accrued prior to the Effective Date or accrue subsequent to the Effective Date. The Assignor and the Assignee shall make all appropriate adjustments in payments by the Administrative Agent for periods prior to the Effective Date or with respect to the making of this assignment directly between themselves.</w:t>
      </w:r>
    </w:p>
    <w:p>
      <w:pPr>
        <w:spacing w:after="0" w:line="112" w:lineRule="exact"/>
        <w:rPr>
          <w:rFonts w:ascii="Arial" w:cs="Arial" w:eastAsia="Arial" w:hAnsi="Arial"/>
          <w:sz w:val="16"/>
          <w:szCs w:val="16"/>
          <w:color w:val="auto"/>
        </w:rPr>
      </w:pPr>
    </w:p>
    <w:p>
      <w:pPr>
        <w:ind w:right="180" w:firstLine="8"/>
        <w:spacing w:after="0" w:line="335" w:lineRule="auto"/>
        <w:tabs>
          <w:tab w:leader="none" w:pos="176" w:val="left"/>
        </w:tabs>
        <w:numPr>
          <w:ilvl w:val="0"/>
          <w:numId w:val="117"/>
        </w:numPr>
        <w:rPr>
          <w:rFonts w:ascii="Arial" w:cs="Arial" w:eastAsia="Arial" w:hAnsi="Arial"/>
          <w:sz w:val="15"/>
          <w:szCs w:val="15"/>
          <w:color w:val="auto"/>
        </w:rPr>
      </w:pPr>
      <w:r>
        <w:rPr>
          <w:rFonts w:ascii="Arial" w:cs="Arial" w:eastAsia="Arial" w:hAnsi="Arial"/>
          <w:sz w:val="15"/>
          <w:szCs w:val="15"/>
          <w:color w:val="auto"/>
        </w:rPr>
        <w:t>From and after the Effective Date, (a) the Assignee shall be a party to the Credit Agreement and, to the extent provided in this Assignment and Acceptance, have the rights and obligations of a Bank thereunder and under the other Credit Documents and shall be bound by the provisions thereof and (b) the Assignor shall, to the extent provided in this Assignment and Acceptance, relinquish its rights and be released from its obligations under the Credit Agreement.</w:t>
      </w:r>
    </w:p>
    <w:p>
      <w:pPr>
        <w:spacing w:after="0" w:line="88" w:lineRule="exact"/>
        <w:rPr>
          <w:rFonts w:ascii="Arial" w:cs="Arial" w:eastAsia="Arial" w:hAnsi="Arial"/>
          <w:sz w:val="15"/>
          <w:szCs w:val="15"/>
          <w:color w:val="auto"/>
        </w:rPr>
      </w:pPr>
    </w:p>
    <w:p>
      <w:pPr>
        <w:ind w:left="180" w:hanging="172"/>
        <w:spacing w:after="0"/>
        <w:tabs>
          <w:tab w:leader="none" w:pos="1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ectPr>
          <w:pgSz w:w="11900" w:h="16838" w:orient="portrait"/>
          <w:cols w:equalWidth="0" w:num="1">
            <w:col w:w="11300"/>
          </w:cols>
          <w:pgMar w:left="240" w:top="280" w:right="359" w:bottom="1440" w:gutter="0" w:footer="0" w:header="0"/>
        </w:sectPr>
      </w:pPr>
    </w:p>
    <w:bookmarkStart w:id="168" w:name="page169"/>
    <w:bookmarkEnd w:id="168"/>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Assignment and Acceptance to be executed as of the date first above written by their respective duly authorized officers on Schedule 1 hereto.</w:t>
      </w:r>
    </w:p>
    <w:p>
      <w:pPr>
        <w:sectPr>
          <w:pgSz w:w="11900" w:h="16838" w:orient="portrait"/>
          <w:cols w:equalWidth="0" w:num="1">
            <w:col w:w="11280"/>
          </w:cols>
          <w:pgMar w:left="240" w:top="280" w:right="37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Assignment and Acceptance with respect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Credit Agreement, dated as of April 29,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Lazard Group LLC (the “</w:t>
      </w:r>
      <w:r>
        <w:rPr>
          <w:rFonts w:ascii="Arial" w:cs="Arial" w:eastAsia="Arial" w:hAnsi="Arial"/>
          <w:sz w:val="18"/>
          <w:szCs w:val="18"/>
          <w:u w:val="single" w:color="auto"/>
          <w:color w:val="auto"/>
        </w:rPr>
        <w:t>Company</w:t>
      </w:r>
      <w:r>
        <w:rPr>
          <w:rFonts w:ascii="Arial" w:cs="Arial" w:eastAsia="Arial" w:hAnsi="Arial"/>
          <w:sz w:val="18"/>
          <w:szCs w:val="18"/>
          <w:color w:val="auto"/>
        </w:rPr>
        <w:t>”), the Banks party thereto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Citibank,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881380</wp:posOffset>
            </wp:positionH>
            <wp:positionV relativeFrom="paragraph">
              <wp:posOffset>-13970</wp:posOffset>
            </wp:positionV>
            <wp:extent cx="20345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-13970</wp:posOffset>
            </wp:positionV>
            <wp:extent cx="20345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0345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of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1390015</wp:posOffset>
            </wp:positionH>
            <wp:positionV relativeFrom="paragraph">
              <wp:posOffset>-13970</wp:posOffset>
            </wp:positionV>
            <wp:extent cx="18116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11655" cy="8890"/>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4"/>
            <w:vMerge w:val="restart"/>
          </w:tcPr>
          <w:p>
            <w:pPr>
              <w:spacing w:after="0"/>
              <w:rPr>
                <w:sz w:val="20"/>
                <w:szCs w:val="20"/>
                <w:color w:val="auto"/>
              </w:rPr>
            </w:pPr>
            <w:r>
              <w:rPr>
                <w:rFonts w:ascii="Arial" w:cs="Arial" w:eastAsia="Arial" w:hAnsi="Arial"/>
                <w:sz w:val="14"/>
                <w:szCs w:val="14"/>
                <w:color w:val="auto"/>
              </w:rPr>
              <w:t>Credit Facility Assigned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4"/>
                <w:szCs w:val="14"/>
                <w:color w:val="auto"/>
              </w:rPr>
              <w:t>Principal</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80" w:type="dxa"/>
            <w:vAlign w:val="bottom"/>
            <w:gridSpan w:val="4"/>
            <w:vMerge w:val="continue"/>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Amount Assigned</w:t>
            </w:r>
          </w:p>
        </w:tc>
        <w:tc>
          <w:tcPr>
            <w:tcW w:w="1880" w:type="dxa"/>
            <w:vAlign w:val="bottom"/>
            <w:gridSpan w:val="4"/>
          </w:tcPr>
          <w:p>
            <w:pPr>
              <w:jc w:val="center"/>
              <w:spacing w:after="0" w:line="146" w:lineRule="exact"/>
              <w:rPr>
                <w:sz w:val="20"/>
                <w:szCs w:val="20"/>
                <w:color w:val="auto"/>
              </w:rPr>
            </w:pPr>
            <w:r>
              <w:rPr>
                <w:rFonts w:ascii="Arial" w:cs="Arial" w:eastAsia="Arial" w:hAnsi="Arial"/>
                <w:sz w:val="14"/>
                <w:szCs w:val="14"/>
                <w:color w:val="auto"/>
                <w:w w:val="86"/>
              </w:rPr>
              <w:t>Commitment Percentage Assigned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17"/>
        </w:trPr>
        <w:tc>
          <w:tcPr>
            <w:tcW w:w="53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[Name of Assignee]</w:t>
            </w:r>
          </w:p>
        </w:tc>
        <w:tc>
          <w:tcPr>
            <w:tcW w:w="2560" w:type="dxa"/>
            <w:vAlign w:val="bottom"/>
            <w:tcBorders>
              <w:top w:val="single" w:sz="8" w:color="CCEEFF"/>
            </w:tcBorders>
            <w:gridSpan w:val="4"/>
          </w:tcPr>
          <w:p>
            <w:pPr>
              <w:ind w:left="660"/>
              <w:spacing w:after="0"/>
              <w:rPr>
                <w:sz w:val="20"/>
                <w:szCs w:val="20"/>
                <w:color w:val="auto"/>
              </w:rPr>
            </w:pPr>
            <w:r>
              <w:rPr>
                <w:rFonts w:ascii="Arial" w:cs="Arial" w:eastAsia="Arial" w:hAnsi="Arial"/>
                <w:sz w:val="18"/>
                <w:szCs w:val="18"/>
                <w:color w:val="auto"/>
              </w:rPr>
              <w:t>[Name of Assignor]</w:t>
            </w:r>
          </w:p>
        </w:tc>
        <w:tc>
          <w:tcPr>
            <w:tcW w:w="520" w:type="dxa"/>
            <w:vAlign w:val="bottom"/>
            <w:tcBorders>
              <w:top w:val="single" w:sz="8" w:color="auto"/>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380" w:type="dxa"/>
            <w:vAlign w:val="bottom"/>
            <w:gridSpan w:val="4"/>
          </w:tcPr>
          <w:p>
            <w:pPr>
              <w:spacing w:after="0"/>
              <w:rPr>
                <w:sz w:val="20"/>
                <w:szCs w:val="20"/>
                <w:color w:val="auto"/>
              </w:rPr>
            </w:pPr>
            <w:r>
              <w:rPr>
                <w:rFonts w:ascii="Arial" w:cs="Arial" w:eastAsia="Arial" w:hAnsi="Arial"/>
                <w:sz w:val="18"/>
                <w:szCs w:val="18"/>
                <w:color w:val="auto"/>
              </w:rPr>
              <w:t>By:</w:t>
            </w:r>
          </w:p>
        </w:tc>
        <w:tc>
          <w:tcPr>
            <w:tcW w:w="3960" w:type="dxa"/>
            <w:vAlign w:val="bottom"/>
            <w:gridSpan w:val="6"/>
          </w:tcPr>
          <w:p>
            <w:pPr>
              <w:ind w:left="66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512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Title:</w:t>
            </w:r>
          </w:p>
        </w:tc>
        <w:tc>
          <w:tcPr>
            <w:tcW w:w="920" w:type="dxa"/>
            <w:vAlign w:val="bottom"/>
          </w:tcPr>
          <w:p>
            <w:pPr>
              <w:spacing w:after="0"/>
              <w:rPr>
                <w:sz w:val="18"/>
                <w:szCs w:val="18"/>
                <w:color w:val="auto"/>
              </w:rPr>
            </w:pPr>
          </w:p>
        </w:tc>
        <w:tc>
          <w:tcPr>
            <w:tcW w:w="3040" w:type="dxa"/>
            <w:vAlign w:val="bottom"/>
            <w:tcBorders>
              <w:top w:val="single" w:sz="8" w:color="auto"/>
            </w:tcBorders>
            <w:gridSpan w:val="5"/>
          </w:tcPr>
          <w:p>
            <w:pPr>
              <w:ind w:left="100"/>
              <w:spacing w:after="0"/>
              <w:rPr>
                <w:sz w:val="20"/>
                <w:szCs w:val="20"/>
                <w:color w:val="auto"/>
              </w:rPr>
            </w:pPr>
            <w:r>
              <w:rPr>
                <w:rFonts w:ascii="Arial" w:cs="Arial" w:eastAsia="Arial" w:hAnsi="Arial"/>
                <w:sz w:val="18"/>
                <w:szCs w:val="18"/>
                <w:color w:val="auto"/>
              </w:rPr>
              <w:t>Title:</w:t>
            </w: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380" w:type="dxa"/>
            <w:vAlign w:val="bottom"/>
            <w:gridSpan w:val="4"/>
          </w:tcPr>
          <w:p>
            <w:pPr>
              <w:spacing w:after="0"/>
              <w:rPr>
                <w:sz w:val="20"/>
                <w:szCs w:val="20"/>
                <w:color w:val="auto"/>
              </w:rPr>
            </w:pPr>
            <w:r>
              <w:rPr>
                <w:rFonts w:ascii="Arial" w:cs="Arial" w:eastAsia="Arial" w:hAnsi="Arial"/>
                <w:sz w:val="18"/>
                <w:szCs w:val="18"/>
                <w:color w:val="auto"/>
              </w:rPr>
              <w:t>Accepted for Recordation in the Register:</w:t>
            </w: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Required Consents (if any):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38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LAZARD GROUP LLC</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380" w:type="dxa"/>
            <w:vAlign w:val="bottom"/>
            <w:gridSpan w:val="4"/>
          </w:tcPr>
          <w:p>
            <w:pPr>
              <w:spacing w:after="0"/>
              <w:rPr>
                <w:sz w:val="20"/>
                <w:szCs w:val="20"/>
                <w:color w:val="auto"/>
              </w:rPr>
            </w:pPr>
            <w:r>
              <w:rPr>
                <w:rFonts w:ascii="Arial" w:cs="Arial" w:eastAsia="Arial" w:hAnsi="Arial"/>
                <w:sz w:val="18"/>
                <w:szCs w:val="18"/>
                <w:color w:val="auto"/>
              </w:rPr>
              <w:t>as Administrative Agent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380" w:type="dxa"/>
            <w:vAlign w:val="bottom"/>
            <w:gridSpan w:val="4"/>
          </w:tcPr>
          <w:p>
            <w:pPr>
              <w:spacing w:after="0"/>
              <w:rPr>
                <w:sz w:val="20"/>
                <w:szCs w:val="20"/>
                <w:color w:val="auto"/>
              </w:rPr>
            </w:pPr>
            <w:r>
              <w:rPr>
                <w:rFonts w:ascii="Arial" w:cs="Arial" w:eastAsia="Arial" w:hAnsi="Arial"/>
                <w:sz w:val="18"/>
                <w:szCs w:val="18"/>
                <w:color w:val="auto"/>
              </w:rPr>
              <w:t>By:</w:t>
            </w: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60" w:type="dxa"/>
            <w:vAlign w:val="bottom"/>
            <w:gridSpan w:val="2"/>
          </w:tcPr>
          <w:p>
            <w:pPr>
              <w:spacing w:after="0" w:line="202" w:lineRule="exact"/>
              <w:rPr>
                <w:sz w:val="20"/>
                <w:szCs w:val="20"/>
                <w:color w:val="auto"/>
              </w:rPr>
            </w:pPr>
            <w:r>
              <w:rPr>
                <w:rFonts w:ascii="Arial" w:cs="Arial" w:eastAsia="Arial" w:hAnsi="Arial"/>
                <w:sz w:val="18"/>
                <w:szCs w:val="18"/>
                <w:color w:val="auto"/>
              </w:rPr>
              <w:t>Title:</w:t>
            </w:r>
          </w:p>
        </w:tc>
        <w:tc>
          <w:tcPr>
            <w:tcW w:w="4920" w:type="dxa"/>
            <w:vAlign w:val="bottom"/>
            <w:tcBorders>
              <w:top w:val="single" w:sz="8" w:color="auto"/>
            </w:tcBorders>
            <w:gridSpan w:val="2"/>
          </w:tcPr>
          <w:p>
            <w:pPr>
              <w:spacing w:after="0"/>
              <w:rPr>
                <w:sz w:val="17"/>
                <w:szCs w:val="17"/>
                <w:color w:val="auto"/>
              </w:rPr>
            </w:pPr>
          </w:p>
        </w:tc>
        <w:tc>
          <w:tcPr>
            <w:tcW w:w="11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Title:</w:t>
            </w:r>
          </w:p>
        </w:tc>
        <w:tc>
          <w:tcPr>
            <w:tcW w:w="1400" w:type="dxa"/>
            <w:vAlign w:val="bottom"/>
            <w:tcBorders>
              <w:top w:val="single" w:sz="8" w:color="auto"/>
            </w:tcBorders>
            <w:gridSpan w:val="2"/>
          </w:tcPr>
          <w:p>
            <w:pPr>
              <w:spacing w:after="0"/>
              <w:rPr>
                <w:sz w:val="17"/>
                <w:szCs w:val="17"/>
                <w:color w:val="auto"/>
              </w:rPr>
            </w:pPr>
          </w:p>
        </w:tc>
        <w:tc>
          <w:tcPr>
            <w:tcW w:w="1400" w:type="dxa"/>
            <w:vAlign w:val="bottom"/>
            <w:tcBorders>
              <w:top w:val="single" w:sz="8" w:color="auto"/>
            </w:tcBorders>
            <w:gridSpan w:val="2"/>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CITIBANK, N.A.,</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as Administrative Agent</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960" w:type="dxa"/>
            <w:vAlign w:val="bottom"/>
            <w:gridSpan w:val="6"/>
          </w:tcPr>
          <w:p>
            <w:pPr>
              <w:ind w:left="70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Title:</w:t>
            </w:r>
          </w:p>
        </w:tc>
        <w:tc>
          <w:tcPr>
            <w:tcW w:w="5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COMPLIANCE CERTIFICATE]</w:t>
      </w:r>
    </w:p>
    <w:p>
      <w:pPr>
        <w:spacing w:after="0" w:line="171"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This Compliance Certificate is delivered pursuant to Section 5.2(c) of the Credit Agreement, dated as of April 29, 2010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(the “</w:t>
      </w:r>
      <w:r>
        <w:rPr>
          <w:rFonts w:ascii="Arial" w:cs="Arial" w:eastAsia="Arial" w:hAnsi="Arial"/>
          <w:sz w:val="16"/>
          <w:szCs w:val="16"/>
          <w:u w:val="single" w:color="auto"/>
          <w:color w:val="auto"/>
        </w:rPr>
        <w:t>Company</w:t>
      </w:r>
      <w:r>
        <w:rPr>
          <w:rFonts w:ascii="Arial" w:cs="Arial" w:eastAsia="Arial" w:hAnsi="Arial"/>
          <w:sz w:val="16"/>
          <w:szCs w:val="16"/>
          <w:color w:val="auto"/>
        </w:rPr>
        <w:t>”), the Banks party thereto, and Citibank, N.A., a national banking association,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Unless otherwise defined herein, terms defined in the Credit Agreement and used herein shall have the meanings given to them in the Credit Agreement.</w:t>
      </w:r>
    </w:p>
    <w:p>
      <w:pPr>
        <w:spacing w:after="0" w:line="113" w:lineRule="exact"/>
        <w:rPr>
          <w:sz w:val="20"/>
          <w:szCs w:val="20"/>
          <w:color w:val="auto"/>
        </w:rPr>
      </w:pPr>
    </w:p>
    <w:p>
      <w:pPr>
        <w:ind w:left="1100" w:hanging="179"/>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am the duly elected, qualified and acting Chief Financial Officer of the Company.</w:t>
      </w:r>
    </w:p>
    <w:p>
      <w:pPr>
        <w:spacing w:after="0" w:line="171" w:lineRule="exact"/>
        <w:rPr>
          <w:rFonts w:ascii="Arial" w:cs="Arial" w:eastAsia="Arial" w:hAnsi="Arial"/>
          <w:sz w:val="18"/>
          <w:szCs w:val="18"/>
          <w:color w:val="auto"/>
        </w:rPr>
      </w:pPr>
    </w:p>
    <w:p>
      <w:pPr>
        <w:ind w:left="1100" w:hanging="179"/>
        <w:spacing w:after="0"/>
        <w:tabs>
          <w:tab w:leader="none" w:pos="11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and am familiar with the contents of this Certificate.</w:t>
      </w:r>
    </w:p>
    <w:p>
      <w:pPr>
        <w:spacing w:after="0" w:line="171" w:lineRule="exact"/>
        <w:rPr>
          <w:rFonts w:ascii="Arial" w:cs="Arial" w:eastAsia="Arial" w:hAnsi="Arial"/>
          <w:sz w:val="18"/>
          <w:szCs w:val="18"/>
          <w:color w:val="auto"/>
        </w:rPr>
      </w:pPr>
    </w:p>
    <w:p>
      <w:pPr>
        <w:ind w:right="20" w:firstLine="921"/>
        <w:spacing w:after="0" w:line="298" w:lineRule="auto"/>
        <w:tabs>
          <w:tab w:leader="none" w:pos="108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I have reviewed the terms of the Credit Agreement and have made or caused to be made under my supervision, a review in reasonable detail of the transactions and condition of the Company during the accounting period covered by the financial statements attached hereto as </w:t>
      </w:r>
      <w:r>
        <w:rPr>
          <w:rFonts w:ascii="Arial" w:cs="Arial" w:eastAsia="Arial" w:hAnsi="Arial"/>
          <w:sz w:val="16"/>
          <w:szCs w:val="16"/>
          <w:u w:val="single" w:color="auto"/>
          <w:color w:val="auto"/>
        </w:rPr>
        <w:t>Attachment 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Such review did not disclose the existence during or at the end of the accounting period covered by the Financial Statements, and I have no knowledge of the existence, as of the date of this Certificate, of any condition or event which constitutes a Default or Event of Default.</w:t>
      </w:r>
      <w:r>
        <w:rPr>
          <w:rFonts w:ascii="Arial" w:cs="Arial" w:eastAsia="Arial" w:hAnsi="Arial"/>
          <w:sz w:val="10"/>
          <w:szCs w:val="10"/>
          <w:color w:val="auto"/>
        </w:rPr>
        <w:t>1</w:t>
      </w:r>
    </w:p>
    <w:p>
      <w:pPr>
        <w:spacing w:after="0" w:line="112" w:lineRule="exact"/>
        <w:rPr>
          <w:rFonts w:ascii="Arial" w:cs="Arial" w:eastAsia="Arial" w:hAnsi="Arial"/>
          <w:sz w:val="16"/>
          <w:szCs w:val="16"/>
          <w:color w:val="auto"/>
        </w:rPr>
      </w:pPr>
    </w:p>
    <w:p>
      <w:pPr>
        <w:ind w:left="1100" w:hanging="179"/>
        <w:spacing w:after="0"/>
        <w:tabs>
          <w:tab w:leader="none" w:pos="11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u w:val="single" w:color="auto"/>
          <w:color w:val="auto"/>
        </w:rPr>
        <w:t>Attachment 2</w:t>
      </w:r>
      <w:r>
        <w:rPr>
          <w:rFonts w:ascii="Arial" w:cs="Arial" w:eastAsia="Arial" w:hAnsi="Arial"/>
          <w:sz w:val="16"/>
          <w:szCs w:val="16"/>
          <w:color w:val="auto"/>
        </w:rPr>
        <w:t xml:space="preserve"> are the computations showing compliance with the covenants set forth in Section 7.1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22"/>
          <w:szCs w:val="22"/>
          <w:color w:val="auto"/>
          <w:vertAlign w:val="superscript"/>
        </w:rPr>
      </w:pPr>
      <w:r>
        <w:rPr>
          <w:rFonts w:ascii="Arial" w:cs="Arial" w:eastAsia="Arial" w:hAnsi="Arial"/>
          <w:sz w:val="18"/>
          <w:szCs w:val="18"/>
          <w:color w:val="auto"/>
        </w:rPr>
        <w:t>NOTE: If Default or Event of Default under Section 7.1 has occurred during such accounting period, explain below.</w:t>
      </w:r>
    </w:p>
    <w:p>
      <w:pPr>
        <w:sectPr>
          <w:pgSz w:w="11900" w:h="16838" w:orient="portrait"/>
          <w:cols w:equalWidth="0" w:num="1">
            <w:col w:w="11420"/>
          </w:cols>
          <w:pgMar w:left="240" w:top="280" w:right="239" w:bottom="1440" w:gutter="0" w:footer="0" w:header="0"/>
        </w:sectPr>
      </w:pPr>
    </w:p>
    <w:bookmarkStart w:id="171" w:name="page172"/>
    <w:bookmarkEnd w:id="171"/>
    <w:p>
      <w:pPr>
        <w:spacing w:after="0"/>
        <w:tabs>
          <w:tab w:leader="none" w:pos="4860" w:val="left"/>
          <w:tab w:leader="none" w:pos="6220" w:val="left"/>
          <w:tab w:leader="none" w:pos="6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I have executed this Certificate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302895</wp:posOffset>
            </wp:positionV>
            <wp:extent cx="289877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2846070</wp:posOffset>
            </wp:positionH>
            <wp:positionV relativeFrom="paragraph">
              <wp:posOffset>-13970</wp:posOffset>
            </wp:positionV>
            <wp:extent cx="22288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-13970</wp:posOffset>
            </wp:positionV>
            <wp:extent cx="8362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299"/>
          </w:cols>
          <w:pgMar w:left="1160" w:top="280"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Compliance Certificate</w:t>
      </w:r>
    </w:p>
    <w:p>
      <w:pPr>
        <w:spacing w:after="0" w:line="1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[Attach Financial Statements]</w:t>
      </w:r>
    </w:p>
    <w:p>
      <w:pPr>
        <w:sectPr>
          <w:pgSz w:w="11900" w:h="16838" w:orient="portrait"/>
          <w:cols w:equalWidth="0" w:num="1">
            <w:col w:w="10220"/>
          </w:cols>
          <w:pgMar w:left="1440" w:top="280"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Compliance Certificate</w:t>
      </w:r>
    </w:p>
    <w:p>
      <w:pPr>
        <w:spacing w:after="0" w:line="165" w:lineRule="exact"/>
        <w:rPr>
          <w:sz w:val="20"/>
          <w:szCs w:val="20"/>
          <w:color w:val="auto"/>
        </w:rPr>
      </w:pPr>
    </w:p>
    <w:p>
      <w:pPr>
        <w:spacing w:after="0"/>
        <w:tabs>
          <w:tab w:leader="none" w:pos="3440" w:val="left"/>
          <w:tab w:leader="none" w:pos="4060" w:val="left"/>
          <w:tab w:leader="none" w:pos="7060" w:val="left"/>
          <w:tab w:leader="none" w:pos="7620" w:val="left"/>
          <w:tab w:leader="none" w:pos="8860" w:val="left"/>
          <w:tab w:leader="none" w:pos="9480" w:val="left"/>
        </w:tabs>
        <w:rPr>
          <w:sz w:val="20"/>
          <w:szCs w:val="20"/>
          <w:color w:val="auto"/>
        </w:rPr>
      </w:pPr>
      <w:r>
        <w:rPr>
          <w:rFonts w:ascii="Arial" w:cs="Arial" w:eastAsia="Arial" w:hAnsi="Arial"/>
          <w:sz w:val="18"/>
          <w:szCs w:val="18"/>
          <w:color w:val="auto"/>
        </w:rPr>
        <w:t>The information described herein is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 pertains to the period from</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-13970</wp:posOffset>
            </wp:positionV>
            <wp:extent cx="7245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535" cy="8890"/>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-13970</wp:posOffset>
            </wp:positionV>
            <wp:extent cx="1981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81835" cy="8890"/>
                    </a:xfrm>
                    <a:prstGeom prst="rect">
                      <a:avLst/>
                    </a:prstGeom>
                    <a:noFill/>
                  </pic:spPr>
                </pic:pic>
              </a:graphicData>
            </a:graphic>
          </wp:anchor>
        </w:drawing>
      </w:r>
    </w:p>
    <w:p>
      <w:pPr>
        <w:spacing w:after="0" w:line="15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[Set forth Covenant Calculations]</w:t>
      </w:r>
    </w:p>
    <w:p>
      <w:pPr>
        <w:sectPr>
          <w:pgSz w:w="11900" w:h="16838" w:orient="portrait"/>
          <w:cols w:equalWidth="0" w:num="1">
            <w:col w:w="10960"/>
          </w:cols>
          <w:pgMar w:left="700" w:top="280"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Credit Agreement, dated as of April 29, 2010 (as amended, supplemented or otherwise modified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88"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1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undersigned has furnished the Administrative Agent and the Company with a certificate of its non-U.S. person status on Internal Revenue Service Form W-8BEN.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75" w:name="page176"/>
    <w:bookmarkEnd w:id="175"/>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Credit Agreement, dated as of April 29, 2010 (as amended, supplemented or otherwise modified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88"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owner of the Loan(s) (as well as any Note(s) evidencing such Loan(s)) in respect of which it is providing this certificate, (ii) its partners/members are the sole beneficial owners of such Loan(s) (as well as any Note(s) evidencing such Loan(s)), (iii) with respect to the extension of credit pursuant to this Credit Agreement or any other Loan Document, neither the undersigned nor any of its partners/members is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(iv) none of its partners/members is a “10-percent shareholder” of the Company within the meaning of Section 871(h)(3)</w:t>
      </w:r>
    </w:p>
    <w:p>
      <w:pPr>
        <w:spacing w:after="0" w:line="2" w:lineRule="exact"/>
        <w:rPr>
          <w:sz w:val="20"/>
          <w:szCs w:val="20"/>
          <w:color w:val="auto"/>
        </w:rPr>
      </w:pPr>
    </w:p>
    <w:p>
      <w:pPr>
        <w:ind w:right="120" w:firstLine="8"/>
        <w:spacing w:after="0" w:line="323" w:lineRule="auto"/>
        <w:tabs>
          <w:tab w:leader="none" w:pos="27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of the Code, (v) none of its partners/members is a “controlled foreign corporation” related to the Company as described in Section 881(c)(3)(C) of the Code, and (vi) the interest payments in question are not effectively connected with the undersigned’s or its partners/members’ conduct of a U.S. trade or business.</w:t>
      </w:r>
    </w:p>
    <w:p>
      <w:pPr>
        <w:spacing w:after="0" w:line="93"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The undersigned has furnished the Administrative Agent and the Company with Internal Revenue Service Form W-8IMY accompanied by an Internal Revenue Service Form W-8BEN (or other applicable form) from each of its partners/members claiming the portfolio interest exemption. By executing this certificate, the undersigned agrees that (1) if the information provided on this certificate changes, the undersigned shall promptly so inform the Company and the Administrative Agent and (2) the undersigned shall have at all times furnished the Company and the Administrative Agent with a properly completed and currently effective certificate in either the calendar year in which each payment is to be made to the undersigned, or in either of the two calendar years preceding such payments.</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00"/>
          </w:cols>
          <w:pgMar w:left="240" w:top="280" w:right="25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Reference is made to the Credit Agreement, dated as of April 29, 2010 (as amended, supplemented or otherwise modified from time to time,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188"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and beneficial owner of the participation in respect of which it is providing this certificate, (ii) it is not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(iii) it is not a “10-percent shareholder” of the Company within the meaning of Section 871(h)(3)(B) of the Code, (iv) it is not a “controlled foreign corporation” related to the Company as described in Section 881(c)(3)(C) of the Code, and (v) the interest payments in question are not effectively connected with the undersigned’s conduct of a U.S. trade or business.</w:t>
      </w:r>
    </w:p>
    <w:p>
      <w:pPr>
        <w:spacing w:after="0" w:line="116"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 undersigned has furnished its participating Non-U.S. Lender with a certificate of its non-U.S. person status on Internal Revenue Service Form W-8BEN. By executing this certificate, the undersigned agrees that (1) if the information provided on this certificate changes, the undersigned shall promptly so inform such Non-U.S. Lender in writing (2) the undersigned shall have at all times furnished such Non-U.S. Lender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00"/>
          </w:cols>
          <w:pgMar w:left="240" w:top="280" w:right="25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TAX COMPLIANCE CERTIFICATE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165" w:lineRule="exact"/>
        <w:rPr>
          <w:sz w:val="20"/>
          <w:szCs w:val="20"/>
          <w:color w:val="auto"/>
        </w:rPr>
      </w:pPr>
    </w:p>
    <w:p>
      <w:pPr>
        <w:ind w:right="300" w:firstLine="913"/>
        <w:spacing w:after="0" w:line="298" w:lineRule="auto"/>
        <w:rPr>
          <w:sz w:val="20"/>
          <w:szCs w:val="20"/>
          <w:color w:val="auto"/>
        </w:rPr>
      </w:pPr>
      <w:r>
        <w:rPr>
          <w:rFonts w:ascii="Arial" w:cs="Arial" w:eastAsia="Arial" w:hAnsi="Arial"/>
          <w:sz w:val="16"/>
          <w:szCs w:val="16"/>
          <w:color w:val="auto"/>
        </w:rPr>
        <w:t>Reference is made to the Agreement, dated as of April 29, 2010 (as amended, supplemented or otherwise modified from time to time, the “</w:t>
      </w:r>
      <w:r>
        <w:rPr>
          <w:rFonts w:ascii="Arial" w:cs="Arial" w:eastAsia="Arial" w:hAnsi="Arial"/>
          <w:sz w:val="16"/>
          <w:szCs w:val="16"/>
          <w:u w:val="single" w:color="auto"/>
          <w:color w:val="auto"/>
        </w:rPr>
        <w:t>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Lazard Group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the several Banks, from time to time parties hereto, and Citibank, N.A., a national banking association (“</w:t>
      </w:r>
      <w:r>
        <w:rPr>
          <w:rFonts w:ascii="Arial" w:cs="Arial" w:eastAsia="Arial" w:hAnsi="Arial"/>
          <w:sz w:val="16"/>
          <w:szCs w:val="16"/>
          <w:u w:val="single" w:color="auto"/>
          <w:color w:val="auto"/>
        </w:rPr>
        <w:t>Citibank</w:t>
      </w:r>
      <w:r>
        <w:rPr>
          <w:rFonts w:ascii="Arial" w:cs="Arial" w:eastAsia="Arial" w:hAnsi="Arial"/>
          <w:sz w:val="16"/>
          <w:szCs w:val="16"/>
          <w:color w:val="auto"/>
        </w:rPr>
        <w:t>”), as administrative agent for the Banks hereunder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Unless otherwise defined herein, terms defined in the Credit Agreement and used herein shall have the meanings given to them in the Credit Agreement.</w:t>
      </w:r>
    </w:p>
    <w:p>
      <w:pPr>
        <w:spacing w:after="0" w:line="11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Pursuant to the provisions of Section 2.17(d) of the Credit Agreement, the undersigned hereby certifies that (i) it is the sole record owner of the participation in respect of which it is providing this certificate, (ii) its partners/members are the sole beneficial owners of such participation, (iii) with respect to such participation, neither the undersigned nor any of its partners/members is a “bank” within the meaning of Section 881(c)(3)(A)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(iv) none of its partners/members is a “10-percent shareholder” of the Company within the meaning of Section 871(h)(3)(B) of the Code, (v) none of its partners/members is a “controlled foreign corporation” related to the Company as described in Section 881(c)(3)(C) of the Code, and (vi) the interest payments in question are not effectively connected with the undersigned’s or its partners/members’ conduct of a U.S. trade or business.</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undersigned has furnished its participating Non-U.S. Lender with Internal Revenue Service Form W-8IMY accompanied by an Internal Revenue Service Form W-8BEN (or other applicable form) from each of its partners/members claiming the portfolio interest exemption. By executing this certificate, the undersigned agrees that (1) if the information provided on this certificate changes, the undersigned shall promptly so inform such Non-U.S. Lender and (2) the undersigned shall have at all times furnished such Non-U.S. Lender with a properly completed and currently effective certificate in either the calendar year in which each payment is to be made to the undersigned, or in either of the two calendar years preceding such payments.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8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 20[  ]</w:t>
            </w:r>
          </w:p>
        </w:tc>
      </w:tr>
      <w:tr>
        <w:trPr>
          <w:trHeight w:val="20"/>
        </w:trPr>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10.56</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AGREEMENT RELATING TO RETENTION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NONCOMPETITION AND OTHER COVENANTS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First Amendment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dated as of August 2, 2011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to Agreement Relating to Retention and Noncompetition and Other Covenants by and between Lazard Group LLC, a Delaware limited liability company, and successor to Lazard LLC (“</w:t>
      </w:r>
      <w:r>
        <w:rPr>
          <w:rFonts w:ascii="Arial" w:cs="Arial" w:eastAsia="Arial" w:hAnsi="Arial"/>
          <w:sz w:val="18"/>
          <w:szCs w:val="18"/>
          <w:u w:val="single" w:color="auto"/>
          <w:color w:val="auto"/>
        </w:rPr>
        <w:t>Lazard</w:t>
      </w:r>
      <w:r>
        <w:rPr>
          <w:rFonts w:ascii="Arial" w:cs="Arial" w:eastAsia="Arial" w:hAnsi="Arial"/>
          <w:sz w:val="18"/>
          <w:szCs w:val="18"/>
          <w:color w:val="auto"/>
        </w:rPr>
        <w:t>”), on its behalf and on behalf of its subsidiaries and affiliates (collectively with Lazard, and its and their predecessors and successors, the “</w:t>
      </w:r>
      <w:r>
        <w:rPr>
          <w:rFonts w:ascii="Arial" w:cs="Arial" w:eastAsia="Arial" w:hAnsi="Arial"/>
          <w:sz w:val="18"/>
          <w:szCs w:val="18"/>
          <w:u w:val="single" w:color="auto"/>
          <w:color w:val="auto"/>
        </w:rPr>
        <w:t>Firm</w:t>
      </w:r>
      <w:r>
        <w:rPr>
          <w:rFonts w:ascii="Arial" w:cs="Arial" w:eastAsia="Arial" w:hAnsi="Arial"/>
          <w:sz w:val="18"/>
          <w:szCs w:val="18"/>
          <w:color w:val="auto"/>
        </w:rPr>
        <w:t>”), and Ashish Bhutani (the “</w:t>
      </w:r>
      <w:r>
        <w:rPr>
          <w:rFonts w:ascii="Arial" w:cs="Arial" w:eastAsia="Arial" w:hAnsi="Arial"/>
          <w:sz w:val="18"/>
          <w:szCs w:val="18"/>
          <w:u w:val="single" w:color="auto"/>
          <w:color w:val="auto"/>
        </w:rPr>
        <w:t>Executive</w:t>
      </w:r>
      <w:r>
        <w:rPr>
          <w:rFonts w:ascii="Arial" w:cs="Arial" w:eastAsia="Arial" w:hAnsi="Arial"/>
          <w:sz w:val="18"/>
          <w:szCs w:val="18"/>
          <w:color w:val="auto"/>
        </w:rPr>
        <w:t>”), dated as of March 15, 2005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Firm and the Executive wish to amend the Agreement to (i) make Lazard Ltd, a company incorporated under the laws of Bermuda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PubliCo</w:t>
      </w:r>
      <w:r>
        <w:rPr>
          <w:rFonts w:ascii="Arial" w:cs="Arial" w:eastAsia="Arial" w:hAnsi="Arial"/>
          <w:sz w:val="16"/>
          <w:szCs w:val="16"/>
          <w:color w:val="auto"/>
        </w:rPr>
        <w:t>”), a party to the Agreement, as amended by the First Amendment, through PubliCo’s execution of the First Amendment, and (ii) revise certain terms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Agreement in order to be consistent with certain terms applicable to other executive officers of Lazard and PubliCo.</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adequacy of which are hereby acknowledged, the Executive, Lazard and PubliCo hereby agree as follows: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Effective as of the Effective Date, PubliCo shall become a party to the Agreement and Schedule I of the Agreement shall hereby be amended and restated in the form attached hereto.</w:t>
      </w:r>
    </w:p>
    <w:p>
      <w:pPr>
        <w:sectPr>
          <w:pgSz w:w="11900" w:h="16838" w:orient="portrait"/>
          <w:cols w:equalWidth="0" w:num="1">
            <w:col w:w="11420"/>
          </w:cols>
          <w:pgMar w:left="240" w:top="125" w:right="239" w:bottom="1440" w:gutter="0" w:footer="0" w:header="0"/>
        </w:sectPr>
      </w:pPr>
    </w:p>
    <w:bookmarkStart w:id="179" w:name="page180"/>
    <w:bookmarkEnd w:id="17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Executive and the Board of Directors of each of Lazard and PubliCo have caused this First Amendment to be executed and delivered on the date first above written.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August 2, 2011</w:t>
      </w:r>
    </w:p>
    <w:p>
      <w:pPr>
        <w:spacing w:after="0" w:line="1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Ashish Bhutani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6985</wp:posOffset>
            </wp:positionV>
            <wp:extent cx="23837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Ashish Bhutani</w:t>
      </w:r>
    </w:p>
    <w:p>
      <w:pPr>
        <w:spacing w:after="0" w:line="225"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August 2, 2011</w:t>
      </w:r>
      <w:r>
        <w:rPr>
          <w:sz w:val="20"/>
          <w:szCs w:val="20"/>
          <w:color w:val="auto"/>
        </w:rPr>
        <w:tab/>
      </w:r>
      <w:r>
        <w:rPr>
          <w:rFonts w:ascii="Arial" w:cs="Arial" w:eastAsia="Arial" w:hAnsi="Arial"/>
          <w:sz w:val="16"/>
          <w:szCs w:val="16"/>
          <w:color w:val="auto"/>
        </w:rPr>
        <w:t>LAZARD GROUP LLC,</w:t>
      </w:r>
    </w:p>
    <w:p>
      <w:pPr>
        <w:spacing w:after="0" w:line="22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(on its behalf, and on behalf of its</w:t>
      </w:r>
    </w:p>
    <w:p>
      <w:pPr>
        <w:spacing w:after="0" w:line="1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subsidiaries and affiliates)</w:t>
      </w:r>
    </w:p>
    <w:p>
      <w:pPr>
        <w:spacing w:after="0" w:line="232"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6985</wp:posOffset>
            </wp:positionV>
            <wp:extent cx="23837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7760"/>
        <w:spacing w:after="0"/>
        <w:tabs>
          <w:tab w:leader="none" w:pos="8320" w:val="left"/>
        </w:tabs>
        <w:rPr>
          <w:sz w:val="20"/>
          <w:szCs w:val="20"/>
          <w:color w:val="auto"/>
        </w:rPr>
      </w:pPr>
      <w:r>
        <w:rPr>
          <w:rFonts w:ascii="Arial" w:cs="Arial" w:eastAsia="Arial" w:hAnsi="Arial"/>
          <w:sz w:val="18"/>
          <w:szCs w:val="18"/>
          <w:color w:val="auto"/>
        </w:rPr>
        <w:t>Title:</w:t>
        <w:tab/>
        <w:t>Managing Director and</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General Counsel</w:t>
      </w:r>
    </w:p>
    <w:p>
      <w:pPr>
        <w:spacing w:after="0" w:line="232" w:lineRule="exact"/>
        <w:rPr>
          <w:sz w:val="20"/>
          <w:szCs w:val="20"/>
          <w:color w:val="auto"/>
        </w:rPr>
      </w:pPr>
    </w:p>
    <w:p>
      <w:pPr>
        <w:spacing w:after="0"/>
        <w:tabs>
          <w:tab w:leader="none" w:pos="7040" w:val="left"/>
        </w:tabs>
        <w:rPr>
          <w:sz w:val="20"/>
          <w:szCs w:val="20"/>
          <w:color w:val="auto"/>
        </w:rPr>
      </w:pPr>
      <w:r>
        <w:rPr>
          <w:rFonts w:ascii="Arial" w:cs="Arial" w:eastAsia="Arial" w:hAnsi="Arial"/>
          <w:sz w:val="18"/>
          <w:szCs w:val="18"/>
          <w:color w:val="auto"/>
        </w:rPr>
        <w:t>August 2, 2011</w:t>
      </w:r>
      <w:r>
        <w:rPr>
          <w:sz w:val="20"/>
          <w:szCs w:val="20"/>
          <w:color w:val="auto"/>
        </w:rPr>
        <w:tab/>
      </w:r>
      <w:r>
        <w:rPr>
          <w:rFonts w:ascii="Arial" w:cs="Arial" w:eastAsia="Arial" w:hAnsi="Arial"/>
          <w:sz w:val="16"/>
          <w:szCs w:val="16"/>
          <w:color w:val="auto"/>
        </w:rPr>
        <w:t>LAZARD LTD,</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6985</wp:posOffset>
            </wp:positionV>
            <wp:extent cx="23837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Name:  Scott D. Hoffman</w:t>
      </w:r>
    </w:p>
    <w:p>
      <w:pPr>
        <w:spacing w:after="0" w:line="15" w:lineRule="exact"/>
        <w:rPr>
          <w:sz w:val="20"/>
          <w:szCs w:val="20"/>
          <w:color w:val="auto"/>
        </w:rPr>
      </w:pPr>
    </w:p>
    <w:p>
      <w:pPr>
        <w:ind w:left="7760"/>
        <w:spacing w:after="0"/>
        <w:tabs>
          <w:tab w:leader="none" w:pos="8320" w:val="left"/>
        </w:tabs>
        <w:rPr>
          <w:sz w:val="20"/>
          <w:szCs w:val="20"/>
          <w:color w:val="auto"/>
        </w:rPr>
      </w:pPr>
      <w:r>
        <w:rPr>
          <w:rFonts w:ascii="Arial" w:cs="Arial" w:eastAsia="Arial" w:hAnsi="Arial"/>
          <w:sz w:val="18"/>
          <w:szCs w:val="18"/>
          <w:color w:val="auto"/>
        </w:rPr>
        <w:t>Title:</w:t>
        <w:tab/>
        <w:t>Managing Director and</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320"/>
          </w:cols>
          <w:pgMar w:left="240" w:top="280" w:right="339" w:bottom="1440" w:gutter="0" w:footer="0" w:header="0"/>
        </w:sectPr>
      </w:pPr>
    </w:p>
    <w:bookmarkStart w:id="180" w:name="page181"/>
    <w:bookmarkEnd w:id="18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Name (as per Preamble):</w:t>
            </w:r>
          </w:p>
        </w:tc>
        <w:tc>
          <w:tcPr>
            <w:tcW w:w="56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Mr. Ashish Bhutani</w:t>
            </w: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Effective upon the effective date of the First Amendment to this Agreement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this Schedule I shall take effect and its provisions shall constitute binding and enforceable agreements of the Firm.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Title</w:t>
      </w:r>
      <w:r>
        <w:rPr>
          <w:rFonts w:ascii="Arial" w:cs="Arial" w:eastAsia="Arial" w:hAnsi="Arial"/>
          <w:sz w:val="16"/>
          <w:szCs w:val="16"/>
          <w:color w:val="auto"/>
        </w:rPr>
        <w:t>. Notwithstanding anything to the contrary contained in Section 3(b) of this Agreement, from the First Amendment Effective Date through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23, 2013, the Executive shall serve as a Vice Chairman and Managing Director of Lazard and Chief Executive Officer of Lazard Asset Management LLC.</w:t>
      </w:r>
    </w:p>
    <w:p>
      <w:pPr>
        <w:spacing w:after="0" w:line="188" w:lineRule="exact"/>
        <w:rPr>
          <w:sz w:val="20"/>
          <w:szCs w:val="20"/>
          <w:color w:val="auto"/>
        </w:rPr>
      </w:pPr>
    </w:p>
    <w:p>
      <w:pPr>
        <w:ind w:right="100" w:firstLine="464"/>
        <w:spacing w:after="0" w:line="286" w:lineRule="auto"/>
        <w:tabs>
          <w:tab w:leader="none" w:pos="63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Notwithstanding anything to the contrary contained in Sections 3(c)(i) and (ii) of this Agreement, subject to the Executive’s continued employment with the Firm during the period from the First Amendment Effective Date through March 23, 2013, the Executive shall be entitled to receive (i) an annual base salary of not less than $750,000 (“</w:t>
      </w:r>
      <w:r>
        <w:rPr>
          <w:rFonts w:ascii="Arial" w:cs="Arial" w:eastAsia="Arial" w:hAnsi="Arial"/>
          <w:sz w:val="16"/>
          <w:szCs w:val="16"/>
          <w:u w:val="single" w:color="auto"/>
          <w:color w:val="auto"/>
        </w:rPr>
        <w:t>Base Salary</w:t>
      </w:r>
      <w:r>
        <w:rPr>
          <w:rFonts w:ascii="Arial" w:cs="Arial" w:eastAsia="Arial" w:hAnsi="Arial"/>
          <w:sz w:val="16"/>
          <w:szCs w:val="16"/>
          <w:color w:val="auto"/>
        </w:rPr>
        <w:t>”) and (ii) so long as the Executive remains employed by the Firm through the end of the applicable fiscal year of Lazard, an annual bonus to be determined under the terms of the applicable annual bonus plan of Lazard on the same basis as annual bonus is determined for other executive officers of PubliCo, with such bonus to be paid in the same ratio of cash to deferred awards as is applicable to executives of the Firm receiving bonuses at a level comparable to the bonus of the Executive. For purposes hereof, the term Base Salary shall refer to Base Salary as in effect from time to time, including any increases. Notwithstanding anything to the contrary contained in Section 3(c)(iv) of this Agreement, during the portion of the Term commencing on the First Amendment Effective Date, subject to the Executive’s continued employment, the Executive shall be eligible to participate in the employee retirement and welfare benefit plans and programs of the type made available to the senior most executives of the Firm generally, in accordance with their terms and as such plans and programs may be in effect from time to time, including, without limitation, savings, profit-sharing and other retirement plans or programs, 401(k), medical, dental, flexible spending account, hospitalization, short-term and long-term disability and life insurance plans.</w:t>
      </w:r>
    </w:p>
    <w:p>
      <w:pPr>
        <w:spacing w:after="0" w:line="127" w:lineRule="exact"/>
        <w:rPr>
          <w:rFonts w:ascii="Arial" w:cs="Arial" w:eastAsia="Arial" w:hAnsi="Arial"/>
          <w:sz w:val="16"/>
          <w:szCs w:val="16"/>
          <w:color w:val="auto"/>
        </w:rPr>
      </w:pPr>
    </w:p>
    <w:p>
      <w:pPr>
        <w:ind w:right="40" w:firstLine="464"/>
        <w:spacing w:after="0" w:line="289" w:lineRule="auto"/>
        <w:tabs>
          <w:tab w:leader="none" w:pos="632"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under Certain Circumstances</w:t>
      </w:r>
      <w:r>
        <w:rPr>
          <w:rFonts w:ascii="Arial" w:cs="Arial" w:eastAsia="Arial" w:hAnsi="Arial"/>
          <w:sz w:val="16"/>
          <w:szCs w:val="16"/>
          <w:color w:val="auto"/>
        </w:rPr>
        <w:t>. Notwithstanding anything to the contrary contained in Section 3(d) of this Agreement, in the event that during the period commencing on the First Amendment Effective Date and concluding on March 23, 2013, the Executive’s employment with the Firm is terminated by the Firm without Cause or by the Executive for Good Reason (in each case, as defined below)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Lazard shall pay the Executive, in a lump sum in cash within thirty (30) days after the Date of Termination, the aggregate of the following amounts: (i) any unpaid Base Salary through the Date of Termination; (ii) any earned and unpaid cash bonus amounts for fiscal years of Lazard completed prior to the Date of Termination (determined in accordance with paragraph 2 above and with any such bonus to be paid in full in cash); and (iii) the product of (1) the “</w:t>
      </w:r>
      <w:r>
        <w:rPr>
          <w:rFonts w:ascii="Arial" w:cs="Arial" w:eastAsia="Arial" w:hAnsi="Arial"/>
          <w:sz w:val="16"/>
          <w:szCs w:val="16"/>
          <w:u w:val="single" w:color="auto"/>
          <w:color w:val="auto"/>
        </w:rPr>
        <w:t>Severance Multiple</w:t>
      </w:r>
      <w:r>
        <w:rPr>
          <w:rFonts w:ascii="Arial" w:cs="Arial" w:eastAsia="Arial" w:hAnsi="Arial"/>
          <w:sz w:val="16"/>
          <w:szCs w:val="16"/>
          <w:color w:val="auto"/>
        </w:rPr>
        <w:t>” (as defined below) and (2) the sum of (x) the Base Salary and (y) the average annual bonus (or, to the extent applicable, cash distributions, and including any bonuses paid in the form of equity awards based on the grant date value of such equity awards in</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40"/>
          </w:cols>
          <w:pgMar w:left="240" w:top="274" w:right="219" w:bottom="1440" w:gutter="0" w:footer="0" w:header="0"/>
        </w:sectPr>
      </w:pPr>
    </w:p>
    <w:bookmarkStart w:id="181" w:name="page182"/>
    <w:bookmarkEnd w:id="18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normal valuation methodology used by Lazard) paid or payable to the Executive for the two completed fiscal years of Lazard immediately preceding the fiscal year during which occurs the Date of Termination (the “</w:t>
      </w:r>
      <w:r>
        <w:rPr>
          <w:rFonts w:ascii="Arial" w:cs="Arial" w:eastAsia="Arial" w:hAnsi="Arial"/>
          <w:sz w:val="16"/>
          <w:szCs w:val="16"/>
          <w:u w:val="single" w:color="auto"/>
          <w:color w:val="auto"/>
        </w:rPr>
        <w:t>Average Bonus</w:t>
      </w:r>
      <w:r>
        <w:rPr>
          <w:rFonts w:ascii="Arial" w:cs="Arial" w:eastAsia="Arial" w:hAnsi="Arial"/>
          <w:sz w:val="16"/>
          <w:szCs w:val="16"/>
          <w:color w:val="auto"/>
        </w:rPr>
        <w:t>”). In addition, (i) for a period of months equal to the product of (1) 12 and (2) the Severance Multiple, the Executive and his eligible dependents shall continue to be eligible to participate in the medical and dental benefit plans of Lazard on the same basis as the Executive participated in such plans immediately prior to the Date of Termination, to the extent that the applicable plan permits such continued participation for all or any portion of such period (it being agreed that Lazard will use its reasonable efforts to cause such continued coverage to be permitted under the applicable plan for the entire period), which benefits continuation period shall not run concurrently with or reduce the Executive’s right to continued coverage under COBRA and (ii) to the extent permitted under the applicable plan, the Executive will receive additional years of age and service credit equal to the Severance Multiple for purposes of determining his eligibility for and right to commence receiving benefits under the retiree health care benefit plans of Lazard Group. For purposes of the provision of the health care benefits as provided above, the amount of such health care benefits provided in any given calendar year shall not affect the amount of such benefits provided in any other calendar year, and the Executive’s right to the health care benefits may not be liquidated or exchanged for any other benefit.</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in the case of a Qualifying Termination, with respect to the fiscal year of Lazard during which the Date of Termination occurs, the Executive shall receive a pro-rata annual bonus payable in cash determined as follows:</w:t>
      </w:r>
    </w:p>
    <w:p>
      <w:pPr>
        <w:spacing w:after="0" w:line="132" w:lineRule="exact"/>
        <w:rPr>
          <w:sz w:val="20"/>
          <w:szCs w:val="20"/>
          <w:color w:val="auto"/>
        </w:rPr>
      </w:pPr>
    </w:p>
    <w:p>
      <w:pPr>
        <w:ind w:left="680" w:hanging="216"/>
        <w:spacing w:after="0"/>
        <w:tabs>
          <w:tab w:leader="none" w:pos="6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w:t>
      </w:r>
    </w:p>
    <w:p>
      <w:pPr>
        <w:spacing w:after="0" w:line="38" w:lineRule="exact"/>
        <w:rPr>
          <w:rFonts w:ascii="Arial" w:cs="Arial" w:eastAsia="Arial" w:hAnsi="Arial"/>
          <w:sz w:val="16"/>
          <w:szCs w:val="16"/>
          <w:color w:val="auto"/>
        </w:rPr>
      </w:pPr>
    </w:p>
    <w:p>
      <w:pPr>
        <w:ind w:right="20" w:firstLine="8"/>
        <w:spacing w:after="0" w:line="286" w:lineRule="auto"/>
        <w:tabs>
          <w:tab w:leader="none" w:pos="24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Executive was reasonably expected by Lazard to be a “covered employee” (within the meaning of Section 162(m)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prior to his Date of Termination, and (2) the annual bonus that the Executive was eligible to receive for such year was originally intended by Lazard to satisfy the performance-based exception under Section 162(m) of the Code (without regard to any entitlement to payment upon termination of employment), the Executive’s pro-rata annual bonus shall equal the product of (1) the amount determined by the Compensation Committee based on the Firm’s actual performance for the fiscal year of the Firm in which the Date of Termination occurs on the same basis as annual bonus is determined for other executive officers of the Firm (which, subject to the limits on any such bonus due to the level of satisfaction of the performance goals previously established for purposes of Section 162(m) of the Code, shall not represent (on an annualized basis) a percentage of the Executive’s bonus for the fiscal year preceding the fiscal year in which the Date of Termination occurs that is lower than the average corresponding percentage applicable to active executives of Lazard who received bonuses for such prior fiscal year in amounts within 5% of the Executive’s bonus for such prior fiscal year), and (2) a fraction, the numerator of which is the number of days elapsed in the fiscal year of Lazard in which occurs the Date of Termination through the Date of Termination, and the denominator of which is 365 (the “</w:t>
      </w:r>
      <w:r>
        <w:rPr>
          <w:rFonts w:ascii="Arial" w:cs="Arial" w:eastAsia="Arial" w:hAnsi="Arial"/>
          <w:sz w:val="16"/>
          <w:szCs w:val="16"/>
          <w:u w:val="single" w:color="auto"/>
          <w:color w:val="auto"/>
        </w:rPr>
        <w:t>Pro-Ration Fraction</w:t>
      </w:r>
      <w:r>
        <w:rPr>
          <w:rFonts w:ascii="Arial" w:cs="Arial" w:eastAsia="Arial" w:hAnsi="Arial"/>
          <w:sz w:val="16"/>
          <w:szCs w:val="16"/>
          <w:color w:val="auto"/>
        </w:rPr>
        <w:t>”); or</w:t>
      </w:r>
    </w:p>
    <w:p>
      <w:pPr>
        <w:spacing w:after="0" w:line="120" w:lineRule="exact"/>
        <w:rPr>
          <w:rFonts w:ascii="Arial" w:cs="Arial" w:eastAsia="Arial" w:hAnsi="Arial"/>
          <w:sz w:val="16"/>
          <w:szCs w:val="16"/>
          <w:color w:val="auto"/>
        </w:rPr>
      </w:pPr>
    </w:p>
    <w:p>
      <w:pPr>
        <w:ind w:right="20" w:firstLine="464"/>
        <w:spacing w:after="0" w:line="306" w:lineRule="auto"/>
        <w:tabs>
          <w:tab w:leader="none" w:pos="71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if (A) the Date of Termination occurs prior to or on March 23, 2013 and (B) with respect to the fiscal year during which the Date of Termination occurs, the Executive is not reasonably expected by Lazard to be a “covered employee” (within the meaning of Section 162(m) of the Code) prior to his Date of Termination, the pro-rata annual bonus shall equal the product of (1) the Average Bonus and (2) the Pro-Ration Fraction.</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pro-rata annual bonus determined pursuant to clause (i) or (ii) above, as applicable, shall be paid at such time or times as Lazard otherwise makes incentive payments for such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 all events prior to March 15 of the year following the year in which the Date of Termination occurs).</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For all purposes of this Agreement, including without limitation, Sections 2(g)(ii) and Section 5(a), a resignation on or prior to March 23, 2013 by the Executive for Good Reason shall be treated as a termination of the Executive by the Firm without Cause.</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no event shall the Executive be obligated to seek other employment or take any other action by way of mitigation of the amounts payable to the Executive under any of the provisions of this paragraph 3 of this Schedule and such amounts shall not be reduced whether or not the Executive obtains other employment. Except as provided in Section 16(f) of this Agreement, the Firm’s obligation to make the payments provided for in this Agreement and otherwise to perform its obligations hereunder shall not be affected by any set-off, counterclaim, recoupment, defense or other claim, right or action which the Firm may have against the Executive.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the Agreement and this Schedule I, as applicable, the following terms shall have the following meanings:</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Notwithstanding the definition of “Date of Termination” set forth in Section 5 of the Agreement, for purposes of the Agreement, including Section 5, and this Schedule I, “Date of Termination” shall mean (i) if the Executive’s employment is terminated by the Firm for Cause, the date of receipt of the notice of termination from the Firm or any later date specified therein within 30 days of such notice, as the case may be, (ii) if the Executive’s employment is terminated by the Firm other than for Cause or Disability, the date on which the Firm notifies the Executive of such termination, (iii) if the Executive’s employment is voluntarily terminated by the Executive without Good Reason, the date as specified by the Executive in the Notice of Termination, which date shall not be less than three months after the Executive notifies the Firm of such termination, unless waived in writing by the Firm, (iv) if the Executive’s employment is terminated by the Executive for Good Reason, the earlier of (A) the last day of the cure period (assuming no cure has occurred) and (B) the date Lazard formally notifies the Executive that it does not intend to cure, unless Lazard and the Executive agree to a later date, which shall in no event be later than 30 days following the first to occur of the dates set forth in clauses (A) and (B) of this clause (iv), and (v) if the Executive’s employment is terminated by reason of death or Disability, the Date of Termination shall be the date of death of the Executive or the date on which the Executive’s employment due to Disability is effective for purposes of the applicable long-term disability plan of the Firm. The Firm and the Executive shall take all steps necessary (including with regard to any post-termination services by the Executive) to ensure that any termination of the Executive’s employment described in the Agreement, including Schedule I, constitutes a “separation from service” within the meaning of Section 409A of the Code, and notwithstanding anything contained herein to the contrary, the date on which such separation from service takes place shall be the “Date of Termination.”</w:t>
      </w:r>
    </w:p>
    <w:p>
      <w:pPr>
        <w:spacing w:after="0" w:line="12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Notwithstanding the definition of “Cause” set forth in Section 2(g)(iv) of the Agreement, from and after the First Amendment Effective Date, for all purposes of this Agreement, including Section 2(g)(iv) and this Schedule I,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conviction of the Executive of, or a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plea (or the equivalent in a non-United States jurisdiction) by the Executive to, a felony (or the equivalent in a non-United States jurisdiction), or of any other crime that legally prohibits the Executive from working for the Firm; (B) breach by the Executive of a regulatory rule that materially adversely affects the Executive’s ability to perform his duties to the Firm; (C) willful and deliberate failure on the part of the Executive (i) to perform his employment duties in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3" w:name="page184"/>
    <w:bookmarkEnd w:id="18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respect or (ii) to follow specific reasonable directions received from the Firm, in each case following written notice to the Executive of such failure and, if such failure is curable, the Executive’s failing to cure such failure within a reasonable time (but in no event less than 30 days); or (D) a breach of the Covenants that is (individually or combined with other such breaches) demonstrably and materially injurious to Lazard or any of its affiliates. Notwithstanding the foregoing, with respect to the events described in clauses (B) and (C)(i) hereof, the Executive’s acts or failure to act shall not constitute Cause to the extent taken (or not taken) based upon the direct instructions of the Board of Directors of PubliCo.</w:t>
      </w:r>
    </w:p>
    <w:p>
      <w:pPr>
        <w:spacing w:after="0" w:line="116"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shall mean (i) the assignment to the Executive of any duties inconsistent in any material respect with the Executive’s position (including status, offices, titles and reporting requirements), authority, duties or responsibilities as in effect as of the First Amendment Effective Date, or any other action by the Firm which results in a material diminution in such position, authority, duties or responsibilities from the level in effect as of the First Amendment Effective Date, (ii) any person, other than the Executive, is given the title of “Chairman of Lazard Asset Management LLC” or Chairman of Lazard’s asset management group, unless (A) such person receives such title in connection with a merger or acquisition transaction involving the Firm, on the one hand, and an unrelated company that has an asset management business, on the other hand, and (B) such transaction is approved by the Board of Directors of PubliCo, (iii) a material breach by the Firm of the terms of this Agreement, including, without limitation, any material failure by the Firm to comply with paragraph 2 of this Schedule, or</w:t>
      </w:r>
    </w:p>
    <w:p>
      <w:pPr>
        <w:ind w:right="160" w:firstLine="8"/>
        <w:spacing w:after="0" w:line="288" w:lineRule="auto"/>
        <w:tabs>
          <w:tab w:leader="none" w:pos="29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requirement that the Executive’s principal place of employment be relocated to a location that increases the Executive’s commute from his primary residence by more than 30 miles. In the event of a termination for Good Reason, the notice requirements of Section 1 shall not apply. Notwithstanding the foregoing, a termination for Good Reason shall not have occurred unless (i) the Executive gives written notice to Lazard of termination of employment within ninety (90) days after the Executive first becomes aware of the occurrence of the circumstances constituting Good Reason, specifying in reasonable detail the circumstances constituting Good Reason, and Lazard has failed within thirty (30) days after receipt of such notice to cure the circumstances constituting Good Reason, and (ii) the Executive’s “separation from service” (within the meaning of Section 409A of the Code) occurs no later than two years following the initial existence of one or more of the circumstances giving rise to Good Reason.</w:t>
      </w:r>
    </w:p>
    <w:p>
      <w:pPr>
        <w:spacing w:after="0" w:line="12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Severance Multiple</w:t>
      </w:r>
      <w:r>
        <w:rPr>
          <w:rFonts w:ascii="Arial" w:cs="Arial" w:eastAsia="Arial" w:hAnsi="Arial"/>
          <w:sz w:val="16"/>
          <w:szCs w:val="16"/>
          <w:color w:val="auto"/>
        </w:rPr>
        <w:t xml:space="preserve">” shall equal one (1);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Date of Termination occurs on or following the date of a Change of Control pursuant to which the Company is acquired by an entity that has an asset management business, the Severance Multiple shall equal three (3).</w:t>
      </w:r>
    </w:p>
    <w:p>
      <w:pPr>
        <w:spacing w:after="0" w:line="85" w:lineRule="exact"/>
        <w:rPr>
          <w:sz w:val="20"/>
          <w:szCs w:val="20"/>
          <w:color w:val="auto"/>
        </w:rPr>
      </w:pPr>
    </w:p>
    <w:p>
      <w:pPr>
        <w:ind w:right="60" w:firstLine="464"/>
        <w:spacing w:after="0" w:line="290"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It is the intention of the parties that the payments and benefits to which the Executive could become entitled in connection with termination of employment under this Agreement comply with or are exempt from the definition of “nonqualified deferred compensation” under Section 409A of the Code. In this regard, notwithstanding anything in this Agreement to the contrary, all cash amounts that become payable under Section 3 of this Schedule I on account of the Executive’s termination of employment shall be paid no later than March 15 of the year following the year in which the Date of Termination occurs. In the event the parties determine that the terms of this Agreement, including this Schedule I, do not comply with Section 409A, they will negotiate reasonably and in good faith to amend the terms of this Agreement and/or Schedule I such that they comply (in a manner that attempts to minimize the economic impact of such amendment on the Executive and the Firm) within the time period permitted by the applicable Treasury Regulations.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84" w:name="page185"/>
    <w:bookmarkEnd w:id="184"/>
    <w:p>
      <w:pPr>
        <w:ind w:left="640" w:hanging="17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HoldCo Interests (as per Section 2(b)) are 0.75% and your Profit Interests (as per Section 2(d)) are 0.75%.</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u w:val="single" w:color="auto"/>
          <w:color w:val="auto"/>
        </w:rPr>
        <w:t>Section 5(a)</w:t>
      </w:r>
      <w:r>
        <w:rPr>
          <w:rFonts w:ascii="Arial" w:cs="Arial" w:eastAsia="Arial" w:hAnsi="Arial"/>
          <w:sz w:val="16"/>
          <w:szCs w:val="16"/>
          <w:color w:val="auto"/>
        </w:rPr>
        <w:t>. Section 5(a) of the Agreement is hereby amended and restated in its entirety to read as follows: The Executive acknowledges and recognizes the highly competitive nature of the businesses of the Firm. The Executive further acknowledges and agrees that in connection with the Reorganization, and in the course of the Executive’s subsequent employment with the Firm, the Executive has been and shall be provided with access to sensitive and proprietary information about the clients, prospective clients, knowledge capital and business practices of the Firm, and has been and shall be provided with the opportunity to develop relationships with clients, prospective clients, consultants, employees, representatives and other agents of the Firm, and the Executive further acknowledges that such proprietary information and relationships are extremely valuable assets in which the Firm has invested and shall continue to invest substantial time, effort and expense. The Executive hereby reaffirms and agrees that while employed by the Firm and thereafter until (i) three months after the Executive’s date of termination of employment for any reason other than a termination by the Firm without Cause or (ii) one month after the date of the Executive’s termination by the Firm without Cause (in either case, the date of termination, the “</w:t>
      </w:r>
      <w:r>
        <w:rPr>
          <w:rFonts w:ascii="Arial" w:cs="Arial" w:eastAsia="Arial" w:hAnsi="Arial"/>
          <w:sz w:val="16"/>
          <w:szCs w:val="16"/>
          <w:u w:val="single" w:color="auto"/>
          <w:color w:val="auto"/>
        </w:rPr>
        <w:t>Date of Termination</w:t>
      </w:r>
      <w:r>
        <w:rPr>
          <w:rFonts w:ascii="Arial" w:cs="Arial" w:eastAsia="Arial" w:hAnsi="Arial"/>
          <w:sz w:val="16"/>
          <w:szCs w:val="16"/>
          <w:color w:val="auto"/>
        </w:rPr>
        <w:t>,” and such period, the “</w:t>
      </w:r>
      <w:r>
        <w:rPr>
          <w:rFonts w:ascii="Arial" w:cs="Arial" w:eastAsia="Arial" w:hAnsi="Arial"/>
          <w:sz w:val="16"/>
          <w:szCs w:val="16"/>
          <w:u w:val="single" w:color="auto"/>
          <w:color w:val="auto"/>
        </w:rPr>
        <w:t>Noncompete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Restriction Period</w:t>
      </w:r>
      <w:r>
        <w:rPr>
          <w:rFonts w:ascii="Arial" w:cs="Arial" w:eastAsia="Arial" w:hAnsi="Arial"/>
          <w:sz w:val="16"/>
          <w:szCs w:val="16"/>
          <w:color w:val="auto"/>
        </w:rPr>
        <w:t>”), the Executive shall not, directly or indirectly, on the Executive’s behalf or on behalf of any other person, firm, corporation, association or other entity, as an employee, director, advisor, partner, consultant or otherwise, engage in a “Competing Activity,” or acquire or maintain any ownership interest in, a “Competitive Enterprise.” For purposes of this Agreement, (i) “</w:t>
      </w:r>
      <w:r>
        <w:rPr>
          <w:rFonts w:ascii="Arial" w:cs="Arial" w:eastAsia="Arial" w:hAnsi="Arial"/>
          <w:sz w:val="16"/>
          <w:szCs w:val="16"/>
          <w:u w:val="single" w:color="auto"/>
          <w:color w:val="auto"/>
        </w:rPr>
        <w:t>Competing Activity</w:t>
      </w:r>
      <w:r>
        <w:rPr>
          <w:rFonts w:ascii="Arial" w:cs="Arial" w:eastAsia="Arial" w:hAnsi="Arial"/>
          <w:sz w:val="16"/>
          <w:szCs w:val="16"/>
          <w:color w:val="auto"/>
        </w:rPr>
        <w:t>” means the providing of services or performance of activities for a Competitive Enterprise in a line of business that is similar to any line of business to which the Executive provided services to the Firm in a capacity that is similar to the capacity in which the Executive acted for the Firm while employed by the Firm, and (ii) “</w:t>
      </w:r>
      <w:r>
        <w:rPr>
          <w:rFonts w:ascii="Arial" w:cs="Arial" w:eastAsia="Arial" w:hAnsi="Arial"/>
          <w:sz w:val="16"/>
          <w:szCs w:val="16"/>
          <w:u w:val="single" w:color="auto"/>
          <w:color w:val="auto"/>
        </w:rPr>
        <w:t>Competitive Enterprise</w:t>
      </w:r>
      <w:r>
        <w:rPr>
          <w:rFonts w:ascii="Arial" w:cs="Arial" w:eastAsia="Arial" w:hAnsi="Arial"/>
          <w:sz w:val="16"/>
          <w:szCs w:val="16"/>
          <w:color w:val="auto"/>
        </w:rPr>
        <w:t>” shall mean a business (or business unit) that (A) engages in any activity or (B) owns or controls a significant interest in any entity that engages in any activity, that in either case, competes anywhere with any activity in which the Firm is engaged up to and including the Executive’s Date of Termination. Further, notwithstanding anything in this Section 5, the Executive shall not be considered to be in violation of this Section 5 solely by reason of owning, directly or indirectly, any stock or other securities of a Competitive Enterprise (or comparable interest, including a voting or profit participation interest, in any such Competitive Enterprise) if the Executive’s interest does not exceed 5% of the outstanding capital stock of such Competitive Enterprise (or comparable interest, including a voting or profit participation interest, in such Competitive Enterprise).</w:t>
      </w:r>
    </w:p>
    <w:p>
      <w:pPr>
        <w:spacing w:after="0" w:line="129" w:lineRule="exact"/>
        <w:rPr>
          <w:sz w:val="20"/>
          <w:szCs w:val="20"/>
          <w:color w:val="auto"/>
        </w:rPr>
      </w:pPr>
    </w:p>
    <w:p>
      <w:pPr>
        <w:jc w:val="both"/>
        <w:ind w:right="200" w:firstLine="456"/>
        <w:spacing w:after="0" w:line="323" w:lineRule="auto"/>
        <w:rPr>
          <w:sz w:val="20"/>
          <w:szCs w:val="20"/>
          <w:color w:val="auto"/>
        </w:rPr>
      </w:pPr>
      <w:r>
        <w:rPr>
          <w:rFonts w:ascii="Arial" w:cs="Arial" w:eastAsia="Arial" w:hAnsi="Arial"/>
          <w:sz w:val="15"/>
          <w:szCs w:val="15"/>
          <w:u w:val="single" w:color="auto"/>
          <w:color w:val="auto"/>
        </w:rPr>
        <w:t>Section 6</w:t>
      </w:r>
      <w:r>
        <w:rPr>
          <w:rFonts w:ascii="Arial" w:cs="Arial" w:eastAsia="Arial" w:hAnsi="Arial"/>
          <w:sz w:val="15"/>
          <w:szCs w:val="15"/>
          <w:color w:val="auto"/>
        </w:rPr>
        <w:t>. Section 6 of the Agreement is hereby amended to replace the definition of “Client” with the following definition: “</w:t>
      </w:r>
      <w:r>
        <w:rPr>
          <w:rFonts w:ascii="Arial" w:cs="Arial" w:eastAsia="Arial" w:hAnsi="Arial"/>
          <w:sz w:val="15"/>
          <w:szCs w:val="15"/>
          <w:u w:val="single" w:color="auto"/>
          <w:color w:val="auto"/>
        </w:rPr>
        <w:t>Client</w:t>
      </w:r>
      <w:r>
        <w:rPr>
          <w:rFonts w:ascii="Arial" w:cs="Arial" w:eastAsia="Arial" w:hAnsi="Arial"/>
          <w:sz w:val="15"/>
          <w:szCs w:val="15"/>
          <w:color w:val="auto"/>
        </w:rPr>
        <w:t xml:space="preserve">” means any client or prospective client of the Firm, whether or not the Firm has been engaged by such Client pursuant to a written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 entity which is not a client of the Firm shall be considered a “prospective client” for purposes of this sentence only if the Firm made a presentation or written proposal to such entity during the 12-month period preceding the Date of Termination or was preparing to make such a presentation or proposal at the time of the Date of Termination.</w:t>
      </w:r>
    </w:p>
    <w:p>
      <w:pPr>
        <w:spacing w:after="0" w:line="9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Section 12 of this Agreement is hereby amended to replace all references to “the New York Stock Exchange, Inc.” and the “</w:t>
      </w:r>
      <w:r>
        <w:rPr>
          <w:rFonts w:ascii="Arial" w:cs="Arial" w:eastAsia="Arial" w:hAnsi="Arial"/>
          <w:sz w:val="18"/>
          <w:szCs w:val="18"/>
          <w:u w:val="single" w:color="auto"/>
          <w:color w:val="auto"/>
        </w:rPr>
        <w:t>NYSE</w:t>
      </w:r>
      <w:r>
        <w:rPr>
          <w:rFonts w:ascii="Arial" w:cs="Arial" w:eastAsia="Arial" w:hAnsi="Arial"/>
          <w:sz w:val="18"/>
          <w:szCs w:val="18"/>
          <w:color w:val="auto"/>
        </w:rPr>
        <w:t>” with references to the “Financial Industry Regulatory Authority” and “</w:t>
      </w:r>
      <w:r>
        <w:rPr>
          <w:rFonts w:ascii="Arial" w:cs="Arial" w:eastAsia="Arial" w:hAnsi="Arial"/>
          <w:sz w:val="18"/>
          <w:szCs w:val="18"/>
          <w:u w:val="single" w:color="auto"/>
          <w:color w:val="auto"/>
        </w:rPr>
        <w:t>FINRA</w:t>
      </w:r>
      <w:r>
        <w:rPr>
          <w:rFonts w:ascii="Arial" w:cs="Arial" w:eastAsia="Arial" w:hAnsi="Arial"/>
          <w:sz w:val="18"/>
          <w:szCs w:val="18"/>
          <w:color w:val="auto"/>
        </w:rPr>
        <w:t>”, as applicable.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16(b)</w:t>
      </w:r>
      <w:r>
        <w:rPr>
          <w:rFonts w:ascii="Arial" w:cs="Arial" w:eastAsia="Arial" w:hAnsi="Arial"/>
          <w:sz w:val="18"/>
          <w:szCs w:val="18"/>
          <w:color w:val="auto"/>
        </w:rPr>
        <w:t>. Paragraphs 2, 3, 4 and 5 of this Schedule I are hereby added to the list of Sections in Section 16(b) of this Agreement.</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u w:val="single" w:color="auto"/>
          <w:color w:val="auto"/>
        </w:rPr>
        <w:t>Section 16(f)</w:t>
      </w:r>
      <w:r>
        <w:rPr>
          <w:rFonts w:ascii="Arial" w:cs="Arial" w:eastAsia="Arial" w:hAnsi="Arial"/>
          <w:sz w:val="16"/>
          <w:szCs w:val="16"/>
          <w:color w:val="auto"/>
        </w:rPr>
        <w:t>. Section 16(f) of this Agreement is hereby amended to add the following words at the end thereof: “except to the extent such withholding or offset is not permitted under Section 409A of the Code without the imposition of additional taxes or penalties on the Executive.”</w:t>
      </w:r>
    </w:p>
    <w:p>
      <w:pPr>
        <w:spacing w:after="0" w:line="126"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Initialed by the Executive</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SDH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Initialed by Lazard</w:t>
      </w:r>
    </w:p>
    <w:p>
      <w:pPr>
        <w:spacing w:after="0" w:line="225"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/s/ SDH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Initialed by PubliCo</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280" w:right="399" w:bottom="1440" w:gutter="0" w:footer="0" w:header="0"/>
        </w:sectPr>
      </w:pPr>
    </w:p>
    <w:bookmarkStart w:id="186" w:name="page187"/>
    <w:bookmarkEnd w:id="186"/>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Ltd and its subsidiaries on a consolidated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Six</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Months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gridSpan w:val="5"/>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6"/>
          </w:tcPr>
          <w:p>
            <w:pPr>
              <w:jc w:val="right"/>
              <w:ind w:right="9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162,648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243,650</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8"/>
              </w:rPr>
              <w:t>(182,234)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25,140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$418,295</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$327,209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117,119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w w:val="95"/>
              </w:rPr>
              <w:t>127,398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2"/>
              </w:rPr>
              <w:t>160,154</w:t>
            </w:r>
          </w:p>
        </w:tc>
        <w:tc>
          <w:tcPr>
            <w:tcW w:w="680" w:type="dxa"/>
            <w:vAlign w:val="bottom"/>
          </w:tcPr>
          <w:p>
            <w:pPr>
              <w:jc w:val="right"/>
              <w:spacing w:after="0"/>
              <w:rPr>
                <w:sz w:val="20"/>
                <w:szCs w:val="20"/>
                <w:color w:val="auto"/>
              </w:rPr>
            </w:pPr>
            <w:r>
              <w:rPr>
                <w:rFonts w:ascii="Arial" w:cs="Arial" w:eastAsia="Arial" w:hAnsi="Arial"/>
                <w:sz w:val="18"/>
                <w:szCs w:val="18"/>
                <w:color w:val="auto"/>
              </w:rPr>
              <w:t>155,374</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219,159</w:t>
            </w:r>
          </w:p>
        </w:tc>
        <w:tc>
          <w:tcPr>
            <w:tcW w:w="4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360,769</w:t>
            </w:r>
          </w:p>
        </w:tc>
        <w:tc>
          <w:tcPr>
            <w:tcW w:w="400" w:type="dxa"/>
            <w:vAlign w:val="bottom"/>
            <w:shd w:val="clear" w:color="auto" w:fill="CCEEFF"/>
          </w:tcPr>
          <w:p>
            <w:pPr>
              <w:spacing w:after="0"/>
              <w:rPr>
                <w:sz w:val="18"/>
                <w:szCs w:val="18"/>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252"/>
              <w:spacing w:after="0"/>
              <w:rPr>
                <w:sz w:val="20"/>
                <w:szCs w:val="20"/>
                <w:color w:val="auto"/>
              </w:rPr>
            </w:pPr>
            <w:r>
              <w:rPr>
                <w:rFonts w:ascii="Arial" w:cs="Arial" w:eastAsia="Arial" w:hAnsi="Arial"/>
                <w:sz w:val="18"/>
                <w:szCs w:val="18"/>
                <w:color w:val="auto"/>
              </w:rPr>
              <w:t>(54,836)</w:t>
            </w:r>
          </w:p>
        </w:tc>
        <w:tc>
          <w:tcPr>
            <w:tcW w:w="2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w w:val="82"/>
              </w:rPr>
              <w:t>185,294</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573,669</w:t>
            </w:r>
          </w:p>
        </w:tc>
        <w:tc>
          <w:tcPr>
            <w:tcW w:w="42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446,815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97,709</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107,890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2"/>
              </w:rPr>
              <w:t>139,899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$ 137,110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$104,254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12"/>
              <w:spacing w:after="0"/>
              <w:rPr>
                <w:sz w:val="20"/>
                <w:szCs w:val="20"/>
                <w:color w:val="auto"/>
              </w:rPr>
            </w:pPr>
            <w:r>
              <w:rPr>
                <w:rFonts w:ascii="Arial" w:cs="Arial" w:eastAsia="Arial" w:hAnsi="Arial"/>
                <w:sz w:val="18"/>
                <w:szCs w:val="18"/>
                <w:color w:val="auto"/>
              </w:rPr>
              <w:t>19,508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20,255</w:t>
            </w:r>
          </w:p>
        </w:tc>
        <w:tc>
          <w:tcPr>
            <w:tcW w:w="680" w:type="dxa"/>
            <w:vAlign w:val="bottom"/>
          </w:tcPr>
          <w:p>
            <w:pPr>
              <w:jc w:val="right"/>
              <w:spacing w:after="0"/>
              <w:rPr>
                <w:sz w:val="20"/>
                <w:szCs w:val="20"/>
                <w:color w:val="auto"/>
              </w:rPr>
            </w:pPr>
            <w:r>
              <w:rPr>
                <w:rFonts w:ascii="Arial" w:cs="Arial" w:eastAsia="Arial" w:hAnsi="Arial"/>
                <w:sz w:val="18"/>
                <w:szCs w:val="18"/>
                <w:color w:val="auto"/>
              </w:rPr>
              <w:t>18,264</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117,119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5"/>
              </w:rPr>
              <w:t>127,398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2"/>
              </w:rPr>
              <w:t>160,154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155,374</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$ 119,606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4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3.08(d)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color w:val="auto"/>
              </w:rPr>
              <w:t>– (e)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1.16(f)</w:t>
            </w:r>
          </w:p>
        </w:tc>
        <w:tc>
          <w:tcPr>
            <w:tcW w:w="680" w:type="dxa"/>
            <w:vAlign w:val="bottom"/>
          </w:tcPr>
          <w:p>
            <w:pPr>
              <w:jc w:val="right"/>
              <w:spacing w:after="0"/>
              <w:rPr>
                <w:sz w:val="20"/>
                <w:szCs w:val="20"/>
                <w:color w:val="auto"/>
              </w:rPr>
            </w:pPr>
            <w:r>
              <w:rPr>
                <w:rFonts w:ascii="Arial" w:cs="Arial" w:eastAsia="Arial" w:hAnsi="Arial"/>
                <w:sz w:val="18"/>
                <w:szCs w:val="18"/>
                <w:color w:val="auto"/>
              </w:rPr>
              <w:t>3.69</w:t>
            </w: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Deficiency in the coverage of operating income (loss) before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312"/>
              <w:spacing w:after="0"/>
              <w:rPr>
                <w:sz w:val="20"/>
                <w:szCs w:val="20"/>
                <w:color w:val="auto"/>
              </w:rPr>
            </w:pPr>
            <w:r>
              <w:rPr>
                <w:rFonts w:ascii="Arial" w:cs="Arial" w:eastAsia="Arial" w:hAnsi="Arial"/>
                <w:sz w:val="18"/>
                <w:szCs w:val="18"/>
                <w:color w:val="auto"/>
                <w:w w:val="95"/>
              </w:rPr>
              <w:t>182,234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 to total fixed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0" w:lineRule="exact"/>
        <w:rPr>
          <w:rFonts w:ascii="Arial" w:cs="Arial" w:eastAsia="Arial" w:hAnsi="Arial"/>
          <w:sz w:val="18"/>
          <w:szCs w:val="18"/>
          <w:color w:val="auto"/>
        </w:rPr>
      </w:pPr>
    </w:p>
    <w:p>
      <w:pPr>
        <w:ind w:left="780" w:hanging="326"/>
        <w:spacing w:after="0"/>
        <w:tabs>
          <w:tab w:leader="none" w:pos="7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earnings for the years presented represent income before income taxes and fixed charges,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10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2010 is presented after giving effect to (i) a restructuring charge of $87,108, (ii) a charge of $24,860 relating to the amendment of Lazard’s retirement policy with respect to RSU awards and (iii) benefits pursuant to the tax receivable agreement of $8,834. Excluding the impact of such items, the ratio of earnings to fixed charges would have been 3.96.</w:t>
      </w:r>
    </w:p>
    <w:p>
      <w:pPr>
        <w:spacing w:after="0" w:line="45"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Operating loss for the year ended December 31, 2009 is presented after giving effect to (i) a restructuring charge of $62,550, (ii) the acceleration of amortization expense of $86,514 relating to the vesting of RSUs held by Lazard’s former Chairman and Chief Executive Officer as the result of his death in October 2009 and (iii) the acceleration of amortization expense of $60,512 relating to the accelerated vesting of the unamortized portion of previously awarded deferred cash incentive awards. Excluding the impact of such items, the ratio of earnings to fixed charges would have been 1.21.</w:t>
      </w:r>
    </w:p>
    <w:p>
      <w:pPr>
        <w:spacing w:after="0" w:line="18"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2.40.</w:t>
      </w:r>
    </w:p>
    <w:p>
      <w:pPr>
        <w:sectPr>
          <w:pgSz w:w="11900" w:h="16838" w:orient="portrait"/>
          <w:cols w:equalWidth="0" w:num="1">
            <w:col w:w="11420"/>
          </w:cols>
          <w:pgMar w:left="240" w:top="125"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2011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58" w:lineRule="exact"/>
        <w:rPr>
          <w:sz w:val="20"/>
          <w:szCs w:val="20"/>
          <w:color w:val="auto"/>
        </w:rPr>
      </w:pPr>
    </w:p>
    <w:p>
      <w:pPr>
        <w:ind w:left="640" w:hanging="176"/>
        <w:spacing w:after="0"/>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2011 of Lazard Ltd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August 4,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18 U.S.C. § 1350, the undersigned officer of Lazard Ltd (the “Registrant”) hereby certifies that the Registrant’s Quarterly Report on Form 10-Q for the quarter ended June 30, 2011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0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1)"/>
      <w:numFmt w:val="lowerRoman"/>
      <w:start w:val="1"/>
    </w:lvl>
  </w:abstractNum>
  <w:abstractNum w:abstractNumId="6">
    <w:nsid w:val="5DB70AE5"/>
    <w:multiLevelType w:val="hybridMultilevel"/>
    <w:lvl w:ilvl="0">
      <w:lvlJc w:val="left"/>
      <w:lvlText w:val="(%1)"/>
      <w:numFmt w:val="lowerLetter"/>
      <w:start w:val="1"/>
    </w:lvl>
  </w:abstractNum>
  <w:abstractNum w:abstractNumId="7">
    <w:nsid w:val="100F8FCA"/>
    <w:multiLevelType w:val="hybridMultilevel"/>
    <w:lvl w:ilvl="0">
      <w:lvlJc w:val="left"/>
      <w:lvlText w:val="%1."/>
      <w:numFmt w:val="decimal"/>
      <w:start w:val="6"/>
    </w:lvl>
  </w:abstractNum>
  <w:abstractNum w:abstractNumId="8">
    <w:nsid w:val="6590700B"/>
    <w:multiLevelType w:val="hybridMultilevel"/>
    <w:lvl w:ilvl="0">
      <w:lvlJc w:val="left"/>
      <w:lvlText w:val="(%1)"/>
      <w:numFmt w:val="lowerLetter"/>
      <w:start w:val="1"/>
    </w:lvl>
  </w:abstractNum>
  <w:abstractNum w:abstractNumId="9">
    <w:nsid w:val="15014ACB"/>
    <w:multiLevelType w:val="hybridMultilevel"/>
    <w:lvl w:ilvl="0">
      <w:lvlJc w:val="left"/>
      <w:lvlText w:val="%1."/>
      <w:numFmt w:val="decimal"/>
      <w:start w:val="1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1)"/>
      <w:numFmt w:val="lowerLetter"/>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1)"/>
      <w:numFmt w:val="lowerLetter"/>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1)"/>
      <w:numFmt w:val="lowerLetter"/>
      <w:start w:val="1"/>
    </w:lvl>
  </w:abstractNum>
  <w:abstractNum w:abstractNumId="19">
    <w:nsid w:val="540A471C"/>
    <w:multiLevelType w:val="hybridMultilevel"/>
    <w:lvl w:ilvl="0">
      <w:lvlJc w:val="left"/>
      <w:lvlText w:val="(%1)"/>
      <w:numFmt w:val="lowerLetter"/>
      <w:start w:val="1"/>
    </w:lvl>
  </w:abstractNum>
  <w:abstractNum w:abstractNumId="20">
    <w:nsid w:val="7BD3EE7B"/>
    <w:multiLevelType w:val="hybridMultilevel"/>
    <w:lvl w:ilvl="0">
      <w:lvlJc w:val="left"/>
      <w:lvlText w:val="(%1)"/>
      <w:numFmt w:val="lowerLetter"/>
      <w:start w:val="1"/>
    </w:lvl>
  </w:abstractNum>
  <w:abstractNum w:abstractNumId="21">
    <w:nsid w:val="51D9C564"/>
    <w:multiLevelType w:val="hybridMultilevel"/>
    <w:lvl w:ilvl="0">
      <w:lvlJc w:val="left"/>
      <w:lvlText w:val="(%1)"/>
      <w:numFmt w:val="lowerLetter"/>
      <w:start w:val="1"/>
    </w:lvl>
  </w:abstractNum>
  <w:abstractNum w:abstractNumId="22">
    <w:nsid w:val="613EFDC5"/>
    <w:multiLevelType w:val="hybridMultilevel"/>
    <w:lvl w:ilvl="0">
      <w:lvlJc w:val="left"/>
      <w:lvlText w:val="(%1)"/>
      <w:numFmt w:val="lowerLetter"/>
      <w:start w:val="1"/>
    </w:lvl>
  </w:abstractNum>
  <w:abstractNum w:abstractNumId="23">
    <w:nsid w:val="BF72B14"/>
    <w:multiLevelType w:val="hybridMultilevel"/>
    <w:lvl w:ilvl="0">
      <w:lvlJc w:val="left"/>
      <w:lvlText w:val="(%1)"/>
      <w:numFmt w:val="lowerLetter"/>
      <w:start w:val="1"/>
    </w:lvl>
  </w:abstractNum>
  <w:abstractNum w:abstractNumId="24">
    <w:nsid w:val="11447B73"/>
    <w:multiLevelType w:val="hybridMultilevel"/>
    <w:lvl w:ilvl="0">
      <w:lvlJc w:val="left"/>
      <w:lvlText w:val="(%1)"/>
      <w:numFmt w:val="lowerLetter"/>
      <w:start w:val="1"/>
    </w:lvl>
  </w:abstractNum>
  <w:abstractNum w:abstractNumId="25">
    <w:nsid w:val="42963E5A"/>
    <w:multiLevelType w:val="hybridMultilevel"/>
    <w:lvl w:ilvl="0">
      <w:lvlJc w:val="left"/>
      <w:lvlText w:val="(%1)"/>
      <w:numFmt w:val="lowerLetter"/>
      <w:start w:val="1"/>
    </w:lvl>
  </w:abstractNum>
  <w:abstractNum w:abstractNumId="26">
    <w:nsid w:val="A0382C5"/>
    <w:multiLevelType w:val="hybridMultilevel"/>
    <w:lvl w:ilvl="0">
      <w:lvlJc w:val="left"/>
      <w:lvlText w:val="(%1)"/>
      <w:numFmt w:val="lowerLetter"/>
      <w:start w:val="2"/>
    </w:lvl>
  </w:abstractNum>
  <w:abstractNum w:abstractNumId="27">
    <w:nsid w:val="8F2B15E"/>
    <w:multiLevelType w:val="hybridMultilevel"/>
    <w:lvl w:ilvl="0">
      <w:lvlJc w:val="left"/>
      <w:lvlText w:val="(%1)"/>
      <w:numFmt w:val="lowerLetter"/>
      <w:start w:val="1"/>
    </w:lvl>
  </w:abstractNum>
  <w:abstractNum w:abstractNumId="28">
    <w:nsid w:val="1A32234B"/>
    <w:multiLevelType w:val="hybridMultilevel"/>
    <w:lvl w:ilvl="0">
      <w:lvlJc w:val="left"/>
      <w:lvlText w:val="(%1)"/>
      <w:numFmt w:val="lowerLetter"/>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1)"/>
      <w:numFmt w:val="lowerLetter"/>
      <w:start w:val="1"/>
    </w:lvl>
  </w:abstractNum>
  <w:abstractNum w:abstractNumId="31">
    <w:nsid w:val="4962813B"/>
    <w:multiLevelType w:val="hybridMultilevel"/>
    <w:lvl w:ilvl="0">
      <w:lvlJc w:val="left"/>
      <w:lvlText w:val="(%1)"/>
      <w:numFmt w:val="lowerLetter"/>
      <w:start w:val="3"/>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1)"/>
      <w:numFmt w:val="decimal"/>
      <w:start w:val="1"/>
    </w:lvl>
  </w:abstractNum>
  <w:abstractNum w:abstractNumId="35">
    <w:nsid w:val="7FFFCA11"/>
    <w:multiLevelType w:val="hybridMultilevel"/>
    <w:lvl w:ilvl="0">
      <w:lvlJc w:val="left"/>
      <w:lvlText w:val="(%1)"/>
      <w:numFmt w:val="decimal"/>
      <w:start w:val="2"/>
    </w:lvl>
  </w:abstractNum>
  <w:abstractNum w:abstractNumId="36">
    <w:nsid w:val="1A27709E"/>
    <w:multiLevelType w:val="hybridMultilevel"/>
    <w:lvl w:ilvl="0">
      <w:lvlJc w:val="left"/>
      <w:lvlText w:val="(%1)"/>
      <w:numFmt w:val="decimal"/>
      <w:start w:val="3"/>
    </w:lvl>
  </w:abstractNum>
  <w:abstractNum w:abstractNumId="37">
    <w:nsid w:val="71EA1109"/>
    <w:multiLevelType w:val="hybridMultilevel"/>
    <w:lvl w:ilvl="0">
      <w:lvlJc w:val="left"/>
      <w:lvlText w:val="(%1)"/>
      <w:numFmt w:val="lowerLetter"/>
      <w:start w:val="2"/>
    </w:lvl>
  </w:abstractNum>
  <w:abstractNum w:abstractNumId="38">
    <w:nsid w:val="100F59DC"/>
    <w:multiLevelType w:val="hybridMultilevel"/>
    <w:lvl w:ilvl="0">
      <w:lvlJc w:val="left"/>
      <w:lvlText w:val="(%1)"/>
      <w:numFmt w:val="lowerLetter"/>
      <w:start w:val="2"/>
    </w:lvl>
  </w:abstractNum>
  <w:abstractNum w:abstractNumId="39">
    <w:nsid w:val="7FB7E0AA"/>
    <w:multiLevelType w:val="hybridMultilevel"/>
    <w:lvl w:ilvl="0">
      <w:lvlJc w:val="left"/>
      <w:lvlText w:val="(%1)"/>
      <w:numFmt w:val="lowerLetter"/>
      <w:start w:val="1"/>
    </w:lvl>
  </w:abstractNum>
  <w:abstractNum w:abstractNumId="40">
    <w:nsid w:val="6EB5BD4"/>
    <w:multiLevelType w:val="hybridMultilevel"/>
    <w:lvl w:ilvl="0">
      <w:lvlJc w:val="left"/>
      <w:lvlText w:val="(%1)"/>
      <w:numFmt w:val="decimal"/>
      <w:start w:val="3"/>
    </w:lvl>
  </w:abstractNum>
  <w:abstractNum w:abstractNumId="41">
    <w:nsid w:val="6F6DD9AC"/>
    <w:multiLevelType w:val="hybridMultilevel"/>
    <w:lvl w:ilvl="0">
      <w:lvlJc w:val="left"/>
      <w:lvlText w:val="(%1)"/>
      <w:numFmt w:val="decimal"/>
      <w:start w:val="3"/>
    </w:lvl>
  </w:abstractNum>
  <w:abstractNum w:abstractNumId="42">
    <w:nsid w:val="94211F2"/>
    <w:multiLevelType w:val="hybridMultilevel"/>
    <w:lvl w:ilvl="0">
      <w:lvlJc w:val="left"/>
      <w:lvlText w:val="(%1)"/>
      <w:numFmt w:val="lowerRoman"/>
      <w:start w:val="2"/>
    </w:lvl>
  </w:abstractNum>
  <w:abstractNum w:abstractNumId="43">
    <w:nsid w:val="885E1B"/>
    <w:multiLevelType w:val="hybridMultilevel"/>
    <w:lvl w:ilvl="0">
      <w:lvlJc w:val="left"/>
      <w:lvlText w:val="(%1)"/>
      <w:numFmt w:val="lowerRoman"/>
      <w:start w:val="1"/>
    </w:lvl>
  </w:abstractNum>
  <w:abstractNum w:abstractNumId="44">
    <w:nsid w:val="76272110"/>
    <w:multiLevelType w:val="hybridMultilevel"/>
    <w:lvl w:ilvl="0">
      <w:lvlJc w:val="left"/>
      <w:lvlText w:val="(%1)"/>
      <w:numFmt w:val="lowerLetter"/>
      <w:start w:val="3"/>
    </w:lvl>
  </w:abstractNum>
  <w:abstractNum w:abstractNumId="45">
    <w:nsid w:val="4C04A8AF"/>
    <w:multiLevelType w:val="hybridMultilevel"/>
    <w:lvl w:ilvl="0">
      <w:lvlJc w:val="left"/>
      <w:lvlText w:val="(%1)"/>
      <w:numFmt w:val="lowerLetter"/>
      <w:start w:val="6"/>
    </w:lvl>
  </w:abstractNum>
  <w:abstractNum w:abstractNumId="46">
    <w:nsid w:val="1716703B"/>
    <w:multiLevelType w:val="hybridMultilevel"/>
    <w:lvl w:ilvl="0">
      <w:lvlJc w:val="left"/>
      <w:lvlText w:val="(%1)"/>
      <w:numFmt w:val="decimal"/>
      <w:start w:val="1"/>
    </w:lvl>
  </w:abstractNum>
  <w:abstractNum w:abstractNumId="47">
    <w:nsid w:val="14E17E33"/>
    <w:multiLevelType w:val="hybridMultilevel"/>
    <w:lvl w:ilvl="0">
      <w:lvlJc w:val="left"/>
      <w:lvlText w:val="(%1)"/>
      <w:numFmt w:val="lowerRoman"/>
      <w:start w:val="1"/>
    </w:lvl>
  </w:abstractNum>
  <w:abstractNum w:abstractNumId="48">
    <w:nsid w:val="3222E7CD"/>
    <w:multiLevelType w:val="hybridMultilevel"/>
    <w:lvl w:ilvl="0">
      <w:lvlJc w:val="left"/>
      <w:lvlText w:val="(%1)"/>
      <w:numFmt w:val="lowerLetter"/>
      <w:start w:val="1"/>
    </w:lvl>
  </w:abstractNum>
  <w:abstractNum w:abstractNumId="49">
    <w:nsid w:val="74DE0EE3"/>
    <w:multiLevelType w:val="hybridMultilevel"/>
    <w:lvl w:ilvl="0">
      <w:lvlJc w:val="left"/>
      <w:lvlText w:val="&gt;"/>
      <w:numFmt w:val="bullet"/>
      <w:start w:val="1"/>
    </w:lvl>
  </w:abstractNum>
  <w:abstractNum w:abstractNumId="50">
    <w:nsid w:val="68EBC550"/>
    <w:multiLevelType w:val="hybridMultilevel"/>
    <w:lvl w:ilvl="0">
      <w:lvlJc w:val="left"/>
      <w:lvlText w:val="(%1)"/>
      <w:numFmt w:val="lowerLetter"/>
      <w:start w:val="1"/>
    </w:lvl>
  </w:abstractNum>
  <w:abstractNum w:abstractNumId="51">
    <w:nsid w:val="2DF6D648"/>
    <w:multiLevelType w:val="hybridMultilevel"/>
    <w:lvl w:ilvl="0">
      <w:lvlJc w:val="left"/>
      <w:lvlText w:val="(%1)"/>
      <w:numFmt w:val="lowerLetter"/>
      <w:start w:val="3"/>
    </w:lvl>
  </w:abstractNum>
  <w:abstractNum w:abstractNumId="52">
    <w:nsid w:val="46B7D447"/>
    <w:multiLevelType w:val="hybridMultilevel"/>
    <w:lvl w:ilvl="0">
      <w:lvlJc w:val="left"/>
      <w:lvlText w:val="(%1)"/>
      <w:numFmt w:val="lowerLetter"/>
      <w:start w:val="3"/>
    </w:lvl>
  </w:abstractNum>
  <w:abstractNum w:abstractNumId="53">
    <w:nsid w:val="4A2AC315"/>
    <w:multiLevelType w:val="hybridMultilevel"/>
    <w:lvl w:ilvl="0">
      <w:lvlJc w:val="left"/>
      <w:lvlText w:val="%1"/>
      <w:numFmt w:val="lowerRoman"/>
      <w:start w:val="1"/>
    </w:lvl>
    <w:lvl w:ilvl="1">
      <w:lvlJc w:val="left"/>
      <w:lvlText w:val="(%2)"/>
      <w:numFmt w:val="lowerLetter"/>
      <w:start w:val="2"/>
    </w:lvl>
  </w:abstractNum>
  <w:abstractNum w:abstractNumId="54">
    <w:nsid w:val="39EE015C"/>
    <w:multiLevelType w:val="hybridMultilevel"/>
    <w:lvl w:ilvl="0">
      <w:lvlJc w:val="left"/>
      <w:lvlText w:val="(%1)"/>
      <w:numFmt w:val="lowerRoman"/>
      <w:start w:val="4"/>
    </w:lvl>
    <w:lvl w:ilvl="1">
      <w:lvlJc w:val="left"/>
      <w:lvlText w:val="%2"/>
      <w:numFmt w:val="lowerLetter"/>
      <w:start w:val="1"/>
    </w:lvl>
  </w:abstractNum>
  <w:abstractNum w:abstractNumId="55">
    <w:nsid w:val="57FC4FBB"/>
    <w:multiLevelType w:val="hybridMultilevel"/>
    <w:lvl w:ilvl="0">
      <w:lvlJc w:val="left"/>
      <w:lvlText w:val="(%1)"/>
      <w:numFmt w:val="lowerLetter"/>
      <w:start w:val="2"/>
    </w:lvl>
  </w:abstractNum>
  <w:abstractNum w:abstractNumId="56">
    <w:nsid w:val="CC1016F"/>
    <w:multiLevelType w:val="hybridMultilevel"/>
    <w:lvl w:ilvl="0">
      <w:lvlJc w:val="left"/>
      <w:lvlText w:val="(%1)"/>
      <w:numFmt w:val="lowerLetter"/>
      <w:start w:val="3"/>
    </w:lvl>
  </w:abstractNum>
  <w:abstractNum w:abstractNumId="57">
    <w:nsid w:val="43F18422"/>
    <w:multiLevelType w:val="hybridMultilevel"/>
    <w:lvl w:ilvl="0">
      <w:lvlJc w:val="left"/>
      <w:lvlText w:val="(%1)"/>
      <w:numFmt w:val="lowerLetter"/>
      <w:start w:val="2"/>
    </w:lvl>
  </w:abstractNum>
  <w:abstractNum w:abstractNumId="58">
    <w:nsid w:val="60EF0119"/>
    <w:multiLevelType w:val="hybridMultilevel"/>
    <w:lvl w:ilvl="0">
      <w:lvlJc w:val="left"/>
      <w:lvlText w:val="(%1)"/>
      <w:numFmt w:val="lowerLetter"/>
      <w:start w:val="2"/>
    </w:lvl>
  </w:abstractNum>
  <w:abstractNum w:abstractNumId="59">
    <w:nsid w:val="26F324BA"/>
    <w:multiLevelType w:val="hybridMultilevel"/>
    <w:lvl w:ilvl="0">
      <w:lvlJc w:val="left"/>
      <w:lvlText w:val="(%1)"/>
      <w:numFmt w:val="lowerLetter"/>
      <w:start w:val="2"/>
    </w:lvl>
  </w:abstractNum>
  <w:abstractNum w:abstractNumId="60">
    <w:nsid w:val="7F01579B"/>
    <w:multiLevelType w:val="hybridMultilevel"/>
    <w:lvl w:ilvl="0">
      <w:lvlJc w:val="left"/>
      <w:lvlText w:val="(%1)"/>
      <w:numFmt w:val="lowerLetter"/>
      <w:start w:val="2"/>
    </w:lvl>
  </w:abstractNum>
  <w:abstractNum w:abstractNumId="61">
    <w:nsid w:val="49DA307D"/>
    <w:multiLevelType w:val="hybridMultilevel"/>
    <w:lvl w:ilvl="0">
      <w:lvlJc w:val="left"/>
      <w:lvlText w:val="(%1)"/>
      <w:numFmt w:val="lowerLetter"/>
      <w:start w:val="2"/>
    </w:lvl>
  </w:abstractNum>
  <w:abstractNum w:abstractNumId="62">
    <w:nsid w:val="7055A5F5"/>
    <w:multiLevelType w:val="hybridMultilevel"/>
    <w:lvl w:ilvl="0">
      <w:lvlJc w:val="left"/>
      <w:lvlText w:val="(%1)"/>
      <w:numFmt w:val="lowerLetter"/>
      <w:start w:val="2"/>
    </w:lvl>
  </w:abstractNum>
  <w:abstractNum w:abstractNumId="63">
    <w:nsid w:val="5FB8370B"/>
    <w:multiLevelType w:val="hybridMultilevel"/>
    <w:lvl w:ilvl="0">
      <w:lvlJc w:val="left"/>
      <w:lvlText w:val="(%1)"/>
      <w:numFmt w:val="lowerRoman"/>
      <w:start w:val="1"/>
    </w:lvl>
  </w:abstractNum>
  <w:abstractNum w:abstractNumId="64">
    <w:nsid w:val="50801EE1"/>
    <w:multiLevelType w:val="hybridMultilevel"/>
    <w:lvl w:ilvl="0">
      <w:lvlJc w:val="left"/>
      <w:lvlText w:val="(%1)"/>
      <w:numFmt w:val="lowerLetter"/>
      <w:start w:val="2"/>
    </w:lvl>
  </w:abstractNum>
  <w:abstractNum w:abstractNumId="65">
    <w:nsid w:val="488AC1A"/>
    <w:multiLevelType w:val="hybridMultilevel"/>
    <w:lvl w:ilvl="0">
      <w:lvlJc w:val="left"/>
      <w:lvlText w:val="(%1)"/>
      <w:numFmt w:val="lowerLetter"/>
      <w:start w:val="2"/>
    </w:lvl>
  </w:abstractNum>
  <w:abstractNum w:abstractNumId="66">
    <w:nsid w:val="5FB8011C"/>
    <w:multiLevelType w:val="hybridMultilevel"/>
    <w:lvl w:ilvl="0">
      <w:lvlJc w:val="left"/>
      <w:lvlText w:val="(%1)"/>
      <w:numFmt w:val="lowerLetter"/>
      <w:start w:val="5"/>
    </w:lvl>
  </w:abstractNum>
  <w:abstractNum w:abstractNumId="67">
    <w:nsid w:val="6AA78F7F"/>
    <w:multiLevelType w:val="hybridMultilevel"/>
    <w:lvl w:ilvl="0">
      <w:lvlJc w:val="left"/>
      <w:lvlText w:val="%1"/>
      <w:numFmt w:val="lowerLetter"/>
      <w:start w:val="1"/>
    </w:lvl>
    <w:lvl w:ilvl="1">
      <w:lvlJc w:val="left"/>
      <w:lvlText w:val="(%2)"/>
      <w:numFmt w:val="lowerLetter"/>
      <w:start w:val="1"/>
    </w:lvl>
  </w:abstractNum>
  <w:abstractNum w:abstractNumId="68">
    <w:nsid w:val="7672BD23"/>
    <w:multiLevelType w:val="hybridMultilevel"/>
    <w:lvl w:ilvl="0">
      <w:lvlJc w:val="left"/>
      <w:lvlText w:val="(%1)"/>
      <w:numFmt w:val="lowerLetter"/>
      <w:start w:val="9"/>
    </w:lvl>
    <w:lvl w:ilvl="1">
      <w:lvlJc w:val="left"/>
      <w:lvlText w:val="%2"/>
      <w:numFmt w:val="lowerLetter"/>
      <w:start w:val="1"/>
    </w:lvl>
  </w:abstractNum>
  <w:abstractNum w:abstractNumId="69">
    <w:nsid w:val="6FC75AF8"/>
    <w:multiLevelType w:val="hybridMultilevel"/>
    <w:lvl w:ilvl="0">
      <w:lvlJc w:val="left"/>
      <w:lvlText w:val="(%1)"/>
      <w:numFmt w:val="lowerLetter"/>
      <w:start w:val="61"/>
    </w:lvl>
    <w:lvl w:ilvl="1">
      <w:lvlJc w:val="left"/>
      <w:lvlText w:val="%2"/>
      <w:numFmt w:val="lowerLetter"/>
      <w:start w:val="1"/>
    </w:lvl>
  </w:abstractNum>
  <w:abstractNum w:abstractNumId="70">
    <w:nsid w:val="6A5F7029"/>
    <w:multiLevelType w:val="hybridMultilevel"/>
    <w:lvl w:ilvl="0">
      <w:lvlJc w:val="left"/>
      <w:lvlText w:val="(%1)"/>
      <w:numFmt w:val="lowerLetter"/>
      <w:start w:val="2"/>
    </w:lvl>
  </w:abstractNum>
  <w:abstractNum w:abstractNumId="71">
    <w:nsid w:val="7D5E18F8"/>
    <w:multiLevelType w:val="hybridMultilevel"/>
    <w:lvl w:ilvl="0">
      <w:lvlJc w:val="left"/>
      <w:lvlText w:val="(%1)"/>
      <w:numFmt w:val="lowerLetter"/>
      <w:start w:val="6"/>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4"/>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1)"/>
      <w:numFmt w:val="lowerLetter"/>
      <w:start w:val="1"/>
    </w:lvl>
  </w:abstractNum>
  <w:abstractNum w:abstractNumId="76">
    <w:nsid w:val="3FA62ACA"/>
    <w:multiLevelType w:val="hybridMultilevel"/>
    <w:lvl w:ilvl="0">
      <w:lvlJc w:val="left"/>
      <w:lvlText w:val="(%1)"/>
      <w:numFmt w:val="lowerLetter"/>
      <w:start w:val="1"/>
    </w:lvl>
  </w:abstractNum>
  <w:abstractNum w:abstractNumId="77">
    <w:nsid w:val="14FCE74E"/>
    <w:multiLevelType w:val="hybridMultilevel"/>
    <w:lvl w:ilvl="0">
      <w:lvlJc w:val="left"/>
      <w:lvlText w:val="(%1)"/>
      <w:numFmt w:val="lowerLetter"/>
      <w:start w:val="3"/>
    </w:lvl>
  </w:abstractNum>
  <w:abstractNum w:abstractNumId="78">
    <w:nsid w:val="6A3DD3E8"/>
    <w:multiLevelType w:val="hybridMultilevel"/>
    <w:lvl w:ilvl="0">
      <w:lvlJc w:val="left"/>
      <w:lvlText w:val="(%1)"/>
      <w:numFmt w:val="lowerLetter"/>
      <w:start w:val="1"/>
    </w:lvl>
  </w:abstractNum>
  <w:abstractNum w:abstractNumId="79">
    <w:nsid w:val="71C91298"/>
    <w:multiLevelType w:val="hybridMultilevel"/>
    <w:lvl w:ilvl="0">
      <w:lvlJc w:val="left"/>
      <w:lvlText w:val="(%1)"/>
      <w:numFmt w:val="lowerLetter"/>
      <w:start w:val="1"/>
    </w:lvl>
  </w:abstractNum>
  <w:abstractNum w:abstractNumId="80">
    <w:nsid w:val="9DAF632"/>
    <w:multiLevelType w:val="hybridMultilevel"/>
    <w:lvl w:ilvl="0">
      <w:lvlJc w:val="left"/>
      <w:lvlText w:val="(%1)"/>
      <w:numFmt w:val="lowerLetter"/>
      <w:start w:val="1"/>
    </w:lvl>
  </w:abstractNum>
  <w:abstractNum w:abstractNumId="81">
    <w:nsid w:val="53299938"/>
    <w:multiLevelType w:val="hybridMultilevel"/>
    <w:lvl w:ilvl="0">
      <w:lvlJc w:val="left"/>
      <w:lvlText w:val="(%1)"/>
      <w:numFmt w:val="lowerLetter"/>
      <w:start w:val="7"/>
    </w:lvl>
  </w:abstractNum>
  <w:abstractNum w:abstractNumId="82">
    <w:nsid w:val="1FBFE8E0"/>
    <w:multiLevelType w:val="hybridMultilevel"/>
    <w:lvl w:ilvl="0">
      <w:lvlJc w:val="left"/>
      <w:lvlText w:val="(%1)"/>
      <w:numFmt w:val="lowerLetter"/>
      <w:start w:val="1"/>
    </w:lvl>
  </w:abstractNum>
  <w:abstractNum w:abstractNumId="83">
    <w:nsid w:val="5092CA79"/>
    <w:multiLevelType w:val="hybridMultilevel"/>
    <w:lvl w:ilvl="0">
      <w:lvlJc w:val="left"/>
      <w:lvlText w:val="(%1)"/>
      <w:numFmt w:val="lowerLetter"/>
      <w:start w:val="10"/>
    </w:lvl>
  </w:abstractNum>
  <w:abstractNum w:abstractNumId="84">
    <w:nsid w:val="1D545C4D"/>
    <w:multiLevelType w:val="hybridMultilevel"/>
    <w:lvl w:ilvl="0">
      <w:lvlJc w:val="left"/>
      <w:lvlText w:val="(%1)"/>
      <w:numFmt w:val="lowerLetter"/>
      <w:start w:val="1"/>
    </w:lvl>
  </w:abstractNum>
  <w:abstractNum w:abstractNumId="85">
    <w:nsid w:val="59ADEA3D"/>
    <w:multiLevelType w:val="hybridMultilevel"/>
    <w:lvl w:ilvl="0">
      <w:lvlJc w:val="left"/>
      <w:lvlText w:val="(%1)"/>
      <w:numFmt w:val="lowerLetter"/>
      <w:start w:val="3"/>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7"/>
    </w:lvl>
  </w:abstractNum>
  <w:abstractNum w:abstractNumId="88">
    <w:nsid w:val="1D9F6E5F"/>
    <w:multiLevelType w:val="hybridMultilevel"/>
    <w:lvl w:ilvl="0">
      <w:lvlJc w:val="left"/>
      <w:lvlText w:val="(%1)"/>
      <w:numFmt w:val="lowerLetter"/>
      <w:start w:val="1"/>
    </w:lvl>
  </w:abstractNum>
  <w:abstractNum w:abstractNumId="89">
    <w:nsid w:val="97E1B4E"/>
    <w:multiLevelType w:val="hybridMultilevel"/>
    <w:lvl w:ilvl="0">
      <w:lvlJc w:val="left"/>
      <w:lvlText w:val="(%1)"/>
      <w:numFmt w:val="lowerLetter"/>
      <w:start w:val="4"/>
    </w:lvl>
    <w:lvl w:ilvl="1">
      <w:lvlJc w:val="left"/>
      <w:lvlText w:val="(%2)"/>
      <w:numFmt w:val="lowerLetter"/>
      <w:start w:val="6"/>
    </w:lvl>
  </w:abstractNum>
  <w:abstractNum w:abstractNumId="90">
    <w:nsid w:val="51088277"/>
    <w:multiLevelType w:val="hybridMultilevel"/>
    <w:lvl w:ilvl="0">
      <w:lvlJc w:val="left"/>
      <w:lvlText w:val="(%1)"/>
      <w:numFmt w:val="lowerLetter"/>
      <w:start w:val="61"/>
    </w:lvl>
    <w:lvl w:ilvl="1">
      <w:lvlJc w:val="left"/>
      <w:lvlText w:val="%2"/>
      <w:numFmt w:val="lowerLetter"/>
      <w:start w:val="1"/>
    </w:lvl>
  </w:abstractNum>
  <w:abstractNum w:abstractNumId="91">
    <w:nsid w:val="1CA0C5FA"/>
    <w:multiLevelType w:val="hybridMultilevel"/>
    <w:lvl w:ilvl="0">
      <w:lvlJc w:val="left"/>
      <w:lvlText w:val="%1"/>
      <w:numFmt w:val="lowerLetter"/>
      <w:start w:val="1"/>
    </w:lvl>
    <w:lvl w:ilvl="1">
      <w:lvlJc w:val="left"/>
      <w:lvlText w:val="(%2)"/>
      <w:numFmt w:val="lowerLetter"/>
      <w:start w:val="8"/>
    </w:lvl>
  </w:abstractNum>
  <w:abstractNum w:abstractNumId="92">
    <w:nsid w:val="53584BCB"/>
    <w:multiLevelType w:val="hybridMultilevel"/>
    <w:lvl w:ilvl="0">
      <w:lvlJc w:val="left"/>
      <w:lvlText w:val="(%1)"/>
      <w:numFmt w:val="lowerLetter"/>
      <w:start w:val="35"/>
    </w:lvl>
    <w:lvl w:ilvl="1">
      <w:lvlJc w:val="left"/>
      <w:lvlText w:val="(%2)"/>
      <w:numFmt w:val="lowerLetter"/>
      <w:start w:val="10"/>
    </w:lvl>
  </w:abstractNum>
  <w:abstractNum w:abstractNumId="93">
    <w:nsid w:val="415E286C"/>
    <w:multiLevelType w:val="hybridMultilevel"/>
    <w:lvl w:ilvl="0">
      <w:lvlJc w:val="left"/>
      <w:lvlText w:val="(%1)"/>
      <w:numFmt w:val="lowerRoman"/>
      <w:start w:val="2"/>
    </w:lvl>
  </w:abstractNum>
  <w:abstractNum w:abstractNumId="94">
    <w:nsid w:val="7C58FD05"/>
    <w:multiLevelType w:val="hybridMultilevel"/>
    <w:lvl w:ilvl="0">
      <w:lvlJc w:val="left"/>
      <w:lvlText w:val="(%1)"/>
      <w:numFmt w:val="lowerRoman"/>
      <w:start w:val="1"/>
    </w:lvl>
  </w:abstractNum>
  <w:abstractNum w:abstractNumId="95">
    <w:nsid w:val="23D86AAC"/>
    <w:multiLevelType w:val="hybridMultilevel"/>
    <w:lvl w:ilvl="0">
      <w:lvlJc w:val="left"/>
      <w:lvlText w:val="%1"/>
      <w:numFmt w:val="lowerLetter"/>
      <w:start w:val="1"/>
    </w:lvl>
    <w:lvl w:ilvl="1">
      <w:lvlJc w:val="left"/>
      <w:lvlText w:val="(%2)"/>
      <w:numFmt w:val="lowerLetter"/>
      <w:start w:val="2"/>
    </w:lvl>
  </w:abstractNum>
  <w:abstractNum w:abstractNumId="96">
    <w:nsid w:val="45E6D486"/>
    <w:multiLevelType w:val="hybridMultilevel"/>
    <w:lvl w:ilvl="0">
      <w:lvlJc w:val="left"/>
      <w:lvlText w:val="(%1)"/>
      <w:numFmt w:val="lowerLetter"/>
      <w:start w:val="2"/>
    </w:lvl>
    <w:lvl w:ilvl="1">
      <w:lvlJc w:val="left"/>
      <w:lvlText w:val="%2"/>
      <w:numFmt w:val="lowerLetter"/>
      <w:start w:val="1"/>
    </w:lvl>
  </w:abstractNum>
  <w:abstractNum w:abstractNumId="97">
    <w:nsid w:val="5C10FE21"/>
    <w:multiLevelType w:val="hybridMultilevel"/>
    <w:lvl w:ilvl="0">
      <w:lvlJc w:val="left"/>
      <w:lvlText w:val="(%1)"/>
      <w:numFmt w:val="lowerLetter"/>
      <w:start w:val="5"/>
    </w:lvl>
  </w:abstractNum>
  <w:abstractNum w:abstractNumId="98">
    <w:nsid w:val="E7FFA2B"/>
    <w:multiLevelType w:val="hybridMultilevel"/>
    <w:lvl w:ilvl="0">
      <w:lvlJc w:val="left"/>
      <w:lvlText w:val="(%1)"/>
      <w:numFmt w:val="lowerLetter"/>
      <w:start w:val="1"/>
    </w:lvl>
  </w:abstractNum>
  <w:abstractNum w:abstractNumId="99">
    <w:nsid w:val="3C5991AA"/>
    <w:multiLevelType w:val="hybridMultilevel"/>
    <w:lvl w:ilvl="0">
      <w:lvlJc w:val="left"/>
      <w:lvlText w:val="(%1)"/>
      <w:numFmt w:val="lowerLetter"/>
      <w:start w:val="2"/>
    </w:lvl>
  </w:abstractNum>
  <w:abstractNum w:abstractNumId="100">
    <w:nsid w:val="4BD8591A"/>
    <w:multiLevelType w:val="hybridMultilevel"/>
    <w:lvl w:ilvl="0">
      <w:lvlJc w:val="left"/>
      <w:lvlText w:val="(%1)"/>
      <w:numFmt w:val="upperLetter"/>
      <w:start w:val="1"/>
    </w:lvl>
  </w:abstractNum>
  <w:abstractNum w:abstractNumId="101">
    <w:nsid w:val="78DF6A55"/>
    <w:multiLevelType w:val="hybridMultilevel"/>
    <w:lvl w:ilvl="0">
      <w:lvlJc w:val="left"/>
      <w:lvlText w:val="(%1)"/>
      <w:numFmt w:val="upperLetter"/>
      <w:start w:val="1"/>
    </w:lvl>
  </w:abstractNum>
  <w:abstractNum w:abstractNumId="102">
    <w:nsid w:val="39B7AAA2"/>
    <w:multiLevelType w:val="hybridMultilevel"/>
    <w:lvl w:ilvl="0">
      <w:lvlJc w:val="left"/>
      <w:lvlText w:val="(%1)"/>
      <w:numFmt w:val="lowerRoman"/>
      <w:start w:val="3"/>
    </w:lvl>
  </w:abstractNum>
  <w:abstractNum w:abstractNumId="103">
    <w:nsid w:val="2B0D8DBE"/>
    <w:multiLevelType w:val="hybridMultilevel"/>
    <w:lvl w:ilvl="0">
      <w:lvlJc w:val="left"/>
      <w:lvlText w:val="(%1)"/>
      <w:numFmt w:val="lowerRoman"/>
      <w:start w:val="4"/>
    </w:lvl>
  </w:abstractNum>
  <w:abstractNum w:abstractNumId="104">
    <w:nsid w:val="6C80EC70"/>
    <w:multiLevelType w:val="hybridMultilevel"/>
    <w:lvl w:ilvl="0">
      <w:lvlJc w:val="left"/>
      <w:lvlText w:val="(%1)"/>
      <w:numFmt w:val="lowerLetter"/>
      <w:start w:val="3"/>
    </w:lvl>
  </w:abstractNum>
  <w:abstractNum w:abstractNumId="105">
    <w:nsid w:val="379E21B5"/>
    <w:multiLevelType w:val="hybridMultilevel"/>
    <w:lvl w:ilvl="0">
      <w:lvlJc w:val="left"/>
      <w:lvlText w:val="(%1)"/>
      <w:numFmt w:val="lowerRoman"/>
      <w:start w:val="2"/>
    </w:lvl>
  </w:abstractNum>
  <w:abstractNum w:abstractNumId="106">
    <w:nsid w:val="69E373"/>
    <w:multiLevelType w:val="hybridMultilevel"/>
    <w:lvl w:ilvl="0">
      <w:lvlJc w:val="left"/>
      <w:lvlText w:val="%1"/>
      <w:numFmt w:val="lowerRoman"/>
      <w:start w:val="1"/>
    </w:lvl>
    <w:lvl w:ilvl="1">
      <w:lvlJc w:val="left"/>
      <w:lvlText w:val="(%2)"/>
      <w:numFmt w:val="lowerLetter"/>
      <w:start w:val="4"/>
    </w:lvl>
  </w:abstractNum>
  <w:abstractNum w:abstractNumId="107">
    <w:nsid w:val="2C27173B"/>
    <w:multiLevelType w:val="hybridMultilevel"/>
    <w:lvl w:ilvl="0">
      <w:lvlJc w:val="left"/>
      <w:lvlText w:val="(%1)"/>
      <w:numFmt w:val="lowerRoman"/>
      <w:start w:val="7"/>
    </w:lvl>
    <w:lvl w:ilvl="1">
      <w:lvlJc w:val="left"/>
      <w:lvlText w:val="%2"/>
      <w:numFmt w:val="lowerLetter"/>
      <w:start w:val="1"/>
    </w:lvl>
  </w:abstractNum>
  <w:abstractNum w:abstractNumId="108">
    <w:nsid w:val="4C9B0904"/>
    <w:multiLevelType w:val="hybridMultilevel"/>
    <w:lvl w:ilvl="0">
      <w:lvlJc w:val="left"/>
      <w:lvlText w:val="(%1)"/>
      <w:numFmt w:val="lowerLetter"/>
      <w:start w:val="1"/>
    </w:lvl>
  </w:abstractNum>
  <w:abstractNum w:abstractNumId="109">
    <w:nsid w:val="6AA7B75C"/>
    <w:multiLevelType w:val="hybridMultilevel"/>
    <w:lvl w:ilvl="0">
      <w:lvlJc w:val="left"/>
      <w:lvlText w:val="(%1)"/>
      <w:numFmt w:val="lowerLetter"/>
      <w:start w:val="1"/>
    </w:lvl>
  </w:abstractNum>
  <w:abstractNum w:abstractNumId="110">
    <w:nsid w:val="1DF029D3"/>
    <w:multiLevelType w:val="hybridMultilevel"/>
    <w:lvl w:ilvl="0">
      <w:lvlJc w:val="left"/>
      <w:lvlText w:val="(%1)"/>
      <w:numFmt w:val="lowerLetter"/>
      <w:start w:val="2"/>
    </w:lvl>
  </w:abstractNum>
  <w:abstractNum w:abstractNumId="111">
    <w:nsid w:val="5675FF36"/>
    <w:multiLevelType w:val="hybridMultilevel"/>
    <w:lvl w:ilvl="0">
      <w:lvlJc w:val="left"/>
      <w:lvlText w:val="%1."/>
      <w:numFmt w:val="decimal"/>
      <w:start w:val="1"/>
    </w:lvl>
  </w:abstractNum>
  <w:abstractNum w:abstractNumId="112">
    <w:nsid w:val="3DD15094"/>
    <w:multiLevelType w:val="hybridMultilevel"/>
    <w:lvl w:ilvl="0">
      <w:lvlJc w:val="left"/>
      <w:lvlText w:val="(%1)"/>
      <w:numFmt w:val="lowerRoman"/>
      <w:start w:val="1"/>
    </w:lvl>
  </w:abstractNum>
  <w:abstractNum w:abstractNumId="113">
    <w:nsid w:val="3DB012B3"/>
    <w:multiLevelType w:val="hybridMultilevel"/>
    <w:lvl w:ilvl="0">
      <w:lvlJc w:val="left"/>
      <w:lvlText w:val="%1"/>
      <w:numFmt w:val="lowerLetter"/>
      <w:start w:val="1"/>
    </w:lvl>
    <w:lvl w:ilvl="1">
      <w:lvlJc w:val="left"/>
      <w:lvlText w:val="%2."/>
      <w:numFmt w:val="decimal"/>
      <w:start w:val="1"/>
    </w:lvl>
  </w:abstractNum>
  <w:abstractNum w:abstractNumId="114">
    <w:nsid w:val="2708C9AF"/>
    <w:multiLevelType w:val="hybridMultilevel"/>
    <w:lvl w:ilvl="0">
      <w:lvlJc w:val="left"/>
      <w:lvlText w:val="(%1)"/>
      <w:numFmt w:val="lowerLetter"/>
      <w:start w:val="1"/>
    </w:lvl>
    <w:lvl w:ilvl="1">
      <w:lvlJc w:val="left"/>
      <w:lvlText w:val="%2."/>
      <w:numFmt w:val="decimal"/>
      <w:start w:val="2"/>
    </w:lvl>
  </w:abstractNum>
  <w:abstractNum w:abstractNumId="115">
    <w:nsid w:val="5B25ACE2"/>
    <w:multiLevelType w:val="hybridMultilevel"/>
    <w:lvl w:ilvl="0">
      <w:lvlJc w:val="left"/>
      <w:lvlText w:val="%1."/>
      <w:numFmt w:val="decimal"/>
      <w:start w:val="1"/>
    </w:lvl>
  </w:abstractNum>
  <w:abstractNum w:abstractNumId="116">
    <w:nsid w:val="175DFCF0"/>
    <w:multiLevelType w:val="hybridMultilevel"/>
    <w:lvl w:ilvl="0">
      <w:lvlJc w:val="left"/>
      <w:lvlText w:val="%1."/>
      <w:numFmt w:val="decimal"/>
      <w:start w:val="4"/>
    </w:lvl>
  </w:abstractNum>
  <w:abstractNum w:abstractNumId="117">
    <w:nsid w:val="4F97E3E4"/>
    <w:multiLevelType w:val="hybridMultilevel"/>
    <w:lvl w:ilvl="0">
      <w:lvlJc w:val="left"/>
      <w:lvlText w:val="%1."/>
      <w:numFmt w:val="decimal"/>
      <w:start w:val="1"/>
    </w:lvl>
  </w:abstractNum>
  <w:abstractNum w:abstractNumId="118">
    <w:nsid w:val="53B0A9E"/>
    <w:multiLevelType w:val="hybridMultilevel"/>
    <w:lvl w:ilvl="0">
      <w:lvlJc w:val="left"/>
      <w:lvlText w:val="1"/>
      <w:numFmt w:val="bullet"/>
      <w:start w:val="1"/>
    </w:lvl>
  </w:abstractNum>
  <w:abstractNum w:abstractNumId="119">
    <w:nsid w:val="34FD6B4F"/>
    <w:multiLevelType w:val="hybridMultilevel"/>
    <w:lvl w:ilvl="0">
      <w:lvlJc w:val="left"/>
      <w:lvlText w:val="(%1)"/>
      <w:numFmt w:val="upperLetter"/>
      <w:start w:val="2"/>
    </w:lvl>
  </w:abstractNum>
  <w:abstractNum w:abstractNumId="120">
    <w:nsid w:val="5915FF32"/>
    <w:multiLevelType w:val="hybridMultilevel"/>
    <w:lvl w:ilvl="0">
      <w:lvlJc w:val="left"/>
      <w:lvlText w:val="%1."/>
      <w:numFmt w:val="decimal"/>
      <w:start w:val="2"/>
    </w:lvl>
  </w:abstractNum>
  <w:abstractNum w:abstractNumId="121">
    <w:nsid w:val="56438D15"/>
    <w:multiLevelType w:val="hybridMultilevel"/>
    <w:lvl w:ilvl="0">
      <w:lvlJc w:val="left"/>
      <w:lvlText w:val="%1"/>
      <w:numFmt w:val="decimal"/>
      <w:start w:val="1"/>
    </w:lvl>
    <w:lvl w:ilvl="1">
      <w:lvlJc w:val="left"/>
      <w:lvlText w:val="(%2)"/>
      <w:numFmt w:val="lowerRoman"/>
      <w:start w:val="1"/>
    </w:lvl>
  </w:abstractNum>
  <w:abstractNum w:abstractNumId="122">
    <w:nsid w:val="519E3149"/>
    <w:multiLevelType w:val="hybridMultilevel"/>
    <w:lvl w:ilvl="0">
      <w:lvlJc w:val="left"/>
      <w:lvlText w:val="(%1)"/>
      <w:numFmt w:val="decimal"/>
      <w:start w:val="1"/>
    </w:lvl>
    <w:lvl w:ilvl="1">
      <w:lvlJc w:val="left"/>
      <w:lvlText w:val="(%2)"/>
      <w:numFmt w:val="lowerRoman"/>
      <w:start w:val="2"/>
    </w:lvl>
  </w:abstractNum>
  <w:abstractNum w:abstractNumId="123">
    <w:nsid w:val="2C6E4AFD"/>
    <w:multiLevelType w:val="hybridMultilevel"/>
    <w:lvl w:ilvl="0">
      <w:lvlJc w:val="left"/>
      <w:lvlText w:val="(%1)"/>
      <w:numFmt w:val="lowerRoman"/>
      <w:start w:val="4"/>
    </w:lvl>
  </w:abstractNum>
  <w:abstractNum w:abstractNumId="124">
    <w:nsid w:val="17A1B582"/>
    <w:multiLevelType w:val="hybridMultilevel"/>
    <w:lvl w:ilvl="0">
      <w:lvlJc w:val="left"/>
      <w:lvlText w:val="%1."/>
      <w:numFmt w:val="decimal"/>
      <w:start w:val="5"/>
    </w:lvl>
  </w:abstractNum>
  <w:abstractNum w:abstractNumId="125">
    <w:nsid w:val="4DF72E4E"/>
    <w:multiLevelType w:val="hybridMultilevel"/>
    <w:lvl w:ilvl="0">
      <w:lvlJc w:val="left"/>
      <w:lvlText w:val="%1."/>
      <w:numFmt w:val="decimal"/>
      <w:start w:val="6"/>
    </w:lvl>
  </w:abstractNum>
  <w:abstractNum w:abstractNumId="126">
    <w:nsid w:val="5046B5A9"/>
    <w:multiLevelType w:val="hybridMultilevel"/>
    <w:lvl w:ilvl="0">
      <w:lvlJc w:val="left"/>
      <w:lvlText w:val="(%1)"/>
      <w:numFmt w:val="lowerLetter"/>
      <w:start w:val="1"/>
    </w:lvl>
    <w:lvl w:ilvl="1">
      <w:lvlJc w:val="left"/>
      <w:lvlText w:val="•"/>
      <w:numFmt w:val="bullet"/>
      <w:start w:val="1"/>
    </w:lvl>
  </w:abstractNum>
  <w:abstractNum w:abstractNumId="127">
    <w:nsid w:val="5D888A08"/>
    <w:multiLevelType w:val="hybridMultilevel"/>
    <w:lvl w:ilvl="0">
      <w:lvlJc w:val="left"/>
      <w:lvlText w:val="%1."/>
      <w:numFmt w:val="decimal"/>
      <w:start w:val="1"/>
    </w:lvl>
    <w:lvl w:ilvl="1">
      <w:lvlJc w:val="left"/>
      <w:lvlText w:val="(%2)"/>
      <w:numFmt w:val="lowerLetter"/>
      <w:start w:val="1"/>
    </w:lvl>
  </w:abstractNum>
  <w:abstractNum w:abstractNumId="128">
    <w:nsid w:val="2A082C7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2019-12-11T00:47:09Z</dcterms:created>
  <dcterms:modified xsi:type="dcterms:W3CDTF">2019-12-11T00:47:09Z</dcterms:modified>
</cp:coreProperties>
</file>