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722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18"/>
                <w:szCs w:val="18"/>
                <w:color w:val="auto"/>
              </w:rPr>
            </w:pPr>
          </w:p>
        </w:tc>
        <w:tc>
          <w:tcPr>
            <w:tcW w:w="108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w w:val="89"/>
              </w:rPr>
              <w:t>51-0278097</w:t>
            </w:r>
          </w:p>
        </w:tc>
        <w:tc>
          <w:tcPr>
            <w:tcW w:w="600" w:type="dxa"/>
            <w:vAlign w:val="bottom"/>
          </w:tcPr>
          <w:p>
            <w:pPr>
              <w:spacing w:after="0"/>
              <w:rPr>
                <w:sz w:val="18"/>
                <w:szCs w:val="18"/>
                <w:color w:val="auto"/>
              </w:rPr>
            </w:pPr>
          </w:p>
        </w:tc>
      </w:tr>
      <w:tr>
        <w:trPr>
          <w:trHeight w:val="149"/>
        </w:trPr>
        <w:tc>
          <w:tcPr>
            <w:tcW w:w="7220" w:type="dxa"/>
            <w:vAlign w:val="bottom"/>
            <w:gridSpan w:val="3"/>
          </w:tcPr>
          <w:p>
            <w:pPr>
              <w:jc w:val="center"/>
              <w:ind w:right="210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3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72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88"/>
              </w:rPr>
              <w:t>or Organization)</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49"/>
        </w:trPr>
        <w:tc>
          <w:tcPr>
            <w:tcW w:w="41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90"/>
        </w:trPr>
        <w:tc>
          <w:tcPr>
            <w:tcW w:w="416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416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8"/>
        </w:trPr>
        <w:tc>
          <w:tcPr>
            <w:tcW w:w="7220" w:type="dxa"/>
            <w:vAlign w:val="bottom"/>
            <w:gridSpan w:val="3"/>
          </w:tcPr>
          <w:p>
            <w:pPr>
              <w:jc w:val="center"/>
              <w:ind w:left="3397"/>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84"/>
        </w:trPr>
        <w:tc>
          <w:tcPr>
            <w:tcW w:w="7220" w:type="dxa"/>
            <w:vAlign w:val="bottom"/>
            <w:gridSpan w:val="3"/>
          </w:tcPr>
          <w:p>
            <w:pPr>
              <w:jc w:val="center"/>
              <w:ind w:left="3417"/>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1"/>
        </w:trPr>
        <w:tc>
          <w:tcPr>
            <w:tcW w:w="41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3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302"/>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12(b)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24"/>
        </w:trPr>
        <w:tc>
          <w:tcPr>
            <w:tcW w:w="7920" w:type="dxa"/>
            <w:vAlign w:val="bottom"/>
            <w:gridSpan w:val="4"/>
          </w:tcPr>
          <w:p>
            <w:pPr>
              <w:jc w:val="center"/>
              <w:ind w:left="2697"/>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834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00" w:type="dxa"/>
            <w:vAlign w:val="bottom"/>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284"/>
        </w:trPr>
        <w:tc>
          <w:tcPr>
            <w:tcW w:w="79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15(d) of the Act.</w:t>
            </w:r>
          </w:p>
        </w:tc>
        <w:tc>
          <w:tcPr>
            <w:tcW w:w="420" w:type="dxa"/>
            <w:vAlign w:val="bottom"/>
          </w:tcPr>
          <w:p>
            <w:pPr>
              <w:ind w:left="120"/>
              <w:spacing w:after="0"/>
              <w:rPr>
                <w:sz w:val="20"/>
                <w:szCs w:val="20"/>
                <w:color w:val="auto"/>
              </w:rPr>
            </w:pPr>
            <w:r>
              <w:rPr>
                <w:rFonts w:ascii="Arial" w:cs="Arial" w:eastAsia="Arial" w:hAnsi="Arial"/>
                <w:sz w:val="18"/>
                <w:szCs w:val="18"/>
                <w:color w:val="auto"/>
                <w:w w:val="90"/>
              </w:rPr>
              <w:t>Yes</w:t>
            </w:r>
          </w:p>
        </w:tc>
        <w:tc>
          <w:tcPr>
            <w:tcW w:w="3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1" w:lineRule="exact"/>
        <w:rPr>
          <w:sz w:val="24"/>
          <w:szCs w:val="24"/>
          <w:color w:val="auto"/>
        </w:rPr>
      </w:pPr>
    </w:p>
    <w:p>
      <w:pPr>
        <w:ind w:right="3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0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1440" w:gutter="0" w:footer="0" w:header="0"/>
        </w:sectPr>
      </w:pPr>
    </w:p>
    <w:p>
      <w:pPr>
        <w:spacing w:after="0" w:line="1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40"/>
          </w:cols>
          <w:pgMar w:left="240" w:top="230" w:right="279" w:bottom="1440" w:gutter="0" w:footer="0" w:header="0"/>
          <w:type w:val="continuous"/>
        </w:sectPr>
      </w:pPr>
    </w:p>
    <w:p>
      <w:pPr>
        <w:ind w:left="3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60" w:firstLine="342"/>
        <w:spacing w:after="0" w:line="253" w:lineRule="auto"/>
        <w:rPr>
          <w:sz w:val="20"/>
          <w:szCs w:val="20"/>
          <w:color w:val="auto"/>
        </w:rPr>
      </w:pPr>
      <w:r>
        <w:rPr>
          <w:rFonts w:ascii="Arial" w:cs="Arial" w:eastAsia="Arial" w:hAnsi="Arial"/>
          <w:sz w:val="18"/>
          <w:szCs w:val="18"/>
          <w:color w:val="auto"/>
        </w:rPr>
        <w:t>As of June 30, 2010, none of the Registrant’s common membership interests were held by non-affiliates. As of June 30, 2010, LAZ-MD Holdings LLC held 13,874,679 common memberships interests of the Registrant, representing 11.0% of the Registrant’s then outstanding common membership interests. As of January 31, 2011, LAZ-MD Holdings LLC held 7,633,593 common membership interests, or 6.0% of the Registrant’s then outstanding common membership interests. If LAZ-MD Holdings LLC is not deemed an “affiliate” of the Registrant, then as of June 30, 2010 there would have been 13,874,679 outstanding common membership interests of the Registrant held by non-affiliates, with a market value of $370,592,676 (assuming each common membership interest has a value equivalent to one share of Lazard Ltd Class A common stock and based on a closing price per share of $26.71 of Lazard Ltd Class A common stock on June 30, 2010).</w:t>
      </w:r>
    </w:p>
    <w:p>
      <w:pPr>
        <w:spacing w:after="0" w:line="53" w:lineRule="exact"/>
        <w:rPr>
          <w:sz w:val="24"/>
          <w:szCs w:val="24"/>
          <w:color w:val="auto"/>
        </w:rPr>
      </w:pPr>
    </w:p>
    <w:p>
      <w:pPr>
        <w:ind w:right="480" w:firstLine="342"/>
        <w:spacing w:after="0" w:line="268" w:lineRule="auto"/>
        <w:rPr>
          <w:sz w:val="20"/>
          <w:szCs w:val="20"/>
          <w:color w:val="auto"/>
        </w:rPr>
      </w:pPr>
      <w:r>
        <w:rPr>
          <w:rFonts w:ascii="Arial" w:cs="Arial" w:eastAsia="Arial" w:hAnsi="Arial"/>
          <w:sz w:val="18"/>
          <w:szCs w:val="18"/>
          <w:color w:val="auto"/>
        </w:rPr>
        <w:t>As of January 31, 2011, in addition to profit participation interests, there were 127,331,529 common membership interests and two managing member interests outstanding.</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ANNUAL REPORT ON FORM 10-K</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161"/>
        </w:trPr>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7"/>
              </w:rPr>
              <w:t>Form 10-K Item 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r>
      <w:tr>
        <w:trPr>
          <w:trHeight w:val="277"/>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10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w:t>
            </w:r>
          </w:p>
        </w:tc>
        <w:tc>
          <w:tcPr>
            <w:tcW w:w="20" w:type="dxa"/>
            <w:vAlign w:val="bottom"/>
          </w:tcPr>
          <w:p>
            <w:pPr>
              <w:spacing w:after="0"/>
              <w:rPr>
                <w:sz w:val="24"/>
                <w:szCs w:val="24"/>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800" w:type="dxa"/>
            <w:vAlign w:val="bottom"/>
            <w:gridSpan w:val="2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Executive Officers of the Registrant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1640" w:type="dxa"/>
            <w:vAlign w:val="bottom"/>
            <w:tcBorders>
              <w:top w:val="single" w:sz="8" w:color="0000EE"/>
            </w:tcBorders>
            <w:gridSpan w:val="8"/>
          </w:tcPr>
          <w:p>
            <w:pPr>
              <w:spacing w:after="0"/>
              <w:rPr>
                <w:sz w:val="24"/>
                <w:szCs w:val="24"/>
                <w:color w:val="auto"/>
              </w:rPr>
            </w:pPr>
          </w:p>
        </w:tc>
        <w:tc>
          <w:tcPr>
            <w:tcW w:w="69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24"/>
                <w:szCs w:val="24"/>
                <w:color w:val="auto"/>
              </w:rPr>
            </w:pP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Unresolved Staff Comments</w:t>
              </w:r>
            </w:hyperlink>
          </w:p>
        </w:tc>
        <w:tc>
          <w:tcPr>
            <w:tcW w:w="7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Legal Proceedings</w:t>
              </w:r>
            </w:hyperlink>
          </w:p>
        </w:tc>
        <w:tc>
          <w:tcPr>
            <w:tcW w:w="8120" w:type="dxa"/>
            <w:vAlign w:val="bottom"/>
            <w:gridSpan w:val="1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(Removed and Reserved)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PART II</w:t>
              </w:r>
            </w:hyperlink>
          </w:p>
        </w:tc>
        <w:tc>
          <w:tcPr>
            <w:tcW w:w="9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88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Market for Registrant’s Common Equity, Related Stockholder Matters and Issuer Purchases of Equity Securities</w:t>
              </w:r>
            </w:hyperlink>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24"/>
                <w:szCs w:val="24"/>
                <w:color w:val="auto"/>
              </w:rPr>
            </w:pPr>
          </w:p>
        </w:tc>
        <w:tc>
          <w:tcPr>
            <w:tcW w:w="6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Management’s Discussion and Analysis of Financial Condition and Results of Operations</w:t>
              </w:r>
            </w:hyperlink>
          </w:p>
        </w:tc>
        <w:tc>
          <w:tcPr>
            <w:tcW w:w="31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24"/>
                <w:szCs w:val="24"/>
                <w:color w:val="auto"/>
              </w:rPr>
            </w:pPr>
          </w:p>
        </w:tc>
        <w:tc>
          <w:tcPr>
            <w:tcW w:w="4240" w:type="dxa"/>
            <w:vAlign w:val="bottom"/>
            <w:tcBorders>
              <w:top w:val="single" w:sz="8" w:color="0000EE"/>
            </w:tcBorders>
            <w:gridSpan w:val="1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Financial Statements and Supplementary Data</w:t>
              </w:r>
            </w:hyperlink>
          </w:p>
        </w:tc>
        <w:tc>
          <w:tcPr>
            <w:tcW w:w="51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24"/>
                <w:szCs w:val="24"/>
                <w:color w:val="auto"/>
              </w:rPr>
            </w:pPr>
          </w:p>
        </w:tc>
        <w:tc>
          <w:tcPr>
            <w:tcW w:w="63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30">
              <w:r>
                <w:rPr>
                  <w:rFonts w:ascii="Arial" w:cs="Arial" w:eastAsia="Arial" w:hAnsi="Arial"/>
                  <w:sz w:val="18"/>
                  <w:szCs w:val="18"/>
                  <w:color w:val="0000EE"/>
                  <w:w w:val="88"/>
                </w:rPr>
                <w:t>Changes in and Disagreements with Accountants on Accounting and Financial Disclosure</w:t>
              </w:r>
            </w:hyperlink>
          </w:p>
        </w:tc>
        <w:tc>
          <w:tcPr>
            <w:tcW w:w="31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128</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Controls and Procedures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128</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Other Information</w:t>
              </w:r>
            </w:hyperlink>
          </w:p>
        </w:tc>
        <w:tc>
          <w:tcPr>
            <w:tcW w:w="7700" w:type="dxa"/>
            <w:vAlign w:val="bottom"/>
            <w:gridSpan w:val="1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128</w:t>
            </w: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PART III</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129</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34">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7"/>
          </w:tcPr>
          <w:p>
            <w:pPr>
              <w:spacing w:after="0"/>
              <w:rPr>
                <w:sz w:val="24"/>
                <w:szCs w:val="24"/>
                <w:color w:val="auto"/>
              </w:rPr>
            </w:pPr>
          </w:p>
        </w:tc>
        <w:tc>
          <w:tcPr>
            <w:tcW w:w="544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132</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156</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7"/>
              </w:rPr>
            </w:pPr>
            <w:hyperlink w:anchor="page158">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4"/>
          </w:tcPr>
          <w:p>
            <w:pPr>
              <w:spacing w:after="0"/>
              <w:rPr>
                <w:sz w:val="24"/>
                <w:szCs w:val="24"/>
                <w:color w:val="auto"/>
              </w:rPr>
            </w:pPr>
          </w:p>
        </w:tc>
        <w:tc>
          <w:tcPr>
            <w:tcW w:w="23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156</w:t>
            </w: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Principal Accountant Fees and Services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165</w:t>
            </w: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69">
              <w:r>
                <w:rPr>
                  <w:rFonts w:ascii="Arial" w:cs="Arial" w:eastAsia="Arial" w:hAnsi="Arial"/>
                  <w:sz w:val="18"/>
                  <w:szCs w:val="18"/>
                  <w:color w:val="0000EE"/>
                  <w:w w:val="91"/>
                </w:rPr>
                <w:t>PART IV</w:t>
              </w:r>
            </w:hyperlink>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04"/>
        </w:trPr>
        <w:tc>
          <w:tcPr>
            <w:tcW w:w="1560" w:type="dxa"/>
            <w:vAlign w:val="bottom"/>
            <w:gridSpan w:val="6"/>
          </w:tcPr>
          <w:p>
            <w:pPr>
              <w:ind w:left="440"/>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169">
              <w:r>
                <w:rPr>
                  <w:rFonts w:ascii="Arial" w:cs="Arial" w:eastAsia="Arial" w:hAnsi="Arial"/>
                  <w:sz w:val="18"/>
                  <w:szCs w:val="18"/>
                  <w:color w:val="0000EE"/>
                </w:rPr>
                <w:t>Exhibits and Financial Statement Schedule</w:t>
              </w:r>
            </w:hyperlink>
            <w:r>
              <w:rPr>
                <w:rFonts w:ascii="Arial" w:cs="Arial" w:eastAsia="Arial" w:hAnsi="Arial"/>
                <w:sz w:val="18"/>
                <w:szCs w:val="18"/>
                <w:color w:val="000000"/>
              </w:rPr>
              <w:t>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13"/>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gridSpan w:val="23"/>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Index to Financial Statements and Financial Statement Schedule Items 15(a)(1) and 15(a)(2)</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04"/>
        </w:trPr>
        <w:tc>
          <w:tcPr>
            <w:tcW w:w="1560" w:type="dxa"/>
            <w:vAlign w:val="bottom"/>
            <w:gridSpan w:val="6"/>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40" w:type="dxa"/>
            <w:vAlign w:val="bottom"/>
            <w:gridSpan w:val="8"/>
          </w:tcPr>
          <w:p>
            <w:pPr>
              <w:ind w:left="12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December 31, 2010 of approximately 94.0% of the common membership interests in Lazard Group. Lazard Ltd controls Lazard Group through two of its indirect wholly-owned subsidiaries who are co-managing members of Lazard Group.</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Lazard Group’s current and former managing directors.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one of the world’s preeminent financial advisory and asset management firms and have long specialized in crafting solutions to the complex financial and strategic challenges of our clients. We serve a diverse set of clients around the world, including corporations, partnerships, institutions, governments and high-net worth individuals. The first Lazard partnership was established in 1848. Over time we have extended our activities beyond our roots in New York, Paris and London. We currently operate from 41 cities in key business and financial centers across 26 countries throughout Europe, North America, Asia, Australia, the Middle East and Central and South America.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Recapitalization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10, 2005, Lazard Ltd completed the equity public offering (the “equity public offering”) of its Class A common stock, the public offering of equity security units of Lazard Ltd, the private placements under an investment agreement with IXIS Corporate &amp; Investment Bank (“IXIS” or, following its merger with and into its parent, “Natixis”) and the private offering of the 7.125% senior notes due 2015 of Lazard Group, primarily to recapitalize Lazard Group. We refer to these financing transactions and the recapitalization, collectively, as the “recapitalization.” As part of the recapitalization, Lazard Group used the net proceeds from the financing transactions primarily to redeem the outstanding Lazard Group membership interests of certain of its historical partners.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May 10, 2005, Lazard Group also transferred its capital markets business, which consisted of equity, fixed income and convertibles sales and trading, broking, research and underwriting services, and fund management activities outside of France as well as other specified non-operating assets and liabilities, to LFCM Holdings LLC, a Delaware limited liability company (“LFCM Holdings”). We refer to these businesses, assets and liabilities as the “separated businesses” and these transfers collectively as the “separation.”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 Lines</w:t>
      </w:r>
    </w:p>
    <w:p>
      <w:pPr>
        <w:spacing w:after="0" w:line="8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focus primarily on two business segments - Financial Advisory and Asset Management. We believe that the mix of our activities across business segments, geographic regions, industries and investment strategies helps to diversify and stabilize our revenue stream.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offer corporate, partnership, institutional, government, sovereign and individual clients across the globe a wide array of financial advisory services regarding mergers and acquisitions (“M&amp;A”) and other strategic matters, restructurings, capital structure, capital raising and various other corporate finance matters. We focus on solving our clients’ most complex problems, providing advice to senior management, boards of directors and business owners of prominent companies and institutions in transactions that typically are of significant strategic and financial importance to them.</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continue to build our Financial Advisory business by fostering long-term, senior level relationships with existing and new clients as their independent advisor on strategic transactions. We seek to build and sustain long-term relationships with our clients rather than focusing simply on individual transactions, a practice that we believe enhances our access to senior management of major corporations and institutions around the world. We emphasize providing clients with senior level focus during all phases of transaction execution.</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strive to earn repeat business from our clients, we operate in a highly competitive environment in which there are no long-term contracted sources of revenue. Each revenue-generating engagement is separately negotiated and awarded. To develop new client relationships, and to develop new engagements from historical client relationships, we maintain an active dialogue with a large number of clients and potential clients, as well as with their financial and legal advisors, on an ongoing basis. We have gained a significant number of new clients each year through our business development initiatives, through recruiting additional senior investment banking professionals who bring with them client relationships and through referrals from directors, attorneys and other third parties with whom we have relationships. At the same time, we lose clients each year as a result of the sale or merger of a client, a change in a client’s senior management, competition from other investment banks and other causes.</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the years ended December 31, 2010, 2009 and 2008, the Financial Advisory segment net revenue totaled $1.120 billion, $987 million and $1.023 billion, respectively, accounting for approximately 59%, 65% and 66%, respectively, of our consolidated net revenue for such years. We earned $1 million or more from 255 clients, 257 clients and 220 clients for the years ended December 31, 2010, 2009 and 2008, respectively. For the years ended December 31, 2010, 2009 and 2008, the ten largest fee paying clients constituted approximately 16%, 17% and 20% of our Financial Advisory segment net revenue, respectively, with no client individually having constituted more than 10% of segment net revenue during any of these years. For the years ended December 31, 2010, 2009 and 2008, the Financial Advisory segment reported operating income (loss) of $169 million, $(12) million and $226 million, respectively. Operating income in 2010 and 2009 included charges of approximately $20 million and $49 million, respectively, representing the portion of special items (as described in Management’s Discussion and Analysis of Financial Condition and Results of Operations and Note 22 of Notes to Consolidated Financial Statements) that are applicable to the Financial Advisory segment. Excluding the impact of such special items, our Financial Advisory segment had operating income of $189 million, $37 million and $226 million in the years ended December 31, 2010, 2009 and 2008, respectively. At December 31, 2010, 2009 and 2008, the Financial Advisory segment had total assets of $799 million, $707 million and $739 million, respectively.</w:t>
      </w:r>
    </w:p>
    <w:p>
      <w:pPr>
        <w:spacing w:after="0" w:line="114"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We believe that we have been pioneers in offering financial advisory services on an international basis, with the establishment of our New York, Paris and London offices dating back to the nineteenth century. We maintain a major local presence in the U.S., the United Kingdom (the “U.K.”) and France, including a network of regional branch offices in the U.S. and France, as well a presence in Argentina, Australia, Belgium, Brazil, Chile, Colombia, Dubai, Germany, Hong Kong, India, Italy, Japan, the Netherlands, Panama, Peru, Singapore, South Korea, Spain, Sweden, Switzerland, Uruguay and mainland China.</w:t>
      </w:r>
    </w:p>
    <w:p>
      <w:pPr>
        <w:spacing w:after="0" w:line="8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Over the past several years, our Financial Advisory segment has made several business acquisitions and entered into certain other business relationships. On August 13, 2007, we acquired all of the outstanding ownership interests of Goldsmith, Agio, Helms &amp; Lynner, LLC (“GAHL”), a Minneapolis-based investment bank specializing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financial advisory services to mid-sized private companies. On July 31, 2007, Lazard Ltd acquired all of the outstanding shares of Carnegie, Wylie &amp; Company (Holdings) PTY LTD (“CWC”), an Australia-based financial advisory firm, and concurrently sold such investment to Lazard Group. Furthermore, on June 19, 2007, we entered into a joint cooperation agreement with Raiffeisen Investment AG (“Raiffeisen”) for merger and acquisition advisory services in Russia and the Central and Eastern European (the “CEE”) region. This cooperation agreement is currently in the process of being renewed. The cooperation between us and Raiffeisen, one of the CEE region’s top M&amp;A advisors, provides domestic, international and cross-border expertise within Russia and the CEE region. In addition, on January 31, 2008, we acquired a 50% interest in Merchant Bankers Asociados (“MBA”), an Argentina-based financial advisory services firm with offices across Central and South America and the parent company of MBA Banco de Inversiones. In February 2009, we entered into a strategic alliance with a financial advisory firm in Mexico to provide global M&amp;A advisory services for clients, both inside and outside of Mexico, who are seeking to acquire or sell assets in Mexico or have interests in other financial transactions with companies in Mexico, and to provide restructuring advisory services to clients in Mexico.</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seeking business centered in the locations referred to above, we historically have focused in particular on advising clients with respect to cross-border transactions. We believe that we are particularly well known for our legacy of offering broad teams of professionals who are indigenous to their respective regions and who have long-term client relationships, capabilities and know-how in their respective regions, who will coordinate with our professionals with global sector expertise. We also believe that this positioning affords us insight around the globe into key industry, economic, government and regulatory issues and developments, which we can bring to bear on behalf of our clients.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Offered</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advise clients on a wide range of strategic and financial issues. When we advise clients on the potential acquisition of another company, business or certain assets, our services include evaluating potential acquisition targets, providing valuation analyses, evaluating and proposing financial and strategic alternatives and rendering, if appropriate, fairness opinions. We also may advise as to the timing, structure, financing and pricing of a proposed acquisition and assist in negotiating and closing the acquisition. In addition, we may assist in executing an acquisition by acting as a dealer-manager in transactions structured as a tender or exchange offer.</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 we advise clients that are contemplating the sale of certain businesses, assets or their entire company, our services include advising on the appropriate sales process for the situation, valuation issues, assisting in preparing an offering circular or other appropriate sales materials and rendering, if appropriate, fairness opinions. We also identify and contact selected qualified acquirors and assist in negotiating and closing the proposed sale. As appropriate, we also advise our clients regarding financial and strategic alternatives to a sale including recapitalizations, spin-offs, carve-outs, split-offs and tracking stocks. Our advice includes recommendations with respect to the structure, timing and pricing of these alternatives.</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companies in financial distress, our services may include reviewing and analyzing the business, operations, properties, financial condition and prospects of the company, evaluating debt capacity, assisting in the determination of an appropriate capital structure and evaluating and recommending financial and strategic alternatives, including providing advice on dividend policy. If appropriate, we may provide financial advice and assistance in developing and seeking approval of a restructuring or reorganization plan, which may include a plan of reorganization under Chapter 11 of the U.S. Bankruptcy Code or other similar court administered processes in non-U.S. jurisdictions. In such cases, we may assist in all aspects of the implementation of such a plan, including advising and assisting in structuring and effecting the financial aspects of a sale or recapitalization, structuring new securities, exchange offers, other considerations or other inducements to be offered or issued, as well as assisting and participating in negotiations with affected entities or groups.</w:t>
      </w:r>
    </w:p>
    <w:p>
      <w:pPr>
        <w:spacing w:after="0" w:line="10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When we assist clients in raising private or public market financing, our services include originating and executing private placements of equity, debt and related securities, assisting clients in connection with securing, refinancing or restructuring bank loans, originating public underwritings of equity, debt and convertible securities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originating and executing private placements of partnership and similar interests in alternative investment funds such as leveraged buyout, mezzanine or real estate focused funds. In addition, we may advise on capital structure and assist in long-range capital planning and rating agency relationships.</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Since the beginning of the financial crisis that began in mid-2007, we have been at the forefront of providing independent advice to governments and governmental agencies challenged by the current troubled environment. Lazard’s Sovereign Advisory Group is also highly active, advising a number of countries with respect to sovereign debt.</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connection with the separation, we entered into a business alliance agreement dated as of May 10, 2005 by and among Lazard Group, LAZ-MD Holdings and LFCM Holdings (the “business alliance agreement”), pursuant to which a subsidiary of LFCM Holdings generally underwrites and distributes U.S. securities offerings originated by our Financial Advisory business in a manner intended to be similar to our practice prior to the separation, with revenue from such offerings generally continuing to be divided evenly between Lazard Group and LFCM Holdings.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Staffing</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staff our assignments with a team of quality professionals who have appropriate product and industry expertise. We pride ourselves on, and we believe we differentiate ourselves from our competitors by, being able to offer a high level of attention from senior personnel to our clients and organizing ourselves in such a way that managing directors who are responsible for securing and maintaining client relationships also actively participate in providing related transaction execution services. Our managing directors have significant experience, and many of them are able to use this experience to advise on both M&amp;A and restructuring transactions, depending on our clients’ needs. Many of our managing directors and senior advisors come from diverse backgrounds, such as senior executive positions at corporations and in government, law and strategic consulting, which we believe enhances our ability to offer sophisticated advice and customized solutions to our clients. As of December 31, 2010, our Financial Advisory segment had 129 managing directors, 673 other professionals (which includes directors, vice presidents, associates and analysts) and 222 support staff personnel.</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Industries Served</w:t>
      </w:r>
    </w:p>
    <w:p>
      <w:pPr>
        <w:spacing w:after="0" w:line="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seek to offer our services across most major industry groups, including, in many cases, sub-industry specialties. Our Mergers and Acquisitions managing directors and professionals are organized to provide advice in the following major industry practice areas:</w:t>
      </w:r>
    </w:p>
    <w:p>
      <w:pPr>
        <w:spacing w:after="0" w:line="3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sponsors,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 and life sciences,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and energy/infrastructure,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groups are managed locally in each relevant geographic region and are coordinated globally, which allows us to bring local industry-specific knowledge to bear on behalf of our clients on a global basis. We believe that this enhances the quality of the advice that we can offer, which improves our ability to market our capabilities to clients.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our Mergers and Acquisitions and Restructuring practices, we also maintain specialties in the following distinct practice areas within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Advisory segment:</w:t>
      </w:r>
    </w:p>
    <w:p>
      <w:pPr>
        <w:spacing w:after="0" w:line="7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advisory,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structure and debt advisory,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 raising for alternative investment funds,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 investment in public equities, or “PIPES”,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corporate finance and other advisory services, including convertible exchange transactions, Registered Direct offerings and private placements.</w:t>
      </w:r>
    </w:p>
    <w:p>
      <w:pPr>
        <w:spacing w:after="0" w:line="20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endeavor to coordinate the activities of the professionals in these areas with our Mergers and Acquisitions industry specialists in order to offer clients customized teams of cross-functional expertise spanning both industry and practice area expertise.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focus in our Financial Advisory business is on:</w:t>
      </w:r>
    </w:p>
    <w:p>
      <w:pPr>
        <w:spacing w:after="0" w:line="77" w:lineRule="exact"/>
        <w:rPr>
          <w:sz w:val="20"/>
          <w:szCs w:val="20"/>
          <w:color w:val="auto"/>
        </w:rPr>
      </w:pPr>
    </w:p>
    <w:p>
      <w:pPr>
        <w:ind w:left="780" w:right="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a significant investment in our intellectual capital with the addition of senior professionals who we believe have strong client relationships and industry expertise,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our contacts with existing clients to further enhance our long-term relationships and our efforts in developing new client relationships,</w:t>
      </w:r>
    </w:p>
    <w:p>
      <w:pPr>
        <w:spacing w:after="0" w:line="126" w:lineRule="exact"/>
        <w:rPr>
          <w:rFonts w:ascii="Arial" w:cs="Arial" w:eastAsia="Arial" w:hAnsi="Arial"/>
          <w:sz w:val="16"/>
          <w:szCs w:val="16"/>
          <w:color w:val="auto"/>
        </w:rPr>
      </w:pPr>
    </w:p>
    <w:p>
      <w:pPr>
        <w:ind w:left="780" w:right="30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expanding the breadth and depth of our industry expertise and selectively adding new practice areas, such as our capital structure advisory effort to help corporations and governments in addressing the significant deleveraging that is occurring in the developed markets,</w:t>
      </w:r>
    </w:p>
    <w:p>
      <w:pPr>
        <w:spacing w:after="0" w:line="1"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our industry specialty activities on a global basis and increasing the integration of our industry experts in mergers and acquisitions with our Restructuring and Capital Markets professionals, and</w:t>
      </w:r>
    </w:p>
    <w:p>
      <w:pPr>
        <w:spacing w:after="0" w:line="37" w:lineRule="exact"/>
        <w:rPr>
          <w:rFonts w:ascii="Arial" w:cs="Arial" w:eastAsia="Arial" w:hAnsi="Arial"/>
          <w:sz w:val="18"/>
          <w:szCs w:val="18"/>
          <w:color w:val="auto"/>
        </w:rPr>
      </w:pPr>
    </w:p>
    <w:p>
      <w:pPr>
        <w:ind w:left="780" w:right="560" w:hanging="326"/>
        <w:spacing w:after="0" w:line="255"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broadening our geographic presence by adding new offices, including, since the beginning of 2007, offices in Australia (Melbourne and Perth), Switzerland (Zurich) and United Arab Emirates (Dubai City), as well as new regional offices in the U.S. (Boston, Minneapolis, Charlotte and Washington DC), acquiring a 50% interest in a financial advisory firm with offices in Central and South America (Argentina, Chile, Colombia, Panama, Peru and Uruguay) and entering into a joint cooperation agreement in Eastern Europe and Russia, as well as a strategic alliance with a financial advisory firm in Mexico.</w:t>
      </w:r>
    </w:p>
    <w:p>
      <w:pPr>
        <w:spacing w:after="0" w:line="12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to the investments made as part of this strategy, we believe that the following external market factors may enable our Financial Advisory business to benefit by:</w:t>
      </w:r>
    </w:p>
    <w:p>
      <w:pPr>
        <w:spacing w:after="0" w:line="3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demand for independent, unbiased financial advice,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potential increase in cross-border M&amp;A and large capitalization M&amp;A, two of our areas of historical specialization.</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Going forward, our strategic emphasis in our Financial Advisory business is to leverage the investments we have made in recent years to grow our business and drive our productivity. We continue to seek to opportunistically attract outstanding individuals to our business. We routinely reassess our strategic position and may in the future seek opportunities to further enhance our competitive position. In this regard, since 2007, as described above, we broadened our geographic footprint through acquisitions, investments and alliances.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Relationship with Natixis</w:t>
      </w:r>
    </w:p>
    <w:p>
      <w:pPr>
        <w:spacing w:after="0" w:line="7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Lazard Group and Natixis have in place a cooperation arrangement to place and underwrite securities in the French capital markets under a common brand, currently “Lazard-Natixis,” and cooperate in their respective origination, syndication, placement and other activities, whose term continues through July 8, 2012. This arrangement primarily covers French listed companies included in the Société des Bourses Francaises (“SBF”) 120 Index and initial public offerings with an expected resulting market capitalization of at least €500 million.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Asset Management business provides investment management and advisory services to institutional clients, financial intermediaries, private clients and investment vehicles around the world. Our goal in our Asset Management business is to produce superior risk-adjusted investment returns and provide investment solutions customized for our clients. Many of our equity investment strategies share an investment philosophy that centers on fundamental security selection with a focus on the trade-off between a company’s valuation and its financial productivity.</w:t>
      </w:r>
    </w:p>
    <w:p>
      <w:pPr>
        <w:spacing w:after="0" w:line="99"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of December 31, 2010, total assets under management (“AUM”) were $155.3 billion, of which approximately 85% was invested in equities, 11% in fixed income, 3% in alternative investments, and 1% in private equity funds. As of the same date, approximately 30% of our AUM was invested in international (</w:t>
      </w:r>
      <w:r>
        <w:rPr>
          <w:rFonts w:ascii="Arial" w:cs="Arial" w:eastAsia="Arial" w:hAnsi="Arial"/>
          <w:sz w:val="16"/>
          <w:szCs w:val="16"/>
          <w:i w:val="1"/>
          <w:iCs w:val="1"/>
          <w:color w:val="auto"/>
        </w:rPr>
        <w:t>i.e.</w:t>
      </w:r>
      <w:r>
        <w:rPr>
          <w:rFonts w:ascii="Arial" w:cs="Arial" w:eastAsia="Arial" w:hAnsi="Arial"/>
          <w:sz w:val="16"/>
          <w:szCs w:val="16"/>
          <w:color w:val="auto"/>
        </w:rPr>
        <w:t>, non-U.S. and regional non-U.S.) investment strategies, 50% was invested in global investment strategies and 20% was invested in U.S. investment strategies, and our top ten clients accounted for 22% of our total AUM. Approximately 90% of our AUM as of that date was managed on behalf of institutional clients, including corporations, labor unions, public pension funds, insurance companies and banks, and through sub-advisory relationships, mutual fund sponsors, broker-dealers and registered advisors, and approximately 10% of our AUM as of December 31, 2010 was managed on behalf of individual client relationships, which are principally with family offices and high-net worth individuals.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charts below illustrate the mix of our AUM as of December 31, 2010, measured by broad product strategy and by office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4905375" cy="142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05375"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For the years ended December 31, 2010, 2009 and 2008, our Asset Management segment net revenue totaled $850 million, $602 million and $615 million, respectively, accounting for approximately 45%, 39% and 39%, respectively, of our consolidated net revenue for such years. For the years ended December 31, 2010, 2009 and 2008, Asset Management reported operating income (loss) of $265 million, $97 million and $(63) million, respectively. Operating income (loss) in 2010, 2009 and 2008 included charges of $3 million, $8 million and approximately $197 million, respectively, representing the portion of the special items (as described in Management’s Discussion and Analysis of Financial Condition and Results of Operations and Note 22 of Notes to Consolidated Financial Statements) that are applicable to the Asset Management segment. Excluding the impact of such special items, our Asset Management segment had operating income of $268 million, $105 million and $134 million in the years ended December 31, 2010, 2009 and 2008, respectively. At December 31, 2010, 2009 and 2008, our Asset Management segment had total assets of $687 million, $703 million and $420 million,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LAM and LFG</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largest Asset Management subsidiaries are Lazard Asset Management LLC and its subsidiaries (“LAM”), with offices in New York, San Francisco, Boston, Chicago, Toronto, Montreal, London, Milan, Frankfurt, Hamburg, Tokyo, Hong Kong, Sydney, Seoul and Bahrain (aggregating approximately $140.6 billion in total AUM as of December 31, 2010), and Lazard Frères Gestion SAS (“LFG”), with offices in Paris and Brussels (aggregating approximately $13.5 billion in total AUM as of December 31, 2010). These operations, with 630 employees as of December 31, 2010, provide our business with both a global presence and a local identity.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distinguishing features of these operations include:</w:t>
      </w:r>
    </w:p>
    <w:p>
      <w:pPr>
        <w:spacing w:after="0" w:line="7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global footprint with global research, global mandates and global clients,</w:t>
      </w:r>
    </w:p>
    <w:p>
      <w:pPr>
        <w:spacing w:after="0" w:line="103" w:lineRule="exact"/>
        <w:rPr>
          <w:rFonts w:ascii="Arial" w:cs="Arial" w:eastAsia="Arial" w:hAnsi="Arial"/>
          <w:sz w:val="18"/>
          <w:szCs w:val="18"/>
          <w:color w:val="auto"/>
        </w:rPr>
      </w:pPr>
    </w:p>
    <w:p>
      <w:pPr>
        <w:ind w:left="780" w:right="80" w:hanging="326"/>
        <w:spacing w:after="0" w:line="306"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broad-based team of approximately 250 investment professionals at December 31, 2010: LAM had approximately 215 investment professionals, including approximately 95 focused, in-house, investment analysts across all products and platforms, many of whom have substantial industry or sector specific expertise, and LFG had approximately 35 investment professionals, including research analysts,</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security selection-based investment philosophy applied across products,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brand recognition and multi-channel distribution capabilities.</w:t>
      </w:r>
    </w:p>
    <w:p>
      <w:pPr>
        <w:spacing w:after="0" w:line="1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Our Investment Philosophy, Process and Research</w:t>
      </w:r>
      <w:r>
        <w:rPr>
          <w:rFonts w:ascii="Arial" w:cs="Arial" w:eastAsia="Arial" w:hAnsi="Arial"/>
          <w:sz w:val="18"/>
          <w:szCs w:val="18"/>
          <w:color w:val="auto"/>
        </w:rPr>
        <w:t>. Our investment philosophy is generally based upon a fundamental security selection approach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Across many of our products, we apply three key principles to investment portfolios:</w:t>
      </w:r>
    </w:p>
    <w:p>
      <w:pPr>
        <w:spacing w:after="0" w:line="3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select securities, not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the trade-off between returns and valuations,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 risk.</w:t>
      </w:r>
    </w:p>
    <w:p>
      <w:pPr>
        <w:spacing w:after="0" w:line="1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searching for equity investment opportunities, many of our investment professionals follow an investment process that incorporates several interconnected components that may include:</w:t>
      </w:r>
    </w:p>
    <w:p>
      <w:pPr>
        <w:spacing w:after="0" w:line="3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analytical framework analysis and screening,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validation,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fundamental analysis,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selection and portfolio construction,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management.</w:t>
      </w:r>
    </w:p>
    <w:p>
      <w:pPr>
        <w:spacing w:after="0" w:line="185" w:lineRule="exact"/>
        <w:rPr>
          <w:sz w:val="20"/>
          <w:szCs w:val="20"/>
          <w:color w:val="auto"/>
        </w:rPr>
      </w:pPr>
    </w:p>
    <w:p>
      <w:pPr>
        <w:ind w:right="640" w:firstLine="456"/>
        <w:spacing w:after="0" w:line="325" w:lineRule="auto"/>
        <w:rPr>
          <w:sz w:val="20"/>
          <w:szCs w:val="20"/>
          <w:color w:val="auto"/>
        </w:rPr>
      </w:pPr>
      <w:r>
        <w:rPr>
          <w:rFonts w:ascii="Arial" w:cs="Arial" w:eastAsia="Arial" w:hAnsi="Arial"/>
          <w:sz w:val="16"/>
          <w:szCs w:val="16"/>
          <w:color w:val="auto"/>
        </w:rPr>
        <w:t>At LAM, we conduct investment research on a global basis to develop market, industry and company specific insights and evaluate investment opportunities. The LAM global equity analysts, located in our worldwide offices, are organized around six global industry sectors:</w:t>
      </w:r>
    </w:p>
    <w:p>
      <w:pPr>
        <w:spacing w:after="0" w:line="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goods,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 care,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technology, media and telecommunications.</w:t>
      </w:r>
    </w:p>
    <w:p>
      <w:pPr>
        <w:spacing w:after="0" w:line="18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24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Investment Strategies</w:t>
      </w:r>
      <w:r>
        <w:rPr>
          <w:rFonts w:ascii="Arial" w:cs="Arial" w:eastAsia="Arial" w:hAnsi="Arial"/>
          <w:sz w:val="16"/>
          <w:szCs w:val="16"/>
          <w:color w:val="auto"/>
        </w:rPr>
        <w:t>. Our Asset Management business provides equity, fixed income, cash management and alternative investment strategies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clients, paying close attention to our clients’ varying and expanding investment needs. We offer the following product platform of investment strategies:</w:t>
      </w:r>
    </w:p>
    <w:p>
      <w:pPr>
        <w:sectPr>
          <w:pgSz w:w="11900" w:h="16838" w:orient="portrait"/>
          <w:cols w:equalWidth="0" w:num="1">
            <w:col w:w="11400"/>
          </w:cols>
          <w:pgMar w:left="240" w:top="459" w:right="259" w:bottom="1440" w:gutter="0" w:footer="0" w:header="0"/>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Equities</w:t>
            </w:r>
          </w:p>
        </w:tc>
        <w:tc>
          <w:tcPr>
            <w:tcW w:w="160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Global</w:t>
            </w:r>
          </w:p>
        </w:tc>
        <w:tc>
          <w:tcPr>
            <w:tcW w:w="0" w:type="dxa"/>
            <w:vAlign w:val="bottom"/>
          </w:tcPr>
          <w:p>
            <w:pPr>
              <w:spacing w:after="0"/>
              <w:rPr>
                <w:sz w:val="1"/>
                <w:szCs w:val="1"/>
                <w:color w:val="auto"/>
              </w:rPr>
            </w:pPr>
          </w:p>
        </w:tc>
      </w:tr>
      <w:tr>
        <w:trPr>
          <w:trHeight w:val="201"/>
        </w:trPr>
        <w:tc>
          <w:tcPr>
            <w:tcW w:w="2040" w:type="dxa"/>
            <w:vAlign w:val="bottom"/>
            <w:vMerge w:val="continue"/>
          </w:tcPr>
          <w:p>
            <w:pPr>
              <w:spacing w:after="0"/>
              <w:rPr>
                <w:sz w:val="17"/>
                <w:szCs w:val="17"/>
                <w:color w:val="auto"/>
              </w:rPr>
            </w:pPr>
          </w:p>
        </w:tc>
        <w:tc>
          <w:tcPr>
            <w:tcW w:w="1600" w:type="dxa"/>
            <w:vAlign w:val="bottom"/>
          </w:tcPr>
          <w:p>
            <w:pPr>
              <w:ind w:left="260"/>
              <w:spacing w:after="0" w:line="201" w:lineRule="exact"/>
              <w:rPr>
                <w:sz w:val="20"/>
                <w:szCs w:val="20"/>
                <w:color w:val="auto"/>
              </w:rPr>
            </w:pPr>
            <w:r>
              <w:rPr>
                <w:rFonts w:ascii="Arial" w:cs="Arial" w:eastAsia="Arial" w:hAnsi="Arial"/>
                <w:sz w:val="18"/>
                <w:szCs w:val="18"/>
                <w:b w:val="1"/>
                <w:bCs w:val="1"/>
                <w:i w:val="1"/>
                <w:iCs w:val="1"/>
                <w:color w:val="auto"/>
              </w:rPr>
              <w:t>Global</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Thematic</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Convertibles*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Listed Infrastructure</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77"/>
        </w:trPr>
        <w:tc>
          <w:tcPr>
            <w:tcW w:w="2040" w:type="dxa"/>
            <w:vAlign w:val="bottom"/>
          </w:tcPr>
          <w:p>
            <w:pPr>
              <w:spacing w:after="0"/>
              <w:rPr>
                <w:sz w:val="24"/>
                <w:szCs w:val="24"/>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EAFE (Non-U.S.)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Large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Small Capitalization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Multi-Capitalization</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Quantitative</w:t>
            </w:r>
          </w:p>
        </w:tc>
        <w:tc>
          <w:tcPr>
            <w:tcW w:w="0" w:type="dxa"/>
            <w:vAlign w:val="bottom"/>
          </w:tcPr>
          <w:p>
            <w:pPr>
              <w:spacing w:after="0"/>
              <w:rPr>
                <w:sz w:val="1"/>
                <w:szCs w:val="1"/>
                <w:color w:val="auto"/>
              </w:rPr>
            </w:pPr>
          </w:p>
        </w:tc>
      </w:tr>
      <w:tr>
        <w:trPr>
          <w:trHeight w:val="277"/>
        </w:trPr>
        <w:tc>
          <w:tcPr>
            <w:tcW w:w="2040" w:type="dxa"/>
            <w:vAlign w:val="bottom"/>
          </w:tcPr>
          <w:p>
            <w:pPr>
              <w:spacing w:after="0"/>
              <w:rPr>
                <w:sz w:val="24"/>
                <w:szCs w:val="24"/>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Global Ex</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Global Ex-U.K.</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Global Ex-Japan</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Global Ex-Australia</w:t>
            </w:r>
          </w:p>
        </w:tc>
        <w:tc>
          <w:tcPr>
            <w:tcW w:w="0" w:type="dxa"/>
            <w:vAlign w:val="bottom"/>
          </w:tcPr>
          <w:p>
            <w:pPr>
              <w:spacing w:after="0"/>
              <w:rPr>
                <w:sz w:val="1"/>
                <w:szCs w:val="1"/>
                <w:color w:val="auto"/>
              </w:rPr>
            </w:pPr>
          </w:p>
        </w:tc>
      </w:tr>
      <w:tr>
        <w:trPr>
          <w:trHeight w:val="285"/>
        </w:trPr>
        <w:tc>
          <w:tcPr>
            <w:tcW w:w="2040" w:type="dxa"/>
            <w:vAlign w:val="bottom"/>
          </w:tcPr>
          <w:p>
            <w:pPr>
              <w:spacing w:after="0"/>
              <w:rPr>
                <w:sz w:val="20"/>
                <w:szCs w:val="20"/>
                <w:color w:val="auto"/>
              </w:rPr>
            </w:pPr>
            <w:r>
              <w:rPr>
                <w:rFonts w:ascii="Arial" w:cs="Arial" w:eastAsia="Arial" w:hAnsi="Arial"/>
                <w:sz w:val="18"/>
                <w:szCs w:val="18"/>
                <w:b w:val="1"/>
                <w:bCs w:val="1"/>
                <w:color w:val="auto"/>
              </w:rPr>
              <w:t>Fixed Income and Cash</w:t>
            </w: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Global</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Core Fixed Income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High Yield</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Short Duration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color w:val="auto"/>
              </w:rPr>
              <w:t>Emerging Markets</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2020" w:type="dxa"/>
            <w:vAlign w:val="bottom"/>
            <w:gridSpan w:val="2"/>
          </w:tcPr>
          <w:p>
            <w:pPr>
              <w:ind w:left="480"/>
              <w:spacing w:after="0"/>
              <w:rPr>
                <w:sz w:val="20"/>
                <w:szCs w:val="20"/>
                <w:color w:val="auto"/>
              </w:rPr>
            </w:pPr>
            <w:r>
              <w:rPr>
                <w:rFonts w:ascii="Arial" w:cs="Arial" w:eastAsia="Arial" w:hAnsi="Arial"/>
                <w:sz w:val="18"/>
                <w:szCs w:val="18"/>
                <w:color w:val="auto"/>
              </w:rPr>
              <w:t>Fixed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Alternative</w:t>
      </w:r>
      <w:r>
        <w:rPr>
          <w:sz w:val="20"/>
          <w:szCs w:val="20"/>
          <w:color w:val="auto"/>
        </w:rPr>
        <w:tab/>
      </w:r>
      <w:r>
        <w:rPr>
          <w:rFonts w:ascii="Arial" w:cs="Arial" w:eastAsia="Arial" w:hAnsi="Arial"/>
          <w:sz w:val="18"/>
          <w:szCs w:val="18"/>
          <w:b w:val="1"/>
          <w:bCs w:val="1"/>
          <w:i w:val="1"/>
          <w:iCs w:val="1"/>
          <w:color w:val="auto"/>
        </w:rPr>
        <w:t>Global</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Fund of Hedge Funds</w:t>
      </w:r>
    </w:p>
    <w:p>
      <w:pPr>
        <w:spacing w:after="0" w:line="9" w:lineRule="exact"/>
        <w:rPr>
          <w:sz w:val="20"/>
          <w:szCs w:val="20"/>
          <w:color w:val="auto"/>
        </w:rPr>
      </w:pPr>
    </w:p>
    <w:p>
      <w:pPr>
        <w:jc w:val="right"/>
        <w:ind w:right="940"/>
        <w:spacing w:after="0"/>
        <w:rPr>
          <w:sz w:val="20"/>
          <w:szCs w:val="20"/>
          <w:color w:val="auto"/>
        </w:rPr>
      </w:pPr>
      <w:r>
        <w:rPr>
          <w:rFonts w:ascii="Arial" w:cs="Arial" w:eastAsia="Arial" w:hAnsi="Arial"/>
          <w:sz w:val="18"/>
          <w:szCs w:val="18"/>
          <w:color w:val="auto"/>
        </w:rPr>
        <w:t>Fund of Closed-End Funds</w:t>
      </w:r>
    </w:p>
    <w:p>
      <w:pPr>
        <w:spacing w:after="0" w:line="9"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(Long and Long/Short)</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Convertible</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Arbitrage/Relative Value</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Emerging Income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060"/>
        <w:spacing w:after="0"/>
        <w:rPr>
          <w:sz w:val="20"/>
          <w:szCs w:val="20"/>
          <w:color w:val="auto"/>
        </w:rPr>
      </w:pPr>
      <w:r>
        <w:rPr>
          <w:rFonts w:ascii="Arial" w:cs="Arial" w:eastAsia="Arial" w:hAnsi="Arial"/>
          <w:sz w:val="14"/>
          <w:szCs w:val="14"/>
          <w:b w:val="1"/>
          <w:bCs w:val="1"/>
          <w:u w:val="single" w:color="auto"/>
          <w:color w:val="auto"/>
        </w:rPr>
        <w:t>Regional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Quantitative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 Capitalization**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Continental European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Small Cap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 Cap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Eurozone (</w:t>
      </w:r>
      <w:r>
        <w:rPr>
          <w:rFonts w:ascii="Arial" w:cs="Arial" w:eastAsia="Arial" w:hAnsi="Arial"/>
          <w:sz w:val="16"/>
          <w:szCs w:val="16"/>
          <w:i w:val="1"/>
          <w:iCs w:val="1"/>
          <w:color w:val="auto"/>
        </w:rPr>
        <w:t>i.e</w:t>
      </w:r>
      <w:r>
        <w:rPr>
          <w:rFonts w:ascii="Arial" w:cs="Arial" w:eastAsia="Arial" w:hAnsi="Arial"/>
          <w:sz w:val="16"/>
          <w:szCs w:val="16"/>
          <w:color w:val="auto"/>
        </w:rPr>
        <w:t>., Euro Bloc)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Euro-Trend (Thematic)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Pan-European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Duration Overlay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Eurozone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European Explorer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(Long/Short)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 (Long/Short)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4"/>
          <w:szCs w:val="14"/>
          <w:b w:val="1"/>
          <w:bCs w:val="1"/>
          <w:u w:val="single" w:color="auto"/>
          <w:color w:val="auto"/>
        </w:rPr>
        <w:t>Domestic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Small/Mid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Multi-Capitalization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(Large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(Small 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U.K. Quantitative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France (Large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 (Small 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Core Fixed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Yield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 Duration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Municipals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Management*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U.K. Fixed Income</w:t>
      </w:r>
    </w:p>
    <w:p>
      <w:pPr>
        <w:spacing w:after="0" w:line="1974" w:lineRule="exact"/>
        <w:rPr>
          <w:sz w:val="20"/>
          <w:szCs w:val="20"/>
          <w:color w:val="auto"/>
        </w:rPr>
      </w:pPr>
    </w:p>
    <w:p>
      <w:pPr>
        <w:sectPr>
          <w:pgSz w:w="11900" w:h="16838" w:orient="portrait"/>
          <w:cols w:equalWidth="0" w:num="3">
            <w:col w:w="5140" w:space="720"/>
            <w:col w:w="2120" w:space="720"/>
            <w:col w:w="2700"/>
          </w:cols>
          <w:pgMar w:left="240" w:top="459" w:right="259" w:bottom="1440" w:gutter="0" w:footer="0" w:header="0"/>
          <w:type w:val="continuous"/>
        </w:sectPr>
      </w:pPr>
    </w:p>
    <w:p>
      <w:pPr>
        <w:ind w:right="40"/>
        <w:spacing w:after="0" w:line="268" w:lineRule="auto"/>
        <w:rPr>
          <w:sz w:val="20"/>
          <w:szCs w:val="20"/>
          <w:color w:val="auto"/>
        </w:rPr>
      </w:pPr>
      <w:r>
        <w:rPr>
          <w:rFonts w:ascii="Arial" w:cs="Arial" w:eastAsia="Arial" w:hAnsi="Arial"/>
          <w:sz w:val="18"/>
          <w:szCs w:val="18"/>
          <w:color w:val="auto"/>
        </w:rPr>
        <w:t>All of the above strategies are offered by LAM, except for those denoted by *, which are offered exclusively by LFG. Investment strategies offered by both LAM and LFG are denoted by **.</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to the primary investment strategies listed above, we also provide locally customized investment solutions to our clients. In many cases, we also offer both diversified and more concentrated versions of our products. These products are generally offered on a separate account basis, as well as through pooled vehicles.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Distribution</w:t>
      </w:r>
      <w:r>
        <w:rPr>
          <w:rFonts w:ascii="Arial" w:cs="Arial" w:eastAsia="Arial" w:hAnsi="Arial"/>
          <w:sz w:val="16"/>
          <w:szCs w:val="16"/>
          <w:color w:val="auto"/>
        </w:rPr>
        <w:t>. We distribute our products through a broad array of marketing channels on a global basis. LAM’s marketing, sales and client service efforts</w:t>
      </w:r>
      <w:r>
        <w:rPr>
          <w:rFonts w:ascii="Arial" w:cs="Arial" w:eastAsia="Arial" w:hAnsi="Arial"/>
          <w:sz w:val="16"/>
          <w:szCs w:val="16"/>
          <w:i w:val="1"/>
          <w:iCs w:val="1"/>
          <w:color w:val="auto"/>
        </w:rPr>
        <w:t xml:space="preserve"> </w:t>
      </w:r>
      <w:r>
        <w:rPr>
          <w:rFonts w:ascii="Arial" w:cs="Arial" w:eastAsia="Arial" w:hAnsi="Arial"/>
          <w:sz w:val="16"/>
          <w:szCs w:val="16"/>
          <w:color w:val="auto"/>
        </w:rPr>
        <w:t>are organized through a global market delivery and service network, with distribution professionals located in cities including New York, San Francisco, London, Milan, Frankfurt, Hamburg, Tokyo, Sydney, Hong Kong, Bahrain and Seoul. We have developed a well-established presence in the institutional asset management arena, managing money for corporations, labor unions, sovereign wealth funds and public pension funds around the world. In addition, we manage assets for insurance companies, savings and trust banks, endowments, foundations and charities.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also have become a leading firm in third-party distribution, managing mutual funds and separately managed accounts for many of the world’s largest broker-dealers, insurance companies, registered advisors and other financial intermediaries. In the area of wealth management, we cater to family offices and private clients.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LFG markets and distributes its products through 22 sales professionals based in France, who directly target both individual and institutional investors.</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June 2009, the Company formed a new wealth management subsidiary, Lazard Wealth Management LLC (“Lazard Wealth Management”). Lazard Wealth Management provides customized investment management and financial planning services to high net worth investors in the U.S. Lazard Wealth Management works with investors to construct, implement and monitor an asset allocation strategy designed to meet the individual client’s investment objectives, integrating tax planning, estate planning, philanthropic interests and legacy planning with investment and risk management services. Lazard Wealth Management is registered as an investment adviser with the United States Securities and Exchange Commission (the “SEC”). As of December 31, 2010, Lazard Wealth Management had 20 employees.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7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strategic plan in our Asset Management business is to focus on delivering superior investment performance and client service and broadening our product offerings and distribution in selected areas in order to continue to drive improved business results. Over the past several years, in an effort to improve LAM’s operations and expand our business, we have:</w:t>
      </w:r>
    </w:p>
    <w:p>
      <w:pPr>
        <w:spacing w:after="0" w:line="4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focused on enhancing our investment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improved our investment management platform by adding a number of senior investment professionals (including portfolio managers and analysts),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to strengthen our marketing and consultant relations capabilities,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expanded our product platform, including the addition of a new emerging markets debt team,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to expand LAM’s geographic reach, including through opening offices in Hong Kong and Bahrain.</w:t>
      </w:r>
    </w:p>
    <w:p>
      <w:pPr>
        <w:spacing w:after="0" w:line="1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our Asset Management business has long maintained an outstanding team of portfolio managers and global research analysts. We intend to maintain and supplement our intellectual capital to achieve our goals. We routinely reassess our strategic position and may in the future seek acquisitions or other transactions, including the opportunistic hiring of new employees, in order to further enhance our competitive position. We also believe that our specific investment strategies, global reach, unique brand identity and access to multiple distribution channels may allow us to expand into new investment products, strategies and geographic locations. In addition, we plan to expand our participation in alternative investment activities through investments in new and successor funds, and are considering expanding the services we offer to high-net worth individuals, through organic growth, acquisitions or otherwise.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Investments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Lazard has a long history of making investments with its own capital, often alongside capital of qualified institutional and individual investors. These activities typically are organized in funds that make substantial or controlling investments in private or public companies, generally through privately negotiated transactions and with a view to divestment within two to seven years. While potentially risky and frequently illiquid, such investments, when successful, can yield investors substantial returns on capital and generate attractive management and performance fees for the sponsor of such funds.</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 part of the separation in 2005, we transferred to LFCM Holdings all of our alternative investment activities at that time, except for Fonds Partenaires Gestion SA (“FPG”), our private equity business in France,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which, until September 30, 2009, was a subsidiary of our Paris-based banking affiliate, Lazard Frères Banque SA (“LFB”). We also transferred to LFCM Holdings certain principal investments by Lazard Group in the funds managed by the separated businesses. Effective September 30, 2009, the Company sold FPG.</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LFCM Holdings operates the alternative investment business (including private equity activities) transferred to it in the separation. Consistent with our intent to support the development of the alternative investment business, including investing capital in funds managed or formed by Lazard Alternative Investments Holdings LLC (“LAI”), a subsidiary of LFCM Holdings, and in order to benefit from what we believe to be the potential of this business, we are entitled to receive from LFCM Holdings all or a portion of the payments from the incentive distributions attributable to these funds (net of compensation payable to investment professionals who manage these funds) pursuant to the business alliance agreement. In addition, pursuant to the business alliance agreement, we retained an option to acquire the North American and European fund management activities of LAI and have the right to participate in the oversight of LFCM Holdings’ funds and consent to certain actions. On December 15, 2009, Lazard Group exercised its option to acquire the European fund management activities of LAI. The remaining option to purchase the North American fund management activities is currently exercisable at any time prior to May 10, 2014 (see Note 20 of Notes to Consolidated Financial Statements). We will continue to abide by our obligations with respect to transferred funds. From time to time, we have considered exercising the option with respect to the remaining activities in North America.</w:t>
      </w:r>
    </w:p>
    <w:p>
      <w:pPr>
        <w:spacing w:after="0" w:line="10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Since 2005, consistent with our obligations to LFCM Holdings, we have engaged in a number of alternative investments and private equity activities. In February 2009 the business alliance agreement was amended to remove certain restrictions on the Company engaging in private equity businesses in North America and to reduce the price of our option to acquire the fund management activities of LAI in North America.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9 of Notes to Consolidated Financial Statements). As of December 31, 2010, Edgewater, with 18 employees, had approximately $1.0 billion of AUM and unfunded fee-earning commitments. Also, consistent with our obligations to LFCM Holdings, we may explore discrete capital markets opportunities. See Notes 14 and 20 of Notes to Consolidated Financial Statements for additional information regarding alternative investments, including certain matters with respect to Corporate Partners II Limited (“CP II MgmtCo.”).</w:t>
      </w:r>
    </w:p>
    <w:p>
      <w:pPr>
        <w:spacing w:after="0" w:line="11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CWC operates our private equity business in Australia, which, as of December 31, 2010, had 8 employees and approximately $200 million of private equity AUM.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our people are our most important asset, and it is their reputation, talent, integrity and dedication that underpin our success. As of December 31, 2010, we employed 2,332 people, which included 129 managing directors and 673 other professionals in our Financial Advisory segment and 64 managing directors and 315 other professionals in our Asset Management segment. We strive to maintain a work environment that fosters professionalism, excellence, diversity and cooperation among our employees worldwide. We generally utilize an evaluation process at the end of each year to measure performance, determine compensation and provide guidance on opportunities for improved performance. Generally, our employees are not subject to any collective bargaining agreements, except that our employees in certain of our European offices, including France and Italy, are covered by national, industry-wide collective bargaining agreements. We believe that we have good relations with our employees.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financial services industry, and all of the businesses in which we compete, are intensely competitive, and we expect them to remain so. Our competitors are other investment banking and financial advisory firms, broker-dealers, commercial and “universal” banks, insurance companies, investment management firms, hedge fund management firms, alternative investment firms and other financial institutions. We compete with some of our competitors globally and with others on a regional, product or niche basis. We compete on the basis of a number of factors, including quality of people, transaction execution skills, investment track record, quality of client service, individual and institutional client relationships, absence of conflicts, range of products and services, innovation, brand recognition and business reputation.</w:t>
      </w:r>
    </w:p>
    <w:p>
      <w:pPr>
        <w:spacing w:after="0" w:line="13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While our competitors vary by country in our Mergers and Acquisitions practice, we believe our primary competitors in securing M&amp;A advisory engagements are Bank of America, Barclays, Citigroup, Credit Suisse, Deutsche Bank AG, Goldman Sachs &amp; Co., JPMorgan Chase, Mediobanca, Morgan Stanley, Rothschild and UBS. In our Restructuring practice, our primary competitors are The Blackstone Group, Evercore Partners, Greenhill &amp; Co., Houlihan Lokey, Moelis &amp; Company and Rothschild.</w:t>
      </w:r>
    </w:p>
    <w:p>
      <w:pPr>
        <w:spacing w:after="0" w:line="1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believe that our primary global competitors in our Asset Management business include, in the case of LAM, Alliance Bernstein, Brandes Investment Partners, Capital Management &amp; Research, Fidelity, Invesco, Lord Abbett, Aberdeen and Schroders and, in the case of LFG, private banks with offices in France as well as large institutional banks and fund managers. We face competition in private equity both in the pursuit of outside investors for our private equity funds and the acquisition of investments in attractive portfolio companies. We compete with hundreds of other funds, many of which are subsidiaries of or otherwise affiliated with large financial service providers.</w:t>
      </w:r>
    </w:p>
    <w:p>
      <w:pPr>
        <w:spacing w:after="0" w:line="129"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Competition is also intense in each of our businesses for the attraction and retention of qualified employees, and we compete on the level and nature of compensation and equity-based incentives for key employees. Our ability to continue to compete effectively in our businesses will depend upon our ability to attract new employees and retain and motivate our existing employees.</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including, in certain cases, becoming commercial banks. Many of these firms have the ability to offer a wider range of products than we offer, including loans, deposit taking, insurance and brokerage services. Many of these firms also offer more extensive asset management and investment banking services, which may enhance their competitive position. They also have the ability to support investment banking and securities products with commercial banking, insurance and other financial services revenue in an effort to gain market share, which could result in pricing pressure in our businesses. This trend toward consolidation and convergence has significantly increased the capital base and geographic reach of our competitors, and, in certain instances, has afforded them access to government funds.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businesses, as well as the financial services industry generally, are subject to extensive regulation throughout the world. As a matter of public policy, regulatory bodies are charged with safeguarding the integrity of the securities and other financial markets and with protecting the interests of customers participating in those markets, not with protecting the interests of our stockholders or creditors. Many of our affiliates that participate in securities markets are subject to comprehensive regulations that include some form of capital structure regulations and customer protection rules. In the U.S., certain of our subsidiaries are subject to such regulations promulgated by the SEC or Financial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Industry Regulatory Authority (“FINRA”) (formerly the NASD) or the Municipal Securities Rulemakers Board (the “MSRB”). Standards, requirements and rules implemented throughout the European Union are broadly comparable in scope and purpose to the regulatory capital and customer protection requirements imposed under the SEC and FINRA rules. European Union directives also permit local regulation in each jurisdiction, including those in which we operate, to be more restrictive than the requirements of such European Union-wide directives. These sometimes burdensome local requirements can result in certain competitive disadvantages to us.</w:t>
      </w:r>
    </w:p>
    <w:p>
      <w:pPr>
        <w:spacing w:after="0" w:line="129"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the U.S., the SEC is the federal agency responsible for the administration of the federal securities laws. FINRA is a voluntary, self-regulatory body composed of members, such as our broker-dealer subsidiaries, that have agreed to abide by FINRA’s rules and regulations. The MSRB is also a voluntary, self-regulatory body, composed of members, including “municipal advisors”, that have agreed to abide by the MSRB’s rules and regulations. The SEC, FINRA, MSRB and non-U.S. regulatory organizations may examine the activities of, and may expel, fine and otherwise discipline us and our employees. The laws, rules and regulations comprising this framework of regulation and the interpretation and enforcement of existing laws, rules and regulations are constantly changing, particularly in light of the extraordinary disruption and volatility in the global financial markets experienced in recent years. The effect of any such changes cannot be predicted and may impact the manner of operation and profitability of our company.</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principal U.S. broker-dealer subsidiary, Lazard Frères &amp; Co. LLC (“LFNY”), through which we conduct most of our U.S. Financial Advisory business, is currently registered as a broker-dealer with the SEC and FINRA, and as a broker-dealer in all 50 U.S. states, the District of Columbia and Puerto Rico. As such, LFNY is subject to regulations governing effectively every aspect of the securities business, including minimum capital requirements, record-keeping and reporting procedures, relationships with customers, experience and training requirements for certain employees, and business procedures with firms that are not members of certain regulatory bodies. LFNY is also currently registered with the SEC and the MSRB as a “municipal advisor”, a new registration category that includes placement agents that solicit investments from public pension funds on behalf of investments funds. The MSRB has adopted, and is in the process of adopting, additional rules to govern municipal advisors, including “pay-to-play” rules and rules regarding professional standards, and LFNY is subject to those rules. Lazard Asset Management Securities LLC, a subsidiary of LAM, is registered as a broker-dealer with the SEC and FINRA and in all 50 U.S. states, the District of Columbia and Puerto Rico. Lazard Middle Market LLC, a subsidiary of GAHL, is registered as a broker-dealer with the SEC and FINRA, and as a broker-dealer in various U.S. states and territories.</w:t>
      </w:r>
    </w:p>
    <w:p>
      <w:pPr>
        <w:spacing w:after="0" w:line="10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Certain U.K. subsidiaries of Lazard Group, including Lazard &amp; Co., Limited, Lazard Fund Managers Limited and Lazard Asset Management Limited, which we refer to in this Annual Report on Form 10-K (this “Form 10-K”) as the “U.K. subsidiaries,” are regulated by the Financial Services Authority. We also have other subsidiaries that are registered as broker-dealers (or have similar non-US registration in various jurisdictions).</w:t>
      </w:r>
    </w:p>
    <w:p>
      <w:pPr>
        <w:spacing w:after="0" w:line="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Compagnie Financière Lazard Frères SAS (“CFLF”), our French subsidiary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Our business is also subject to regulation by non-U.S. governmental and regulatory bodies and self-regulatory authorities in other countries where we operate.</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U.S. broker-dealer subsidiaries, including LFNY, are subject to the SEC’s uniform net capital rule, Rule 15c3-1 under the Securities Exchange Act of 1934, as amended (the “Exchange Act”), and the net capital rules of FINRA, which may limit our ability to make withdrawals of capital from our broker-dealer subsidiaries. The uniform net capital rule sets the minimum level of net capital a broker-dealer must maintain and also requires that a portion of its assets be relatively liquid. FINRA may prohibit a member firm from expanding its business or paying cash dividends if it would result in net capital falling below FINRA’s requirements. In addition, our broker-dealer subsidiaries are subject to certain notification requirements related to withdrawals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excess net capital. Our broker-dealer subsidiaries are also subject to regulations, including the USA PATRIOT Act of 2001, which impose obligations regarding the prevention and detection of money-laundering activities, including the establishment of customer due diligence and other compliance policies and procedures. Failure to comply with these requirements may result in monetary, regulatory and, in certain cases, criminal penalties.</w:t>
      </w:r>
    </w:p>
    <w:p>
      <w:pPr>
        <w:spacing w:after="0" w:line="9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Certain of our Asset Management subsidiaries are registered as investment advisors with the SEC. As registered investment advisors, each is subject to the requirements of the Investment Advisers Act and the SEC’s regulations thereunder. Such requirements relate to, among other things, the relationship between an advisor and its advisory clients, as well as general anti-fraud prohibitions. LAM serves as an advisor to several mutual funds which are registered under the Investment Company Act. The Investment Company Act regulates, among other things, the relationship between a mutual fund and its investment advisor (and other service providers) and prohibits or severely restricts principal transactions between an advisor and its advisory clients, imposes record- keeping and reporting requirements, disclosure requirements, limitations on trades where a single broker acts as the agent for both the buyer and seller (known as “agency cross”), and limitations on affiliated transactions and joint transactions. Lazard Asset Management Securities LLC, a subsidiary of LAM, serves as the underwriter or distributor for mutual funds and hedge funds managed by LAM, and as an introducing broker to Lazard Capital Markets LLC for unmanaged accounts of LAM’s private clients.</w:t>
      </w:r>
    </w:p>
    <w:p>
      <w:pPr>
        <w:spacing w:after="0" w:line="10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Japanese Ministry of Finance and the Financial Supervisory Agency, the Korean Financial Supervisory Commission, as well as Australian and German banking authorities, among others, regulate various of our operating entities and also have capital standards and other requirements comparable to the rules of the SEC.</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Regulators are empowered to conduct administrative proceedings that can result in censure, fine, the issuance of cease-and-desist orders or the suspension or expulsion or other disciplining of a broker-dealer or its directors, officers or employees.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However, the Dodd-Frank Wall Street Reform and Consumer Protection Act (the “Dodd-Frank Act”), provides for the elimination of the SEC’s SIBHC program on July 21, 2011. Following this elimination, we will be required to be regulated on a comprehensive basis by another regulatory body, either in the U.S. or Europe, pursuant to relevant rules in Europe. The Dodd-Frank Act allows certain securities holding companies seeking consolidated supervision to elect to be regulated by the Board of Governors of the Federal Reserve. The Dodd-Frank Act could have other effects on us, which we are currently in the process of examining, including the impact of the elimination of the SIBHC program and the effects of various new regulations mandated by the Dodd-Frank Act.</w:t>
      </w:r>
    </w:p>
    <w:p>
      <w:pPr>
        <w:spacing w:after="0" w:line="10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Over the last several years, global financial markets experienced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Set forth below are the name, age, present title, principal occupation and certain biographical information for each of our executive officers as of February 22, 2011, all of whom have been appointed by, and serve at the pleasure of, our board of directors.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Kenneth M. Jacobs, 52</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Mr. Jacobs has served as Chairman and Chief Executive Officer of Lazard Ltd and Lazard Group LLC since November 2009. Mr. Jacobs served as a Managing Director of Lazard since 1991 and had been a deputy chairman of Lazard from January 2002 until November 2009. He had also served as Chief Executive Officer of Lazard North America beginning in 2002. Mr. Jacobs initially joined Lazard in 1988. Mr. Jacobs is a member of the Board of Trustees of the University of Chicago and the Brookings Institution.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Castellano, 64</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Mr. Castellano has served as Chief Financial Officer of Lazard Ltd since May 2005. Mr. Castellano has served as a Managing Director and Chief Financial Officer of Lazard Group since August 2001. Prior to joining Lazard, Mr. Castellano held various senior management positions at Merrill Lynch &amp; Co. from August 1991 to August 2001, including Senior Vice President—Chief Control Officer for Merrill Lynch’s capital markets businesses, Chairman of Merrill Lynch International Bank and Senior Vice President—Corporate Controller. Prior to joining Merrill Lynch &amp; Co., Mr. Castellano was a partner with Deloitte &amp; Touche where he served a number of investment banking clients over the course of his 24 years with the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Ashish Bhutani, 50</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Mr. Bhutani is a Vice Chairman and Managing Director of Lazard and has been the Chief Executive Officer of LAM since March 2004. Mr. Bhutani has served as a director of Lazard Ltd and Lazard Group since March 2010. Mr. Bhutani previously served as Head of New Products and Strategic Planning for LAM from June 2003 to March 2004. Prior to joining Lazard, he was Co-Chief Executive Officer, North America, of Dresdner Kleinwort Wasserstein from 2001 to the end of 2002, and was a member of its Global Corporate and Markets Board, and a member of the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D. Hoffman, 48</w:t>
      </w:r>
    </w:p>
    <w:p>
      <w:pPr>
        <w:spacing w:after="0" w:line="8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Mr. Hoffman has served as General Counsel of Lazard Ltd since May 2005. Mr. Hoffman has served as a Managing Director of Lazard Group since January 1999 and General Counsel of Lazard Group since January 2001. Mr. Hoffman previously served as Vice President and Assistant General Counsel from February 1994 to December 1997 and as a Director from January 1998 to December 1998. Prior to joining Lazard, Mr. Hoffman was an attorney at Cravath, Swaine &amp; Moore LLP. Mr. Hoffman is a member of the Board of Trustees of the New York University School of Law.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F. Stern, 44</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Mr. Stern has served as Chief Operating Officer of Lazard Ltd and Lazard Group LLC since November 2008. He has served as a Managing Director since January 2002 and as the Firm’s Global Head of Strategy since February 2006. Mr. Stern previously served as a Vice President in Lazard’s Financial Advisory business from January 1998 to December 2000 and as a Director from January 2001 to December 2001. Mr. Stern joined Lazard in 1994 and previously held various positions with Patricof &amp; Co. Ventures and IBM.</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Lazard Group files current, annual and quarterly reports and other information required by the Exchange Act, with the SEC. You may read and copy any document the company files at the SEC’s public reference room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 xml:space="preserve">located at 100 F Street, N.E., Washington, D.C. 20549, U.S.A. Please call the SEC at 1-800-SEC-0330 for further information on the public reference room. The Company’s SEC filings are also available to the public from the SEC’s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Copies of these reports and other information can also be inspected at the offices of the New York Stock Exchange, Inc., 20 Broad Street, New York, New York 10005, U.S.A.</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public internet site is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and the investor relations SEC filings section of our public internet site is located at </w:t>
      </w:r>
      <w:r>
        <w:rPr>
          <w:rFonts w:ascii="Arial" w:cs="Arial" w:eastAsia="Arial" w:hAnsi="Arial"/>
          <w:sz w:val="16"/>
          <w:szCs w:val="16"/>
          <w:i w:val="1"/>
          <w:iCs w:val="1"/>
          <w:color w:val="auto"/>
        </w:rPr>
        <w:t xml:space="preserve">http://www.lazard.com/InvestorRelations/SEC-Filings.aspx. </w:t>
      </w:r>
      <w:r>
        <w:rPr>
          <w:rFonts w:ascii="Arial" w:cs="Arial" w:eastAsia="Arial" w:hAnsi="Arial"/>
          <w:sz w:val="16"/>
          <w:szCs w:val="16"/>
          <w:color w:val="auto"/>
        </w:rPr>
        <w:t>We will make available free of charge, on or through the investor relations section of our internet site,</w:t>
      </w:r>
      <w:r>
        <w:rPr>
          <w:rFonts w:ascii="Arial" w:cs="Arial" w:eastAsia="Arial" w:hAnsi="Arial"/>
          <w:sz w:val="16"/>
          <w:szCs w:val="16"/>
          <w:i w:val="1"/>
          <w:iCs w:val="1"/>
          <w:color w:val="auto"/>
        </w:rPr>
        <w:t xml:space="preserve"> </w:t>
      </w:r>
      <w:r>
        <w:rPr>
          <w:rFonts w:ascii="Arial" w:cs="Arial" w:eastAsia="Arial" w:hAnsi="Arial"/>
          <w:sz w:val="16"/>
          <w:szCs w:val="16"/>
          <w:color w:val="auto"/>
        </w:rPr>
        <w:t>our annual reports on Form 10-K, quarterly reports on Form 10-Q, current reports on Form 8-K and any amendments to those reports filed or furnished pursuant to the Exchange Act as soon as reasonably practicable after we electronically file such material with, or furnish it to, the SEC. Also posted on our website, and available in print upon request of any shareholder to the Investor Relations Department, are charters for Lazard Ltd’s Audit Committee, Compensation Committee and Nominating &amp; Governance Committee. Copies of these charters and Lazard Ltd’s Corporate Governance Guidelines and Code of Business Conduct and Ethics governing our directors, officers and employees are also posted on our website in the “Corporate Governance” section.</w:t>
      </w:r>
    </w:p>
    <w:p>
      <w:pPr>
        <w:spacing w:after="0" w:line="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8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You should carefully consider the following risks and all of the other information set forth in this Form 10-K, including our consolidated financial statements and related notes. The following risks comprise material risks of which we are aware. If any of the events or developments described below actually occurred, our business, financial condition or results of operations would likely suffer.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Relating to the Financial Services Industry and Financial Markets</w:t>
      </w:r>
    </w:p>
    <w:p>
      <w:pPr>
        <w:spacing w:after="0" w:line="77" w:lineRule="exact"/>
        <w:rPr>
          <w:sz w:val="20"/>
          <w:szCs w:val="20"/>
          <w:color w:val="auto"/>
        </w:rPr>
      </w:pPr>
    </w:p>
    <w:p>
      <w:pPr>
        <w:ind w:right="240" w:firstLine="456"/>
        <w:spacing w:after="0" w:line="351" w:lineRule="auto"/>
        <w:rPr>
          <w:sz w:val="20"/>
          <w:szCs w:val="20"/>
          <w:color w:val="auto"/>
        </w:rPr>
      </w:pPr>
      <w:r>
        <w:rPr>
          <w:rFonts w:ascii="Arial" w:cs="Arial" w:eastAsia="Arial" w:hAnsi="Arial"/>
          <w:sz w:val="15"/>
          <w:szCs w:val="15"/>
          <w:b w:val="1"/>
          <w:bCs w:val="1"/>
          <w:color w:val="auto"/>
        </w:rPr>
        <w:t>In 2007 through 2009, the U.S. and global capital markets and the economy generally experienced significant deterioration and volatility, which has had negative repercussions on the global economy, and any return to such deterioration and volatility could present challenges for our business.</w:t>
      </w:r>
    </w:p>
    <w:p>
      <w:pPr>
        <w:spacing w:after="0" w:line="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Commencing in 2007 and continuing through 2009, certain adverse financial developments have impacted the U.S. and global capital markets. These developments included a general slowing of economic growth both in the U.S. and globally, substantial volatility in equity securities markets, and volatility and tightening of liquidity in credit markets. In addition, concerns over increasing unemployment levels, declining business and consumer confidence, volatile energy costs, geopolitical issues and a declining real estate market in the U.S. and elsewhere have contributed to increased volatility and diminished expectations for the economy and the markets going forward. Although the level of volatility in the equity securities markets and credit markets has declined, many of these concerns remain present. For example, investor concerns about the financial health of certain European countries caused market disruptions in 2010. If the 2007-2009 levels of market disruption and volatility return, or if current conditions materially worsen, our business may be adversely affected, which may have a material impact on our business and results of operations.</w:t>
      </w:r>
    </w:p>
    <w:p>
      <w:pPr>
        <w:spacing w:after="0" w:line="99"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The full extent of the effects of governmental economic and regulatory involvement in the wake of disruption and volatility in global financial markets is uncertain.</w:t>
      </w:r>
    </w:p>
    <w:p>
      <w:pPr>
        <w:spacing w:after="0" w:line="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a result of market volatility and disruption in recent years, the U.S. and other governments have taken unprecedented steps to try to stabilize the financial system, including investing in financial institutions and taking certain regulatory actions. The full extent of the effects of these actions and legislative and regulatory initiatives (including the Dodd-Frank Act) effected in connection with, and as a result of, such extraordinary disruption and volatility is uncertain, both as to the financial capital markets and participants in general, and as to us in particular.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level of soundness of our clients and other financial institutions could adversely affect us.</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exposure to many different industries, products and counterparties, and we routinely execute transactions with counterparties in the financial services industry, including brokers and dealers, commercial banks, investment banks, mutual and hedge funds, and other institutional clients. Many of these transactions expose us to credit risk in the event of default of our counterparty or client. In addition, our credit risk may be exacerbated when the collateral held by us cannot be fully realized or is liquidated at prices not sufficient to recover the full amount of the loan or derivative exposure due us.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Business Risks</w:t>
      </w:r>
    </w:p>
    <w:p>
      <w:pPr>
        <w:spacing w:after="0" w:line="77" w:lineRule="exact"/>
        <w:rPr>
          <w:sz w:val="20"/>
          <w:szCs w:val="20"/>
          <w:color w:val="auto"/>
        </w:rPr>
      </w:pPr>
    </w:p>
    <w:p>
      <w:pPr>
        <w:jc w:val="both"/>
        <w:ind w:right="20" w:firstLine="456"/>
        <w:spacing w:after="0" w:line="378" w:lineRule="auto"/>
        <w:rPr>
          <w:sz w:val="20"/>
          <w:szCs w:val="20"/>
          <w:color w:val="auto"/>
        </w:rPr>
      </w:pPr>
      <w:r>
        <w:rPr>
          <w:rFonts w:ascii="Arial" w:cs="Arial" w:eastAsia="Arial" w:hAnsi="Arial"/>
          <w:sz w:val="15"/>
          <w:szCs w:val="15"/>
          <w:b w:val="1"/>
          <w:bCs w:val="1"/>
          <w:color w:val="auto"/>
        </w:rPr>
        <w:t>Our ability to retain our managing directors and other key professional employees is critical to the success of our business, including maintaining compensation levels at an appropriate level of costs, and failure to do so may materially adversely affect our results of operations and financial position.</w:t>
      </w:r>
    </w:p>
    <w:p>
      <w:pPr>
        <w:spacing w:after="0" w:line="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people are our most important resource. We must retain the services of our managing directors and other key professional employees, and strategically recruit and hire new talented employees, to obtain and successfully execute the advisory and asset management engagements that generate substantially all our revenue.</w:t>
      </w:r>
    </w:p>
    <w:p>
      <w:pPr>
        <w:spacing w:after="0" w:line="12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Lazard Group has experienced several significant events in recent years. In general, our industry continues to experience change and exerts competitive pressures for retaining top talent, which makes it more difficult for us to retain professionals. If any of our managing directors and other key professional employees were to join an existing competitor, form a competing company or otherwise leave us, some of our clients could choose to use the services of that competitor or some other competitor instead of our services. The employment arrangements, non-competition agreements and retention agreements we have or will enter into with our managing directors and other key professional employees may not prevent our managing directors and other key professional employees from resigning from practice or competing against us. In addition, these arrangements and agreements have a limited duration and will expire after a certain period of time. We continue to be subject to intense competition in the financial services industry regarding the recruitment and retention of key professionals, and have experienced departures from and added to our professional ranks as a result. Changes to our employee compensation arrangements, such as changes to the composition between cash and deferred compensation, may result in increased compensation and benefits expense in a particular year. Our compensation levels, results of operations and financial position may be significantly affected by many factors, including general economic and market conditions, our operating and financial performance, staffing levels and competitive pay conditions.</w:t>
      </w:r>
    </w:p>
    <w:p>
      <w:pPr>
        <w:spacing w:after="0" w:line="108" w:lineRule="exact"/>
        <w:rPr>
          <w:sz w:val="20"/>
          <w:szCs w:val="20"/>
          <w:color w:val="auto"/>
        </w:rPr>
      </w:pPr>
    </w:p>
    <w:p>
      <w:pPr>
        <w:jc w:val="both"/>
        <w:ind w:right="240" w:firstLine="456"/>
        <w:spacing w:after="0" w:line="310" w:lineRule="auto"/>
        <w:rPr>
          <w:sz w:val="20"/>
          <w:szCs w:val="20"/>
          <w:color w:val="auto"/>
        </w:rPr>
      </w:pPr>
      <w:r>
        <w:rPr>
          <w:rFonts w:ascii="Arial" w:cs="Arial" w:eastAsia="Arial" w:hAnsi="Arial"/>
          <w:sz w:val="16"/>
          <w:szCs w:val="16"/>
          <w:b w:val="1"/>
          <w:bCs w:val="1"/>
          <w:color w:val="auto"/>
        </w:rPr>
        <w:t>Difficult market conditions can adversely affect our business in many ways, including by reducing the volume of the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As a financial services firm, our businesses are materially affected by conditions in the global financial markets and economic conditions throughout the world. The financial environment in the U.S. and globally has been volatile during recent years. Unfavorable economic and market conditions can adversely affect our financial performance in both the Financial Advisory and Asset Management businesses.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example, revenue generated by our Financial Advisory business is directly related to the volume and value of the transactions in which we are involved. During periods of unfavorable market or economic conditions, the volume and value of M&amp;A transactions may decrease, thereby reducing the demand for our Financial Advisory services and increasing price competition among financial services companies seeking such engagements. Our results of operations would be adversely affected by any such reduction in the volume or value of M&amp;A transactions. In addition, our profitability would be adversely affected due to our fixed costs and the possibility that we would be unable to scale back other costs within a timeframe sufficient to offset any decreases in revenue relating to changes in market and economic conditions. The future market and economic climate may deteriorate because of many factors, including possible increases in interest rates or inflation, terrorism or political uncertainty.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Within our Financial Advisory business, we have typically seen that, during periods of economic strength and growth, our Mergers and Acquisitions practice historically has been more active and our Restructuring practice has been less active. Conversely, during periods of economic weakness and slowdown, we typically have seen that our Restructuring practice has been more active and our Mergers and Acquisitions practice has been less active. As a result, our revenue from our Restructuring practice has tended to correlate negatively to our revenue from our Mergers and Acquisitions practice over the course of business cycles. These trends are cyclical in nature and subject to periodic reversal. However, these trends do not cancel out the impact of economic conditions in our Financial Advisory business, which may be adversely affected by a downturn in economic conditions leading to decreased Mergers and Acquisitions practice activity, notwithstanding improvements in our Restructuring practice. Moreover, revenue improvements in our Mergers and Acquisitions practice in strong economic conditions could be offset in whole or in part by any related revenue declines in our Restructuring practice. While we generally have experienced a counter-cyclical relationship between our Mergers and Acquisitions practice and our Restructuring practice, this relationship may not continue in the future.</w:t>
      </w:r>
    </w:p>
    <w:p>
      <w:pPr>
        <w:spacing w:after="0" w:line="9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Asset Management business also would be expected to generate lower revenue in a market or general economic downturn. Under our Asset Management business’ arrangements, investment advisory fees we receive typically are based on the market value of AUM. Accordingly, a decline in the prices of securities, such as that which occurred on a global basis in 2008, or in specific geographic markets or sectors that constitute a significant portion of our AUM (i.e., our emerging markets strategies), would be expected to cause our revenue and income to decline by:</w:t>
      </w:r>
    </w:p>
    <w:p>
      <w:pPr>
        <w:spacing w:after="0" w:line="18"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causing the value of our AUM to decrease, which would result in lower investment advisory fees,</w:t>
      </w:r>
    </w:p>
    <w:p>
      <w:pPr>
        <w:spacing w:after="0" w:line="103"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causing some of our clients to withdraw funds from our Asset Management business due to the uncertainty or volatility in the market, which would also result in lower investment advisory fees,</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causing some of our clients or prospective clients to hesitate in allocating assets to our Asset Management business due to the uncertainty or volatility in the market, which would also result in lower investment advisory fees,</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causing negative absolute performance returns for some accounts which have performance-based incentive fees, which would result in a reduction of revenue from such fees, or</w:t>
      </w:r>
    </w:p>
    <w:p>
      <w:pPr>
        <w:spacing w:after="0" w:line="37" w:lineRule="exact"/>
        <w:rPr>
          <w:rFonts w:ascii="Arial" w:cs="Arial" w:eastAsia="Arial" w:hAnsi="Arial"/>
          <w:sz w:val="18"/>
          <w:szCs w:val="18"/>
          <w:color w:val="auto"/>
        </w:rPr>
      </w:pPr>
    </w:p>
    <w:p>
      <w:pPr>
        <w:ind w:left="780" w:right="6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causing some of our clients to withdraw funds from our Asset Management business in favor of investments they perceive as offering greater opportunity or lower risk, which also would result in lower investment advisory fees.</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our Asset Management revenue declines without a commensurate reduction in our expenses, our net income would be reduced. In addition, in the event of a market downturn, our alternative investment and private equity practice also may be impacted by reduced exit opportunities in which to realize the value of its investments.</w:t>
      </w:r>
    </w:p>
    <w:p>
      <w:pPr>
        <w:spacing w:after="0" w:line="12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A majority of our revenue is derived from Financial Advisory fees, which are not long-term contracted sources of revenue and are subject to intense competition, and declines in our Financial Advisory engagements could have a material adverse effect on our financial condition and results of operations.</w:t>
      </w:r>
    </w:p>
    <w:p>
      <w:pPr>
        <w:spacing w:after="0" w:line="1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historically have earned a substantial portion of our revenue from advisory fees paid to us by our Financial Advisory clients, which fees usually are payable upon the successful completion of a particular transaction or restructuring. For example, for the year ended December 31, 2010, Financial Advisory services accounted for approximately 59% of our consolidated net revenue. We expect that we will continue to rely on Financial Advisory fees for a substantial portion of our revenue for the foreseeable future, and a decline in our advisory engagements or the market for advisory services would adversely affect our business, financial condition and results of operations.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we operate in a highly competitive environment where typically there are no long-term contracted sources of revenue. Each revenue-generating engagement typically is separately awarded and negotiated. Furthermore, many businesses do not routinely engage in transactions requiring our services and, as a consequence, our fee paying engagements with many clients are not likely to be predictable. We also lose clients each year as a result of the sale or merger of a client, a change in a client’s senior management, competition from other financial advisors and financial institutions, and other causes. As a result, our engagements with clients are constantly changing and our Financial Advisory fees could decline quickly due to the factors discussed above.</w:t>
      </w:r>
    </w:p>
    <w:p>
      <w:pPr>
        <w:spacing w:after="0" w:line="9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There will not be a consistent pattern in our financial results from period to period, which may make it difficult for us to achieve steady earnings growth on a quarterly basis.</w:t>
      </w:r>
    </w:p>
    <w:p>
      <w:pPr>
        <w:spacing w:after="0" w:line="112"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experience significant fluctuations in quarterly revenue and profits. These fluctuations generally can be attributed to the fact that we earn a significant portion of our Financial Advisory revenue upon the successful completion of a merger or acquisition transaction or a restructuring, the timing of which is uncertain and is not subject to our control. In addition, our Asset Management revenue is particularly sensitive to fluctuations in our AUM. Asset Management fees are often based on AUM as of the end of a quarter or month. As a result, a reduction in assets at the end of a quarter or month (as a result of market depreciation, withdrawals or otherwise) will result in a decrease in management fees. Similarly, timing of flows, contributions and withdrawals are often out of our control and may be inconsistent from quarter to quarter. As a result of quarterly fluctuations, it may be difficult for us to achieve steady earnings growth on a quarterly basis.</w:t>
      </w:r>
    </w:p>
    <w:p>
      <w:pPr>
        <w:spacing w:after="0" w:line="13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many cases, we are paid for advisory engagements only upon the successful consummation of the underlying merger or acquisition transaction or restructuring. As a result, our Financial Advisory business is highly dependent on market conditions and the decisions and actions of our clients, interested third parties and governmental authorities. For example, a client could delay or terminate an acquisition transaction because of a failure to agree upon final terms with the counterparty, failure to obtain necessary regulatory consents or board of directors or stockholder approval, failure to secure necessary financing, adverse market conditions or because the target’s business is experiencing unexpected operating or financial problems. Anticipated bidders for assets of a client during a restructuring transaction may not materialize or our client may not be able to restructure its operations or indebtedness, for example, due to a failure to reach agreement with its principal creditors. In addition, a bankruptcy court may deny our right to collect a “success” or “completion” fee. In these circumstances, other than in engagements where we receive monthly retainers, we often do not receive any advisory fees other than the reimbursement of certain expenses despite the fact that we devote resources to these transactions. Accordingly, the failure of one or more transactions to close either as anticipated or at all could materially adversely affect our business, financial condition or results of operations. For more information, see “Management’s Discussion and Analysis of Financial Condition and Results of Operations.”</w:t>
      </w:r>
    </w:p>
    <w:p>
      <w:pPr>
        <w:spacing w:after="0" w:line="108" w:lineRule="exact"/>
        <w:rPr>
          <w:sz w:val="20"/>
          <w:szCs w:val="20"/>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If the number of debt defaults, bankruptcies or other factors affecting demand for our Restructuring services declines, or we lose business to certain new entrants to the restructuring advisory practice who are no longer precluded from offering such services due to changes to the U.S. Bankruptcy Code, our Restructuring practice’s revenue could suffer.</w:t>
      </w:r>
    </w:p>
    <w:p>
      <w:pPr>
        <w:spacing w:after="0" w:line="12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provide various restructuring and restructuring-related advice to companies in financial distress or to their creditors or other stakeholders. Historically, the fees from restructuring related services have been a significant part of our Financial Advisory revenue. A number of factors could affect demand for these advisory services, including improving general economic conditions, the availability and cost of debt and equity financing and changes to laws, rules and regulations, including deregulation or privatization of particular industries and those that protect creditors.</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327 of the U.S. Bankruptcy Code requires that “disinterested persons” be employed in a restructuring. The definition of “disinterested persons” has been modified. As previously in effect, certain of our competitors were disqualified from being employed in restructurings as a result of their status as an underwriter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of securities. This basis for disqualification, however, no longer applies. Historically, we were not often disqualified from obtaining a role in a restructuring because we have not been a significant underwriter of securities. The change of the “disinterested persons” definition allows for more financial services firms to compete for restructuring engagements and make recruiting and retaining of professionals more difficult. If our competitors succeed in being retained in new restructuring engagements or in hiring our restructuring professionals, our Restructuring practice, and thereby our results of operations, could be materially adversely affected.</w:t>
      </w:r>
    </w:p>
    <w:p>
      <w:pPr>
        <w:spacing w:after="0" w:line="123"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We could lose clients and suffer a decline in our Asset Management revenue and earnings if the investments we choose in our Asset Management business perform poorly or if we lose key employees, regardless of overall trends in the prices of securities.</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performance affects our AUM relating to existing clients and is one of the most important factors in retaining clients and competing for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business. Poor investment performance could impair our revenue and growth because:</w:t>
      </w:r>
    </w:p>
    <w:p>
      <w:pPr>
        <w:spacing w:after="0" w:line="70" w:lineRule="exact"/>
        <w:rPr>
          <w:sz w:val="20"/>
          <w:szCs w:val="20"/>
          <w:color w:val="auto"/>
        </w:rPr>
      </w:pPr>
    </w:p>
    <w:p>
      <w:pPr>
        <w:ind w:left="780" w:right="50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existing clients might withdraw funds from our Asset Management business in favor of better performing products, which would result in lower investment advisory fees,</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incentive fees, which provide us with a set percentage of returns on some alternative investment and private equity funds and other accounts, would decline,</w:t>
      </w:r>
    </w:p>
    <w:p>
      <w:pPr>
        <w:spacing w:after="0" w:line="37"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financial intermediaries, advisors or consultants may rate our products poorly, which may result in client withdrawals and reduced asset flows from these third parties or their clients,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firms with which we have strategic alliances may terminate such relationships with us, and future strategic alliances may be unavailable.</w:t>
      </w:r>
    </w:p>
    <w:p>
      <w:pPr>
        <w:spacing w:after="0" w:line="20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key employees were to leave our Asset Management business, whether to join a competitor or otherwise, we may suffer a decline in revenue or earnings and suffer an adverse effect on our financial position. Loss of key employees may occur due to perceived opportunity for promotion, increased compensation, work environment or other individual reasons, some of which may be beyond our control.</w:t>
      </w:r>
    </w:p>
    <w:p>
      <w:pPr>
        <w:spacing w:after="0" w:line="12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Our investment style in our Asset Management business may underperform other investment approaches, which may result in significant client or asset departures, or a reduction in AUM.</w:t>
      </w:r>
    </w:p>
    <w:p>
      <w:pPr>
        <w:spacing w:after="0" w:line="112" w:lineRule="exact"/>
        <w:rPr>
          <w:sz w:val="20"/>
          <w:szCs w:val="20"/>
          <w:color w:val="auto"/>
        </w:rPr>
      </w:pPr>
    </w:p>
    <w:p>
      <w:pPr>
        <w:ind w:right="260" w:firstLine="456"/>
        <w:spacing w:after="0" w:line="318" w:lineRule="auto"/>
        <w:rPr>
          <w:sz w:val="20"/>
          <w:szCs w:val="20"/>
          <w:color w:val="auto"/>
        </w:rPr>
      </w:pPr>
      <w:r>
        <w:rPr>
          <w:rFonts w:ascii="Arial" w:cs="Arial" w:eastAsia="Arial" w:hAnsi="Arial"/>
          <w:sz w:val="15"/>
          <w:szCs w:val="15"/>
          <w:color w:val="auto"/>
        </w:rPr>
        <w:t>Even when securities prices are rising generally, performance can be affected by investment style. Many of the equity investment strategies in our Asset Management business share a common investment orientation towards fundamental security selection. We believe this style tends to outperform the market in some market environments and underperform it in others. In particular, a prolonged growth environment may cause certain investment strategies to go out of favor with some clients, advisers, consultants or third-party intermediaries. In combination with poor performance relative to peers, changes in personnel, extensive periods in particular market environments or other difficulties, this may result in significant client or asset departures or a reduction in AUM.</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Because our clients can remove the assets we manage on short notice, we may experience unexpected declines in revenue and profitability.</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investment advisory contracts are generally terminable upon very short notice.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Poor performance relative to other investment management firms tends to result in decreased investments in our investment products, increased redemptions of our investment products, and the loss of institutional or individual accounts or strategic alliances. In addition, the ability to terminate relationships may allow clients to renegotiate for lower fees paid for asset management services.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addition, in the U.S., as required by the Investment Company Act, each of our investment advisory contracts with the mutual funds we advise or subadvise automatically terminates upon its “assignment.” Each of our other investment advisory contracts subject to the provisions of the Investment Advisers Act provide, as required by the act, that the contract may not be “assigned” without the consent of the customer. A sale of a sufficiently large block of shares of our voting securities or other transactions could be deemed an “assignment” in certain circumstances. An assignment, actual or constructive, would trigger these termination provisions and could adversely affect our ability to continue managing client accounts.</w:t>
      </w:r>
    </w:p>
    <w:p>
      <w:pPr>
        <w:spacing w:after="0" w:line="96"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Access to clients through intermediaries is important to our Asset Management business, and reductions in referrals from such intermediaries or poor reviews of our products or our organization by such intermediaries could materially reduce our revenue and impair our ability to attract new clients.</w:t>
      </w:r>
    </w:p>
    <w:p>
      <w:pPr>
        <w:spacing w:after="0" w:line="125"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Our ability to market our Asset Management services relies in part on receiving mandates from the client base of national and regional securities firms, banks, insurance companies, defined contribution plan administrators, investment consultants and other intermediaries. To an increasing extent, our Asset Management business uses referrals from accountants, lawyers, financial planners and other professional advisors. The inability to have this access could materially adversely affect our Asset Management business. In addition, many of these intermediaries review and evaluate our products and our organization. Poor reviews or evaluations of either the particular product or of us may result in client withdrawals or an inability to attract new assets through such intermediaries.</w:t>
      </w:r>
    </w:p>
    <w:p>
      <w:pPr>
        <w:spacing w:after="0" w:line="125"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Our historical investment activities involve increased levels of investments in relatively high-risk, illiquid assets, and we may lose some or all of the principal amount that we invest in these activities or fail to realize any profits from these activities for a considerable period of time.</w:t>
      </w:r>
    </w:p>
    <w:p>
      <w:pPr>
        <w:spacing w:after="0" w:line="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expand our participation in alternative investment activities through investments in new and successor funds, and we may exercise our option under the business alliance agreement between Lazard Group and LFCM Holdings to acquire the alternative investment business and related principal investments from LFCM Holdings in North America (see Note 20 of Notes to Consolidated Financial Statements for a description of the CP II MgmtCo Spin-Off, the exercise of the option to acquire the European fund management activities of Lazard Alternative Investments Holdings LLC and related transactions). In addition, during July 2009, the Company established a private equity business with Edgewater.</w:t>
      </w:r>
    </w:p>
    <w:p>
      <w:pPr>
        <w:spacing w:after="0" w:line="10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revenue from this business is derived primarily from management fees calculated as a percentage of AUM and incentive fees, which are earned if investments are profitable over a specified threshold. Our ability to form new alternative investment funds is subject to a number of uncertainties, including past performance of our funds, market or economic conditions, competition from other fund managers and the ability to negotiate terms with major investors. In addition, the payments we are entitled to receive from LFCM Holdings under the terms of the business alliance agreement in respect of our continued involvement with LFCM Holdings are based on the carried interests received in connection with LFCM Holdings-managed funds.</w:t>
      </w:r>
    </w:p>
    <w:p>
      <w:pPr>
        <w:spacing w:after="0" w:line="10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addition, we have made, and in the future may make, principal investments in public or private companies or in alternative investments (including private equity funds and special purpose acquisition companies) established by us or by LFCM Holdings and continue to hold principal investments directly or through several funds managed by LFCM Holdings. Making principal investments is risky, and we may lose some or all of the principal amount of our investments. Certain of these types of investments may be in relatively high-risk, illiquid assets. Because it may take several years before attractive alternative investment opportunities are identified, some or all of the capital committed by us to these funds is likely to be invested in government securities, other short-term, highly rated debt securities and money market funds that traditionally have offered investors relatively lower returns. In addition, these investments may be adjusted for accounting purposes to fair value at the end of each quarter, and our allocable share of any such gains or losses will affect our revenue, even though such fair value fluctuations may have no cash impact, which could increase the volatility of our earnings. It takes a substantial period of time to identify attractive alternative investment opportunities, to raise all the funds needed to make an investment and then to realize the cash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value of an investment through resale. Even if an alternative investment proves to be profitable, it may be several years or longer before any profits can be realized in cash or other proceeds.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results of operations may be affected by market fluctuations related to positions held in our investment portfolios.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invest capital in various types of debt securities and in equities in order to seed LAM equity and alternative investment funds, and for general corporate purposes. Such investments are subject to market fluctuations due to changes in the market prices of securities, interest rates or other market factors, such as liquidity. These investments are adjusted for accounting purposes to fair value at the end of each quarter regardless of our intended holding period, with such gains or losses reflected in revenue, and therefore may increase the volatility of our earnings, even though such gains or losses may not be realized.</w:t>
      </w:r>
    </w:p>
    <w:p>
      <w:pPr>
        <w:spacing w:after="0" w:line="93" w:lineRule="exact"/>
        <w:rPr>
          <w:sz w:val="20"/>
          <w:szCs w:val="20"/>
          <w:color w:val="auto"/>
        </w:rPr>
      </w:pPr>
    </w:p>
    <w:p>
      <w:pPr>
        <w:ind w:right="300" w:firstLine="456"/>
        <w:spacing w:after="0" w:line="339" w:lineRule="auto"/>
        <w:rPr>
          <w:sz w:val="20"/>
          <w:szCs w:val="20"/>
          <w:color w:val="auto"/>
        </w:rPr>
      </w:pPr>
      <w:r>
        <w:rPr>
          <w:rFonts w:ascii="Arial" w:cs="Arial" w:eastAsia="Arial" w:hAnsi="Arial"/>
          <w:sz w:val="16"/>
          <w:szCs w:val="16"/>
          <w:b w:val="1"/>
          <w:bCs w:val="1"/>
          <w:color w:val="auto"/>
        </w:rPr>
        <w:t>We face strong competition from financial services firms, many of whom have the ability to offer clients a wider range of products and services than we can offer, which could lead to pricing pressures that could materially adversely affect our revenue and profitability.</w:t>
      </w:r>
    </w:p>
    <w:p>
      <w:pPr>
        <w:spacing w:after="0" w:line="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financial services industry is intensely competitive, and we expect it to remain so. We compete on the basis of a number of factors, including the quality of our employees, transaction execution, our products and services, innovation, reputation and price. We have experienced intense fee competition in some of our businesses in recent years, and we believe that we may experience pricing pressures in these and other areas in the future as some of our competitors seek to obtain increased market share by reducing fees.</w:t>
      </w:r>
    </w:p>
    <w:p>
      <w:pPr>
        <w:spacing w:after="0" w:line="13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face increased competition due to a trend toward consolidation. In recent years, there has been substantial consolidation and convergence among companies in the financial services industry. In particular, a number of large commercial banks, insurance companies and other broad-based financial services firms have established or acquired broker-dealers or have merged with other financial institutions. This trend was amplified in connection with the unprecedented disruption and volatility in the financial markets during the past several years and, as a result, a number of financial services companies have merged, been acquired or have fundamentally changed their respective business models. Many of these firms have the ability to offer a wide range of products, from loans, deposit-taking and insurance to brokerage, asset management and investment banking services, which may enhance their competitive position. They also have the ability to support investment banking, including financial advisory services, with commercial banking, insurance and other financial services in an effort to gain market share, which could result in pricing pressure in our businesses.</w:t>
      </w:r>
    </w:p>
    <w:p>
      <w:pPr>
        <w:spacing w:after="0" w:line="99"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An inability to access the debt and equity capital markets as a result of our debt obligations, credit ratings or other factors could impair our liquidity, increase our borrowing costs or otherwise adversely affect our competitive position or results of operations.</w:t>
      </w:r>
    </w:p>
    <w:p>
      <w:pPr>
        <w:spacing w:after="0" w:line="6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As of December 31, 2010, Lazard Group and its subsidiaries had approximately $1.25 billion in debt (including capital lease obligations) outstanding, of which $529 million and $548 million relate to Lazard Group senior notes that mature in 2015 and 2017, respectively. This debt has certain mandated payment obligations, which may constrain our ability to operate our business. In addition, in the future we may need to incur debt or issue equity in order to fund our working capital requirements or refinance existing indebtedness, as well as to make acquisitions and other investments. The amount of our debt obligations may impair our ability to raise debt or issue equity for financing purposes. Our access to funds also may be impaired if regulatory authorities take significant action against us, or if we discover that any of our employees had engaged in serious unauthorized or illegal activity. In addition, our borrowing costs and our access to the debt capital markets depend significantly on our credit ratings. These ratings are assigned by rating agencies, which may reduce or withdraw their ratings or place us on “credit watch” with negative implications at any time. See “Management’s Discussion and Analysis of Financial Condition and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We may pursue acquisitions, joint ventures or cooperation agreements that could present unforeseen integration obstacles or costs.</w:t>
      </w:r>
    </w:p>
    <w:p>
      <w:pPr>
        <w:spacing w:after="0" w:line="18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routinely assess our strategic position and may in the future seek acquisitions or other transactions to further enhance our competitive position. We have in the past pursued joint ventures and other transactions aimed at expanding the geography and scope of our operations. During 2007, we acquired all of the outstanding ownership interests of GAHL and CWC, we entered into a joint cooperation agreement with Raiffeisen and we entered into a shareholders agreement to acquire a 50% interest in MBA. During 2009, we established a private equity business with Edgewater. We expect to continue to explore acquisitions and partnership or strategic alliance opportunities that we believe to be attractive.</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Acquisitions and joint ventures involve a number of risks and present financial, managerial and operational challenges, including potential disruption of our ongoing business and distraction of management, difficulty with integrating personnel and financial and other systems, hiring additional management and other critical personnel and increasing the scope, geographic diversity and complexity of our operations. Our clients may react unfavorably to our acquisition and joint venture strategy, we may not realize any anticipated benefits from acquisitions, we may be exposed to additional liabilities of any acquired business or joint venture, and we may not be able to renew on similar terms (or at all) previously successful joint ventures or similar arrangements, any of which could materially adversely affect our revenue and results of operations.</w:t>
      </w:r>
    </w:p>
    <w:p>
      <w:pPr>
        <w:spacing w:after="0" w:line="101"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Employee misconduct could harm us by impairing our ability to attract and retain clients and subjecting us to significant legal liability and reputational harm, and this type of misconduct is difficult to detect and deter.</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in the financial services industry generally, and we run the risk that employee misconduct could occur in our business as well. For example, misconduct by employees could involve the improper use or disclosure of confidential information, which could result in regulatory sanctions and serious reputational or financial harm. Our Financial Advisory business often requires that we deal with client confidences of great significance to our clients, improper use of which may harm our clients or our relationships with our clients. Any breach of our clients’ confidences as a result of employee misconduct may impair our ability to attract and retain Financial Advisory clients and may subject us to liability. Similarly, in our Asset Management business, we have authority over client assets, and we may, from time to time, have custody of such assets. In addition, we often have discretion to trade client assets on the client’s behalf and must do so acting in the best interests of the client. As a result, we are subject to a number of obligations and standards, and the violation of those obligations or standards may adversely affect our clients and us. It is difficult to deter employee misconduct, and the precautions we take to detect and prevent this activity may not be effective in all cases.</w:t>
      </w:r>
    </w:p>
    <w:p>
      <w:pPr>
        <w:spacing w:after="0" w:line="100"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financial services industry faces substantial litigation and regulatory risks, and we may face damage to our professional reputation and legal liability if our services are not regarded as satisfactory or for other reasons.</w:t>
      </w:r>
    </w:p>
    <w:p>
      <w:pPr>
        <w:spacing w:after="0" w:line="11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financial services firm,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Moreover, our role as advisor to our clients on important M&amp;A or restructuring transactions involves complex analysis and the exercise of professional judgment, including, if appropriate, rendering “fairness opinions” in connection with mergers and other transactions.</w:t>
      </w:r>
    </w:p>
    <w:p>
      <w:pPr>
        <w:spacing w:after="0" w:line="99" w:lineRule="exact"/>
        <w:rPr>
          <w:sz w:val="20"/>
          <w:szCs w:val="20"/>
          <w:color w:val="auto"/>
        </w:rPr>
      </w:pPr>
    </w:p>
    <w:p>
      <w:pPr>
        <w:jc w:val="both"/>
        <w:ind w:right="740" w:firstLine="456"/>
        <w:spacing w:after="0" w:line="259" w:lineRule="auto"/>
        <w:rPr>
          <w:sz w:val="20"/>
          <w:szCs w:val="20"/>
          <w:color w:val="auto"/>
        </w:rPr>
      </w:pPr>
      <w:r>
        <w:rPr>
          <w:rFonts w:ascii="Arial" w:cs="Arial" w:eastAsia="Arial" w:hAnsi="Arial"/>
          <w:sz w:val="18"/>
          <w:szCs w:val="18"/>
          <w:color w:val="auto"/>
        </w:rPr>
        <w:t>In recent years, the volume of claims and amount of damages claimed in litigation and regulatory proceedings against financial advisors has been increasing. Our Financial Advisory activities may subject us to the risk of significant legal actions by our clients and third parties, including our clients’ stockholders, 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securities or other laws for allegations relating to materially false or misleading statements made in connection with securities and other transactions and potential liability for the fairness opinions and other advice provided to participants in corporate transactions. In our Asset Management business, we make investment decisions on behalf of our clients which could result in substantial losses. This also may subject us to the risk of legal actions alleging negligence, misconduct, breach of fiduciary duty or breach of contract. These risks often may be difficult to assess or quantify and their existence and magnitude often remain unknown for substantial periods of time. Our engagements typically include broad indemnities from our clients and provisions designed to limit our exposure to legal claims relating to our services, but these provisions may not protect us or may not be adhered to in all cases. We also are subject to claims arising from disputes with employees for alleged discrimination or harassment, among other things. These risks often may be difficult to assess or quantify, and their existence and magnitude often remain unknown for substantial periods of time. As a result, we may incur significant legal expenses in defending against litigation. Substantial legal liability or significant regulatory action against us could materially adversely affect our business, financial condition or results of operations or cause significant reputational harm to us, which could seriously harm our business.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operational risks may disrupt our businesses, result in regulatory action against us or limit our growth.</w:t>
      </w:r>
    </w:p>
    <w:p>
      <w:pPr>
        <w:spacing w:after="0" w:line="164"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Our business is dependent on communications and information systems, including those of our vendors. Any failure or interruption of these systems, whether caused by fire, other natural disaster, power or telecommunications failure, act of terrorism or war or otherwise, could materially adversely affect our operating results. Although back-up systems are in place, our back-up procedures and capabilities in the event of a failure or interruption may not be adequate.</w:t>
      </w:r>
    </w:p>
    <w:p>
      <w:pPr>
        <w:spacing w:after="0" w:line="7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Particularly in our Asset Management business, we rely heavily on our financial, accounting, trading, compliance and other data processing systems, and those of our third party vendors or service providers who support these functions. We expect that we will need to review whether to continue to upgrade and expand the capabilities of these systems in the future to avoid disruption of, or constraints on, our operations. However, if any of these systems do not operate properly or are disabled, we could suffer financial loss, a disruption of our businesses, liability to clients, regulatory intervention or reputational damage. The inability of our systems (or those of our vendors or service providers) to accommodate an increasing volume of transactions also could constrain our ability to expand our businesses.</w:t>
      </w:r>
    </w:p>
    <w:p>
      <w:pPr>
        <w:spacing w:after="0" w:line="125"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Extensive regulation of our businesses limits our activities and results in ongoing exposure to the potential for significant penalties, including fines or limitations on our ability to conduct our businesses.</w:t>
      </w:r>
    </w:p>
    <w:p>
      <w:pPr>
        <w:spacing w:after="0" w:line="11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financial services industry is subject to extensive regulation. We are subject to regulation by governmental and self-regulatory organizations in the jurisdictions in which we operate around the world. Many of these regulators, including U.S. and non-U.S. government agencies and self-regulatory organizations, as well as state securities commissions in the U.S., are empowered to conduct administrative proceedings that can result in censure, fine, the issuance of cease-and-desist orders or the suspension or expulsion of a broker-dealer from registration or membership. The requirements imposed by our regulators are designed to ensure the integrity of the financial markets and to protect customers and other third parties who deal with us and are not designed to protect our stockholders. Consequently, these regulations often serve to limit our activities, including through net capital, customer protection and market conduct requirements.</w:t>
      </w:r>
    </w:p>
    <w:p>
      <w:pPr>
        <w:spacing w:after="0" w:line="13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face the risk of significant intervention by regulatory authorities, including extended investigation and surveillance activity, adoption of costly or restrictive new regulations and judicial or administrative proceedings that may result in substantial penalties. Among other things, we could be fined or be prohibited from engaging in some of our business activities. In addition, the regulatory environment in which we operate is subject to modifications and further regulation. New laws or regulations or changes in the enforcement of existing laws or regulations applicable to us and our clients also may adversely affect our business, and our ability to function in this environment will depend on our ability to constantly monitor and react to these changes.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From 2007 through 2009, the U.S. and global financial markets experienced extraordinary disruption and volatility. As a result, the U.S. and other governments have taken actions, and may continue to take further actions, in response to this disruption and volatility, including expanding current or enacting new standards, requirements and rules that may be applicable to us and our subsidiaries. The effect of any such expanded or new standards, requirements and rules is uncertain and could have adverse consequences to our business and results of operations. For example, in July 2010, the Dodd-Frank Act was signed into law. While we currently are in the process of examining the potential impact of the Dodd-Frank Act and related regulations, we are not able to predict the ultimate effect on us.</w:t>
      </w:r>
    </w:p>
    <w:p>
      <w:pPr>
        <w:spacing w:after="0" w:line="131"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regulatory environment in which our clients operate may also impact our business. For example, changes in antitrust laws or the enforcement of antitrust laws could affect the level of M&amp;A activity and changes in state laws may limit investment activities of state pension plans.</w:t>
      </w:r>
    </w:p>
    <w:p>
      <w:pPr>
        <w:spacing w:after="0" w:line="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asset management businesses in general, there have been a number of highly publicized cases involving fraud or other misconduct by employees of asset management firms, as well as industry-wide regulatory inquiries. These cases and inquiries have resulted in increased scrutiny in the industry and may result in new rules and regulations for mutual funds, hedge funds and their investment managers. This regulatory scrutiny and these rulemaking initiatives may result in an increase in operational and compliance costs or the risk of assessment of significant fines or penalties against our Asset Management business, and may otherwise limit our ability to engage in certain activities.</w:t>
      </w:r>
    </w:p>
    <w:p>
      <w:pPr>
        <w:spacing w:after="0" w:line="12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Financial services firms are subject to numerous conflicts of interest or perceived conflicts. We have adopted various policies, controls and procedures to address or limit actual or perceived conflicts and regularly seek to review and update our policies, controls and procedures. However, these policies and procedures may result in increased costs, additional operational personnel and increased regulatory risk. Failure to adhere to these policies and procedures may result in regulatory sanctions or client litigation.</w:t>
      </w:r>
    </w:p>
    <w:p>
      <w:pPr>
        <w:spacing w:after="0" w:line="13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Specific regulatory changes also may have a direct impact on the revenue of our Asset Management business. In addition to regulatory scrutiny and potential fines and sanctions, regulators continue to examine different aspects of the asset management industry. For example, the use of “soft dollars,” where a portion of commissions paid to broker-dealers in connection with the execution of trades also pays for research and other services provided to advisors, is periodically reexamined and may in the future be limited or modified. Although a substantial portion of the research relied on by our Asset Management business in the investment decision-making process is generated internally by our investment analysts, external research, including external research paid for with soft dollars, is important to the process. This external research generally is used for information gathering or verification purposes, and includes broker-provided research, as well as third-party provided databases and research services. For the year ended December 31, 2010, our Asset Management business obtained research and other services through third-party soft dollar arrangements, the total cost of which we estimate to be approximately $18 million. If the use of soft dollars is limited, we may have to bear some of these costs. In addition, new regulations regarding the management of hedge funds and the use of certain investment products may impact our Asset Management business and result in increased costs. For example, many regulators around the world adopted restrictions or prohibitions on the short selling of certain securities and requirements to report short positions and other transactions. In addition, legislators around the world are exploring regulatory changes and additional oversight of the financial industry generally. The impact of these proposed changes on the Company are uncertain. These regulatory changes and other proposed or potential changes may result in a reduction of revenue associated with our Asset Management business.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“Business—Regulation” for a further discussion of the regulatory environment in which we conduct our businesses.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Fluctuations in foreign currency exchange rates could reduce our members’ equity and net income or negatively impact the portfolios of our Asset Management clients and may affect the levels of our AUM.</w:t>
      </w:r>
    </w:p>
    <w:p>
      <w:pPr>
        <w:spacing w:after="0" w:line="11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exposed to fluctuations in foreign currencies. Our financial statements are denominated in U.S. dollars and, for the year ended December 31, 2010, we received approximately 39% of our consolidated net revenue in other currencies, predominantly in euros and British pounds. In addition, we pay a significant amount of our expenses in such other currencies. The exchange rates of these currencies versus the U.S. dollar affects the carrying value of our assets and liabilities as well as our net income. We do not generally hedge such foreign currency exchange rate exposure arising in our subsidiaries outside of the U.S. Fluctuations in foreign currency exchange rates may also make period to period comparisons of our results of operations difficult.</w:t>
      </w:r>
    </w:p>
    <w:p>
      <w:pPr>
        <w:spacing w:after="0" w:line="10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Foreign currency fluctuations also can impact the portfolios of our Asset Management clients. Client portfolios are invested in securities across the globe, although most portfolios are in a single base currency. Foreign currency fluctuations can adversely impact investment performance for a client’s portfolio. In addition, foreign currency fluctuations may affect the levels of our AUM. As our AUM include significant assets that are denominated in currencies other than U.S. dollars, an increase in the value of the U.S. dollar relative to non-U.S. currencies may result in a decrease in the dollar value of our AUM, which, in turn, would result in lower U.S. dollar-denominated revenue in our Asset Management business. While this risk may be limited by foreign currency hedging, some risks cannot be hedged and our hedging activity may not be successful. Poor performance may result in decreased AUM, including as a result of withdrawal of client assets or a decrease in new assets being raised in the relevant product.</w:t>
      </w:r>
    </w:p>
    <w:p>
      <w:pPr>
        <w:spacing w:after="0" w:line="1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 15 of Notes to Consolidated Financial Statements for additional information regarding the impact on members’ equity from currency translation adjustments.</w:t>
      </w:r>
    </w:p>
    <w:p>
      <w:pPr>
        <w:spacing w:after="0" w:line="11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Lazard Group is a holding company and therefore depends on its subsidiaries to make distributions to Lazard Group to enable it to service its obligations under its indebtedness.</w:t>
      </w:r>
    </w:p>
    <w:p>
      <w:pPr>
        <w:spacing w:after="0" w:line="11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Lazard Group depends on its subsidiaries, which conduct the operations of the businesses, for dividends and other payments to generate the funds necessary to meet its financial obligations, including payments of principal and interest on its indebtedness. However, none of Lazard Group’s subsidiaries is obligated to make funds available to it for servicing such financial obligations. In addition, legal and contractual restrictions in agreements governing current and future indebtedness, as well as financial conditions, minimum regulatory net capital and similar requirements and operating requirements of Lazard Group’s subsidiaries, currently limit and may, in the future, limit Lazard Group’s ability to obtain cash from its subsidiaries. The earnings from, or other available assets of, Lazard Group’s subsidiaries may not be sufficient to pay dividends or make distributions or loans to enable Lazard Group to make payments with respect to its financial obligations when such payments are due. In addition, even if such earnings were sufficient, the agreements governing the current and future indebtedness of Lazard Group’s subsidiaries and regulatory requirements with respect to our broker-dealer and other regulated subsidiaries may not permit such subsidiaries to provide Lazard Group with sufficient dividends, distributions or loans to fund its financial obligations, when due.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authorities may challenge our tax computations, classifications and our transfer pricing methods, and their application.</w:t>
      </w:r>
    </w:p>
    <w:p>
      <w:pPr>
        <w:spacing w:after="0" w:line="16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the ordinary course of our business, we are subject to tax audits in various jurisdictions. Tax authorities may challenge our tax computations, classifications, our transfer pricing methods and their application, and other items. While we believe our tax computations, classifications and transfer pricing results are correct and properly reflected on our financial statements, the tax authorities may disagree.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February 14, 2011, the Executive Branch presented its 2012 budget proposals to Congress. The budget proposals included several potential revenue generating proposals to (i) limit the deduction of certain related party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interest and (ii) defer the deduction of interest attributable to foreign source income of foreign subsidiaries. Each of these proposals would be effective only for taxable years beginning after December 31, 2011. In addition, other members of Congress have proposed legislation that, if enacted, would reclassify certain types of publicly-traded entities as U.S. corporations for tax purposes if the management and control of such entities occurs primarily within the U.S.</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proposals. If enacted in their current form, however, some of these proposals may increase Lazard’s effective tax rate during future periods.</w:t>
      </w:r>
    </w:p>
    <w:p>
      <w:pPr>
        <w:spacing w:after="0" w:line="112"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have a material adverse effect on our business.</w:t>
      </w:r>
    </w:p>
    <w:p>
      <w:pPr>
        <w:spacing w:after="0" w:line="11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documented and tested our internal control procedures in order to satisfy the requirements of Section 404 of the Sarbanes-Oxley Act, which requires annual management assessments of the effectiveness of our internal controls over financial reporting and a report by our independent auditors regarding the Company’s internal control over financial reporting. We are in compliance with Section 404 of the Sarbanes-Oxley Act as of December 31, 2010. However,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Failure to maintain an effective internal control environment could have a material adverse effect on our business.</w:t>
      </w:r>
    </w:p>
    <w:p>
      <w:pPr>
        <w:spacing w:after="0" w:line="10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LAZ-MD Holdings, Lazard Group, LFCM Holdings and Lazard Ltd entered into various arrangements, including the master separation agreement, which contain cross-indemnification obligations of LAZ-MD Holdings, Lazard Group, LFCM Holdings and Lazard Ltd, that any party may be unable to satisfy.</w:t>
      </w:r>
    </w:p>
    <w:p>
      <w:pPr>
        <w:spacing w:after="0" w:line="12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master separation agreement that Lazard Ltd entered into with Lazard Group, LAZ-MD Holdings and LFCM Holdings provides, among other things, that LFCM Holdings generally will indemnify Lazard Ltd, Lazard Group and LAZ-MD Holdings for losses that we incur arising out of, or relating to, the separated businesses and the businesses conducted by LFCM Holdings and losses that Lazard Ltd, Lazard Group or LAZ-MD Holdings incur arising out of, or relating to, LFCM Holdings’ breach of the master separation agreement. In addition, LAZ-MD Holdings generally will indemnify Lazard Ltd, Lazard Group and LFCM Holdings for losses that they incur arising out of, or relating to, LAZ-MD Holdings’ breach of the master separation agreement. Our ability to collect under the indemnities from LAZ-MD Holdings or LFCM Holdings depends on their financial position. For example, persons may seek to hold us responsible for liabilities assumed by LAZ-MD Holdings or LFCM Holdings. If these liabilities are significant and we are held liable for them, we may not be able to recover any or all of the amount of those losses from LAZ-MD Holdings or LFCM Holdings should either be financially unable to perform under their indemnification obligations.</w:t>
      </w:r>
    </w:p>
    <w:p>
      <w:pPr>
        <w:spacing w:after="0" w:line="3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Lazard Group generally will indemnify LFCM Holdings and LAZ-MD Holdings for liabilities related to Lazard Group’s businesses and Lazard Group will indemnify LFCM Holdings and LAZ-MD Holdings for losses that they incur to the extent arising out of, or relating to, Lazard Group’s or Lazard Ltd’s breach of the master separation agreement. Several of the ancillary agreements that Lazard Group entered into together with the master separation agreement also provide for separate indemnification arrangements. For example, under the administrative services agreement, Lazard Group provides a range of services to LFCM Holdings, including information technology, general office and building services and financing and accounting services, and LFCM Holdings will generally indemnify Lazard Group for liabilities that Lazard Group incurs arising from the provision of these services absent Lazard Group’s intentional misconduct. Lazard Group may face claims for indemnification from LFCM Holdings and LAZ-MD Holdings under these provisions regarding matters for which Lazard Group has agreed to indemnify them. If these liabilities are significant, Lazard Group may be required to make substantial payments, which could materially adversely affect our results of operations. Also, in connection with the CP II MgmtCo Spin-Off (as defined in Note 20 of Notes to Consolidated Financial Statements), the subsidiary of LFCM</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Holdings that manages CP II MgmtCo has generally agreed to indemnify us against certain losses related to Corporate Partners Limited II that arise after the date of closing of the CP II MgmtCo Spin-Off. However, should persons seek to hold us responsible for liabilities assumed by CP II MgmtCo, we may not be able to recover any or all of the amount of our losses from CP II MgmtCo if CP II MgmtCo is financially unable to perform under its indemnification obligations.</w:t>
      </w:r>
    </w:p>
    <w:p>
      <w:pPr>
        <w:spacing w:after="0" w:line="87"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We may have potential business conflicts of interest with LAZ-MD Holdings and LFCM Holdings with respect to our past and ongoing relationships that could harm our business operations.</w:t>
      </w:r>
    </w:p>
    <w:p>
      <w:pPr>
        <w:spacing w:after="0" w:line="11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Pursuant to the LAZ-MD Holdings amended and restated stockholders’ agreement, LAZ-MD Holdings will vote the single share of Lazard Ltd Class B common stock, which, as of December 31, 2010, represented approximately 6.0% of Lazard Ltd’s voting power, as directed by its individual members who are party to that agreement. These same persons generally own and control LFCM Holdings, which holds the separated businesses. In addition, several employees of Lazard provide services to LFCM Holdings. Conflicts of interest may arise between LFCM Holdings and us in a number of areas relating to our past and ongoing relationships, including:</w:t>
      </w:r>
    </w:p>
    <w:p>
      <w:pPr>
        <w:spacing w:after="0" w:line="48"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tax, employee benefits, indemnification and other matters arising from the separation,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03" w:lineRule="exact"/>
        <w:rPr>
          <w:rFonts w:ascii="Arial" w:cs="Arial" w:eastAsia="Arial" w:hAnsi="Arial"/>
          <w:sz w:val="18"/>
          <w:szCs w:val="18"/>
          <w:color w:val="auto"/>
        </w:rPr>
      </w:pPr>
    </w:p>
    <w:p>
      <w:pPr>
        <w:jc w:val="both"/>
        <w:ind w:left="780" w:right="34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operations or business opportunities of LFCM Holdings or us that would compete with the other party’s business opportunities, including investment banking by us and the management of alternative investment funds by LFCM Holdings, particularly as some of the managing directors provide services to LFCM Holdings,</w:t>
      </w:r>
    </w:p>
    <w:p>
      <w:pPr>
        <w:spacing w:after="0" w:line="45"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the master separation agreement and related ancillary agreements, including the operation of the alternative investment fund management business and Lazard Group’s option to purchase the business,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quality and pricing of administrative services to be provided by us,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 of services by certain of our managing directors to LFCM Holdings.</w:t>
      </w:r>
    </w:p>
    <w:p>
      <w:pPr>
        <w:spacing w:after="0" w:line="1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the administrative services agreement commits us to provide a range of services to LFCM Holdings and LAZ-MD Holdings, which could require the expenditure of significant amounts of time by our management. Our agreements with LAZ-MD Holdings and LFCM Holdings may be amended upon agreement of the parties to those agreements. We may not be able to resolve any potential conflicts and, even if we do, the resolution may be less favorable to us than if we were dealing with an unaffiliated party.</w:t>
      </w:r>
    </w:p>
    <w:p>
      <w:pPr>
        <w:spacing w:after="0" w:line="124"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The use of the “Lazard” brand name by subsidiaries of LFCM Holdings may expose us to reputational harm that could affect our operations and adversely affect our financial position should these subsidiaries take actions that damage the brand name.</w:t>
      </w:r>
    </w:p>
    <w:p>
      <w:pPr>
        <w:spacing w:after="0" w:line="1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“Lazard” brand name has over 160 years of heritage, connoting, we believe, world-class professional advice, independence and global capabilities with deeply rooted, local know-how. LFCM Holdings operates as a separate legal entity, and Lazard Group licensed to subsidiaries of LFCM Holdings that operate the separated businesses the use of the “Lazard” brand name for certain specified purposes, including in connection with alternative investment fund management and capital markets activities. As these subsidiaries of LFCM Holdings historically have and will continue to use the “Lazard” brand name, and because we no longer control these entities, there is a risk of reputational harm to us if these subsidiaries have, or in the future were to, among other things, engage in poor business practices, experience adverse results or otherwise damage the reputational value of the “Lazard” brand name. These risks could expose us to liability and also may adversely affect our revenue and our business prospects.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We have made statements under the captions “Business,” “Risk Factors,” and “Management’s Discussion and Analysis of Financial Condition and Results of Operations” and in other sections of this Form 10-K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 particular, you should consider the numerous risks and uncertainties outlined in “Risk Factors,” including the following:</w:t>
      </w:r>
    </w:p>
    <w:p>
      <w:pPr>
        <w:spacing w:after="0" w:line="14"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lack of liquidity, i.e.,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this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10-K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10-K.</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table lists the properties used for the entire Lazard organization as of December 31, 2010, including properties used by the separated businesses. As a general matter, one or both of our Financial Advisory and Asset Management segments (as well as our Corporate segment) uses the following properties. We license and sublease to LFCM Holdings certain office space, including office space that is used by the separated businesses. This includes subleasing or licensing 31,854 square feet in New York City located at 30 Rockefeller Plaza to LFCM Holdings. Additionally, our New York, London and other offices sublease 37,202, 55,676 and 26,302 square feet, respectively, to third parties. We remain fully liable for the subleased space to the extent LFCM Holdings, or the third parties, fail to perform their obligations under the subleases for any reason.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5"/>
                <w:szCs w:val="15"/>
                <w:color w:val="auto"/>
              </w:rPr>
            </w:pPr>
          </w:p>
        </w:tc>
        <w:tc>
          <w:tcPr>
            <w:tcW w:w="218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Square Footage</w:t>
            </w:r>
          </w:p>
        </w:tc>
        <w:tc>
          <w:tcPr>
            <w:tcW w:w="220" w:type="dxa"/>
            <w:vAlign w:val="bottom"/>
          </w:tcPr>
          <w:p>
            <w:pPr>
              <w:spacing w:after="0"/>
              <w:rPr>
                <w:sz w:val="15"/>
                <w:szCs w:val="15"/>
                <w:color w:val="auto"/>
              </w:rPr>
            </w:pPr>
          </w:p>
        </w:tc>
        <w:tc>
          <w:tcPr>
            <w:tcW w:w="592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auto"/>
              </w:rPr>
              <w:t>Offices</w:t>
            </w:r>
          </w:p>
        </w:tc>
        <w:tc>
          <w:tcPr>
            <w:tcW w:w="0" w:type="dxa"/>
            <w:vAlign w:val="bottom"/>
          </w:tcPr>
          <w:p>
            <w:pPr>
              <w:spacing w:after="0"/>
              <w:rPr>
                <w:sz w:val="1"/>
                <w:szCs w:val="1"/>
                <w:color w:val="auto"/>
              </w:rPr>
            </w:pPr>
          </w:p>
        </w:tc>
      </w:tr>
      <w:tr>
        <w:trPr>
          <w:trHeight w:val="201"/>
        </w:trPr>
        <w:tc>
          <w:tcPr>
            <w:tcW w:w="2880" w:type="dxa"/>
            <w:vAlign w:val="bottom"/>
          </w:tcPr>
          <w:p>
            <w:pPr>
              <w:spacing w:after="0" w:line="201" w:lineRule="exact"/>
              <w:rPr>
                <w:sz w:val="20"/>
                <w:szCs w:val="20"/>
                <w:color w:val="auto"/>
              </w:rPr>
            </w:pPr>
            <w:r>
              <w:rPr>
                <w:rFonts w:ascii="Arial" w:cs="Arial" w:eastAsia="Arial" w:hAnsi="Arial"/>
                <w:sz w:val="18"/>
                <w:szCs w:val="18"/>
                <w:color w:val="auto"/>
              </w:rPr>
              <w:t>New York City</w:t>
            </w:r>
          </w:p>
        </w:tc>
        <w:tc>
          <w:tcPr>
            <w:tcW w:w="2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380,354 square feet of</w:t>
            </w:r>
          </w:p>
        </w:tc>
        <w:tc>
          <w:tcPr>
            <w:tcW w:w="220" w:type="dxa"/>
            <w:vAlign w:val="bottom"/>
          </w:tcPr>
          <w:p>
            <w:pPr>
              <w:spacing w:after="0"/>
              <w:rPr>
                <w:sz w:val="17"/>
                <w:szCs w:val="17"/>
                <w:color w:val="auto"/>
              </w:rPr>
            </w:pPr>
          </w:p>
        </w:tc>
        <w:tc>
          <w:tcPr>
            <w:tcW w:w="5920" w:type="dxa"/>
            <w:vAlign w:val="bottom"/>
          </w:tcPr>
          <w:p>
            <w:pPr>
              <w:spacing w:after="0" w:line="201" w:lineRule="exact"/>
              <w:rPr>
                <w:sz w:val="20"/>
                <w:szCs w:val="20"/>
                <w:color w:val="auto"/>
              </w:rPr>
            </w:pPr>
            <w:r>
              <w:rPr>
                <w:rFonts w:ascii="Arial" w:cs="Arial" w:eastAsia="Arial" w:hAnsi="Arial"/>
                <w:sz w:val="18"/>
                <w:szCs w:val="18"/>
                <w:color w:val="auto"/>
              </w:rPr>
              <w:t>Principal office located at 30 Rockefeller Plaza.</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leased space</w:t>
            </w: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Other North America</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151,951 square feet of leased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89"/>
              </w:rPr>
              <w:t>Atlanta, Boston, Charlotte, Chicago, Houston, Los Angeles, Minneapolis, Montreal,</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San Francisco and Washington D.C.</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Paris</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170,644 square feet of owned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121 Boulevard Haussmann.</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and leased space</w:t>
            </w: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London</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4"/>
              </w:rPr>
              <w:t>86,695 square feet of leased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Principal office located at 50 Stratton Street.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Other Europe</w:t>
            </w:r>
          </w:p>
        </w:tc>
        <w:tc>
          <w:tcPr>
            <w:tcW w:w="2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0"/>
              </w:rPr>
              <w:t>119,788 square feet of leased</w:t>
            </w:r>
          </w:p>
        </w:tc>
        <w:tc>
          <w:tcPr>
            <w:tcW w:w="2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8"/>
              </w:rPr>
              <w:t>Amsterdam, Bordeaux, Brussels, Frankfurt, Hamburg, Lyon, Madrid, Milan,</w:t>
            </w:r>
          </w:p>
        </w:tc>
        <w:tc>
          <w:tcPr>
            <w:tcW w:w="0" w:type="dxa"/>
            <w:vAlign w:val="bottom"/>
          </w:tcPr>
          <w:p>
            <w:pPr>
              <w:spacing w:after="0"/>
              <w:rPr>
                <w:sz w:val="1"/>
                <w:szCs w:val="1"/>
                <w:color w:val="auto"/>
              </w:rPr>
            </w:pPr>
          </w:p>
        </w:tc>
      </w:tr>
      <w:tr>
        <w:trPr>
          <w:trHeight w:val="222"/>
        </w:trPr>
        <w:tc>
          <w:tcPr>
            <w:tcW w:w="2880" w:type="dxa"/>
            <w:vAlign w:val="bottom"/>
            <w:vMerge w:val="restart"/>
          </w:tcPr>
          <w:p>
            <w:pPr>
              <w:spacing w:after="0"/>
              <w:rPr>
                <w:sz w:val="20"/>
                <w:szCs w:val="20"/>
                <w:color w:val="auto"/>
              </w:rPr>
            </w:pPr>
            <w:r>
              <w:rPr>
                <w:rFonts w:ascii="Arial" w:cs="Arial" w:eastAsia="Arial" w:hAnsi="Arial"/>
                <w:sz w:val="18"/>
                <w:szCs w:val="18"/>
                <w:color w:val="auto"/>
              </w:rPr>
              <w:t>Asia, Australia and</w:t>
            </w:r>
          </w:p>
        </w:tc>
        <w:tc>
          <w:tcPr>
            <w:tcW w:w="2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9"/>
                <w:szCs w:val="19"/>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Stockholm and Zurich.</w:t>
            </w:r>
          </w:p>
        </w:tc>
        <w:tc>
          <w:tcPr>
            <w:tcW w:w="0" w:type="dxa"/>
            <w:vAlign w:val="bottom"/>
          </w:tcPr>
          <w:p>
            <w:pPr>
              <w:spacing w:after="0"/>
              <w:rPr>
                <w:sz w:val="1"/>
                <w:szCs w:val="1"/>
                <w:color w:val="auto"/>
              </w:rPr>
            </w:pPr>
          </w:p>
        </w:tc>
      </w:tr>
      <w:tr>
        <w:trPr>
          <w:trHeight w:val="210"/>
        </w:trPr>
        <w:tc>
          <w:tcPr>
            <w:tcW w:w="2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2180" w:type="dxa"/>
            <w:vAlign w:val="bottom"/>
            <w:vMerge w:val="restart"/>
          </w:tcPr>
          <w:p>
            <w:pPr>
              <w:spacing w:after="0"/>
              <w:rPr>
                <w:sz w:val="20"/>
                <w:szCs w:val="20"/>
                <w:color w:val="auto"/>
              </w:rPr>
            </w:pPr>
            <w:r>
              <w:rPr>
                <w:rFonts w:ascii="Arial" w:cs="Arial" w:eastAsia="Arial" w:hAnsi="Arial"/>
                <w:sz w:val="18"/>
                <w:szCs w:val="18"/>
                <w:color w:val="auto"/>
                <w:w w:val="94"/>
              </w:rPr>
              <w:t>74,721 square feet of leased</w:t>
            </w:r>
          </w:p>
        </w:tc>
        <w:tc>
          <w:tcPr>
            <w:tcW w:w="220" w:type="dxa"/>
            <w:vAlign w:val="bottom"/>
          </w:tcPr>
          <w:p>
            <w:pPr>
              <w:spacing w:after="0"/>
              <w:rPr>
                <w:sz w:val="19"/>
                <w:szCs w:val="19"/>
                <w:color w:val="auto"/>
              </w:rPr>
            </w:pPr>
          </w:p>
        </w:tc>
        <w:tc>
          <w:tcPr>
            <w:tcW w:w="5920" w:type="dxa"/>
            <w:vAlign w:val="bottom"/>
            <w:vMerge w:val="restart"/>
          </w:tcPr>
          <w:p>
            <w:pPr>
              <w:spacing w:after="0"/>
              <w:rPr>
                <w:sz w:val="20"/>
                <w:szCs w:val="20"/>
                <w:color w:val="auto"/>
              </w:rPr>
            </w:pPr>
            <w:r>
              <w:rPr>
                <w:rFonts w:ascii="Arial" w:cs="Arial" w:eastAsia="Arial" w:hAnsi="Arial"/>
                <w:sz w:val="18"/>
                <w:szCs w:val="18"/>
                <w:color w:val="auto"/>
                <w:w w:val="94"/>
              </w:rPr>
              <w:t>Beijing, Dubai City, Hong Kong, Melbourne, Mumbai, Perth, Seoul, Singapore,</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Pr>
          <w:p>
            <w:pPr>
              <w:spacing w:after="0"/>
              <w:rPr>
                <w:sz w:val="19"/>
                <w:szCs w:val="19"/>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Sydney and Tokyo.</w:t>
            </w:r>
          </w:p>
        </w:tc>
        <w:tc>
          <w:tcPr>
            <w:tcW w:w="0" w:type="dxa"/>
            <w:vAlign w:val="bottom"/>
          </w:tcPr>
          <w:p>
            <w:pPr>
              <w:spacing w:after="0"/>
              <w:rPr>
                <w:sz w:val="1"/>
                <w:szCs w:val="1"/>
                <w:color w:val="auto"/>
              </w:rPr>
            </w:pPr>
          </w:p>
        </w:tc>
      </w:tr>
      <w:tr>
        <w:trPr>
          <w:trHeight w:val="365"/>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140" w:type="dxa"/>
            <w:vAlign w:val="bottom"/>
            <w:gridSpan w:val="2"/>
          </w:tcPr>
          <w:p>
            <w:pPr>
              <w:jc w:val="right"/>
              <w:ind w:right="553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believe that we currently maintain sufficient space to meet our anticipated needs. We have agreed to enter into an amendment (the “Lease Amendment”) of the leases relating to our offices in Rockefeller Center, New York, New York (the “Leased Premises”). The effectiveness of the Lease Amendment is conditioned upon receipt of customary documentation evidencing, among other things, the consent of the lender holding a mortgage covering the Leased Premises. The Lease Amendment provides that the term of the lease will be extended until 2033.</w:t>
      </w:r>
    </w:p>
    <w:p>
      <w:pPr>
        <w:spacing w:after="0" w:line="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8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December 31, 2010, approximately 94.0% and 6.0% of our common membership interests are held by wholly-owned subsidiaries of Lazard Ltd and by LAZ-MD Holdings, respectively. Our co-managing member interests are held by two indirect wholly-owned subsidiaries of Lazard Ltd and our profit participation interests are held by various managing directors. There are no public trading markets for any of these interests.</w:t>
      </w:r>
    </w:p>
    <w:p>
      <w:pPr>
        <w:spacing w:after="0" w:line="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Subsequent to the equity public offering, pursuant to provisions of its amended and restated Operating Agreement, Lazard Group distributions in respect of common membership interests are allocated to the holders of such interests on a pro rata basis. Such distributions represent amounts necessary to fund (i) dividends Lazard Ltd declares on its Class A common stock and (ii) tax distributions in respect of income taxes that Lazard Ltd’s subsidiaries and members of LAZ-MD Holdings incur as a result of holding Lazard Group common membership interests. During the years ended December 31, 2010, 2009 and 2008, Lazard Group distributed approximately $9.8 million, $17.4 million and $20.7 million, respectively, to LAZ-MD Holdings and approximately $50.6 million, $33.5 million and $23.1 million, respectively, to the subsidiaries of Lazard Ltd, which latter amounts were used by Lazard Ltd to pay dividends to third-party stockholders of its Class A common stock. In addition, during the years ended December 31, 2010, 2009 and 2008, Lazard Group made tax distributions of approximately $61.6 million, $67.3 million and $83.4 million, respectively, including $9.5 million, $25.3 million and $39.2 million, respectively, paid to LAZ-MD Holdings and approximately $52.1 million, $42.0 million and $44.2 million, respectively, paid to subsidiaries of Lazard Ltd.</w:t>
      </w:r>
    </w:p>
    <w:p>
      <w:pPr>
        <w:spacing w:after="0" w:line="10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selected consolidated financial data for the Company for all years presented.</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consolidated statements of financial condition and operations data as of and for each of the years in the five-year period ended December 31, 2010 have been derived from Lazard Group’s consolidated financial statements. The audited consolidated statements of financial condition as of December 31, 2010 and 2009 and consolidated statements of operations for each of the years in the three year period ended December 31, 2010 are included elsewhere in this Form 10-K. The audited consolidated statements of financial condition as of December 31, 2008, 2007 and 2006, and the audited consolidated statements of operations for the years ended December 31, 2007 and 2006, are not included in this Form 10-K. Historical results are not necessarily indicative of results for any future period.</w:t>
      </w:r>
    </w:p>
    <w:p>
      <w:pPr>
        <w:spacing w:after="0" w:line="13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selected consolidated financial data should be read in conjunction with “Management’s Discussion and Analysis of Financial Condition and Results of Operations,” and the Company’s consolidated financial statements and related notes included elsewhere in this Form 10-K.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4"/>
                <w:szCs w:val="14"/>
                <w:b w:val="1"/>
                <w:bCs w:val="1"/>
                <w:color w:val="auto"/>
                <w:w w:val="89"/>
              </w:rPr>
              <w:t>As Of Or For The Year Ended December 31,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Net Revenue: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Financial Advisory (a)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1,119,867</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986,820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1,022,913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1,240,177</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973,337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Asset Management (b)</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849,662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601,652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614,781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724,751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553,212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Corporate (c)</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(65,024)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(58,509)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(82,725)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(48,035)</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(33,380)</w:t>
            </w:r>
          </w:p>
        </w:tc>
        <w:tc>
          <w:tcPr>
            <w:tcW w:w="0" w:type="dxa"/>
            <w:vAlign w:val="bottom"/>
          </w:tcPr>
          <w:p>
            <w:pPr>
              <w:spacing w:after="0"/>
              <w:rPr>
                <w:sz w:val="1"/>
                <w:szCs w:val="1"/>
                <w:color w:val="auto"/>
              </w:rPr>
            </w:pPr>
          </w:p>
        </w:tc>
      </w:tr>
      <w:tr>
        <w:trPr>
          <w:trHeight w:val="163"/>
        </w:trPr>
        <w:tc>
          <w:tcPr>
            <w:tcW w:w="6040" w:type="dxa"/>
            <w:vAlign w:val="bottom"/>
            <w:gridSpan w:val="3"/>
          </w:tcPr>
          <w:p>
            <w:pPr>
              <w:spacing w:after="0" w:line="155" w:lineRule="exact"/>
              <w:rPr>
                <w:sz w:val="20"/>
                <w:szCs w:val="20"/>
                <w:color w:val="auto"/>
              </w:rPr>
            </w:pPr>
            <w:r>
              <w:rPr>
                <w:rFonts w:ascii="Arial" w:cs="Arial" w:eastAsia="Arial" w:hAnsi="Arial"/>
                <w:sz w:val="14"/>
                <w:szCs w:val="14"/>
                <w:color w:val="auto"/>
              </w:rPr>
              <w:t>Net Revenue</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1,904,505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1,529,963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1,554,969</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1,916,893</w:t>
            </w: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1,493,169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Benefits (d)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1,194,158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1,309,231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1,128,243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1,123,058</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891,411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Other Operating Expenses (e)</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463,538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402,720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384,697</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357,771</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268,082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1,657,696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1,711,951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1,512,940</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1,480,829</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1,159,493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40" w:type="dxa"/>
            <w:vAlign w:val="bottom"/>
            <w:gridSpan w:val="3"/>
          </w:tcPr>
          <w:p>
            <w:pPr>
              <w:spacing w:after="0" w:line="155" w:lineRule="exact"/>
              <w:rPr>
                <w:sz w:val="20"/>
                <w:szCs w:val="20"/>
                <w:color w:val="auto"/>
              </w:rPr>
            </w:pPr>
            <w:r>
              <w:rPr>
                <w:rFonts w:ascii="Arial" w:cs="Arial" w:eastAsia="Arial" w:hAnsi="Arial"/>
                <w:sz w:val="14"/>
                <w:szCs w:val="14"/>
                <w:color w:val="auto"/>
              </w:rPr>
              <w:t>Operating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246,809</w:t>
            </w:r>
          </w:p>
        </w:tc>
        <w:tc>
          <w:tcPr>
            <w:tcW w:w="180" w:type="dxa"/>
            <w:vAlign w:val="bottom"/>
          </w:tcPr>
          <w:p>
            <w:pPr>
              <w:spacing w:after="0"/>
              <w:rPr>
                <w:sz w:val="13"/>
                <w:szCs w:val="13"/>
                <w:color w:val="auto"/>
              </w:rPr>
            </w:pP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(181,988)</w:t>
            </w: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42,029</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436,064</w:t>
            </w:r>
          </w:p>
        </w:tc>
        <w:tc>
          <w:tcPr>
            <w:tcW w:w="2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333,676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201,424</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(213,715)</w:t>
            </w:r>
          </w:p>
        </w:tc>
        <w:tc>
          <w:tcPr>
            <w:tcW w:w="3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12,338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347,278</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269,117</w:t>
            </w: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4"/>
                <w:szCs w:val="14"/>
                <w:color w:val="auto"/>
              </w:rPr>
              <w:t>Net Income (Loss) Attributable to Lazard Group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40" w:type="dxa"/>
            <w:vAlign w:val="bottom"/>
            <w:gridSpan w:val="3"/>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194,544</w:t>
            </w:r>
          </w:p>
        </w:tc>
        <w:tc>
          <w:tcPr>
            <w:tcW w:w="180" w:type="dxa"/>
            <w:vAlign w:val="bottom"/>
          </w:tcPr>
          <w:p>
            <w:pPr>
              <w:spacing w:after="0"/>
              <w:rPr>
                <w:sz w:val="12"/>
                <w:szCs w:val="12"/>
                <w:color w:val="auto"/>
              </w:rPr>
            </w:pPr>
          </w:p>
        </w:tc>
        <w:tc>
          <w:tcPr>
            <w:tcW w:w="2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(216,547)</w:t>
            </w:r>
          </w:p>
        </w:tc>
        <w:tc>
          <w:tcPr>
            <w:tcW w:w="3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25,671</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342,134</w:t>
            </w:r>
          </w:p>
        </w:tc>
        <w:tc>
          <w:tcPr>
            <w:tcW w:w="28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263,993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60" w:type="dxa"/>
            <w:vAlign w:val="bottom"/>
          </w:tcPr>
          <w:p>
            <w:pPr>
              <w:spacing w:after="0"/>
              <w:rPr>
                <w:sz w:val="5"/>
                <w:szCs w:val="5"/>
                <w:color w:val="auto"/>
              </w:rPr>
            </w:pPr>
          </w:p>
        </w:tc>
        <w:tc>
          <w:tcPr>
            <w:tcW w:w="5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3,336,284</w:t>
            </w:r>
          </w:p>
        </w:tc>
        <w:tc>
          <w:tcPr>
            <w:tcW w:w="180" w:type="dxa"/>
            <w:vAlign w:val="bottom"/>
          </w:tcPr>
          <w:p>
            <w:pPr>
              <w:spacing w:after="0"/>
              <w:rPr>
                <w:sz w:val="12"/>
                <w:szCs w:val="12"/>
                <w:color w:val="auto"/>
              </w:rPr>
            </w:pP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3,115,048</w:t>
            </w:r>
          </w:p>
        </w:tc>
        <w:tc>
          <w:tcPr>
            <w:tcW w:w="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2,885,582</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3,763,942</w:t>
            </w:r>
          </w:p>
        </w:tc>
        <w:tc>
          <w:tcPr>
            <w:tcW w:w="2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3,187,207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 (f)</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1,249,753</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1,261,478</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1,264,575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1,764,622</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1,308,945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Total Lazard Group Members’ Equity (Deficiency)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369,565</w:t>
            </w:r>
          </w:p>
        </w:tc>
        <w:tc>
          <w:tcPr>
            <w:tcW w:w="180" w:type="dxa"/>
            <w:vAlign w:val="bottom"/>
          </w:tcPr>
          <w:p>
            <w:pPr>
              <w:spacing w:after="0"/>
              <w:rPr>
                <w:sz w:val="12"/>
                <w:szCs w:val="12"/>
                <w:color w:val="auto"/>
              </w:rPr>
            </w:pP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155,371</w:t>
            </w:r>
          </w:p>
        </w:tc>
        <w:tc>
          <w:tcPr>
            <w:tcW w:w="60" w:type="dxa"/>
            <w:vAlign w:val="bottom"/>
          </w:tcPr>
          <w:p>
            <w:pPr>
              <w:spacing w:after="0"/>
              <w:rPr>
                <w:sz w:val="12"/>
                <w:szCs w:val="12"/>
                <w:color w:val="auto"/>
              </w:rPr>
            </w:pP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105,629</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(26,307)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(259,209)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Members’ Equity (Deficiency)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490,447</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282,931</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126,510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25,448</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(204,592)</w:t>
            </w:r>
          </w:p>
        </w:tc>
        <w:tc>
          <w:tcPr>
            <w:tcW w:w="0" w:type="dxa"/>
            <w:vAlign w:val="bottom"/>
          </w:tcPr>
          <w:p>
            <w:pPr>
              <w:spacing w:after="0"/>
              <w:rPr>
                <w:sz w:val="1"/>
                <w:szCs w:val="1"/>
                <w:color w:val="auto"/>
              </w:rPr>
            </w:pPr>
          </w:p>
        </w:tc>
      </w:tr>
      <w:tr>
        <w:trPr>
          <w:trHeight w:val="230"/>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Other Data</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 Under Management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155,337,000</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129,543,000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91,109,000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141,413,000</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2"/>
              </w:rPr>
              <w:t>110,437,000</w:t>
            </w:r>
          </w:p>
        </w:tc>
        <w:tc>
          <w:tcPr>
            <w:tcW w:w="0" w:type="dxa"/>
            <w:vAlign w:val="bottom"/>
          </w:tcPr>
          <w:p>
            <w:pPr>
              <w:spacing w:after="0"/>
              <w:rPr>
                <w:sz w:val="1"/>
                <w:szCs w:val="1"/>
                <w:color w:val="auto"/>
              </w:rPr>
            </w:pPr>
          </w:p>
        </w:tc>
      </w:tr>
      <w:tr>
        <w:trPr>
          <w:trHeight w:val="229"/>
        </w:trPr>
        <w:tc>
          <w:tcPr>
            <w:tcW w:w="6040" w:type="dxa"/>
            <w:vAlign w:val="bottom"/>
            <w:gridSpan w:val="3"/>
          </w:tcPr>
          <w:p>
            <w:pPr>
              <w:spacing w:after="0"/>
              <w:rPr>
                <w:sz w:val="20"/>
                <w:szCs w:val="20"/>
                <w:color w:val="auto"/>
              </w:rPr>
            </w:pPr>
            <w:r>
              <w:rPr>
                <w:rFonts w:ascii="Arial" w:cs="Arial" w:eastAsia="Arial" w:hAnsi="Arial"/>
                <w:sz w:val="14"/>
                <w:szCs w:val="14"/>
                <w:color w:val="auto"/>
              </w:rPr>
              <w:t>Headcount: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Managing Directors: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60" w:type="dxa"/>
            <w:vAlign w:val="bottom"/>
          </w:tcPr>
          <w:p>
            <w:pPr>
              <w:ind w:left="300"/>
              <w:spacing w:after="0" w:line="149" w:lineRule="exact"/>
              <w:rPr>
                <w:sz w:val="20"/>
                <w:szCs w:val="20"/>
                <w:color w:val="auto"/>
              </w:rPr>
            </w:pPr>
            <w:r>
              <w:rPr>
                <w:rFonts w:ascii="Arial" w:cs="Arial" w:eastAsia="Arial" w:hAnsi="Arial"/>
                <w:sz w:val="14"/>
                <w:szCs w:val="14"/>
                <w:color w:val="auto"/>
              </w:rPr>
              <w:t>Financial Advisory</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Asset Management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60" w:type="dxa"/>
            <w:vAlign w:val="bottom"/>
          </w:tcPr>
          <w:p>
            <w:pPr>
              <w:ind w:left="300"/>
              <w:spacing w:after="0" w:line="149" w:lineRule="exact"/>
              <w:rPr>
                <w:sz w:val="20"/>
                <w:szCs w:val="20"/>
                <w:color w:val="auto"/>
              </w:rPr>
            </w:pPr>
            <w:r>
              <w:rPr>
                <w:rFonts w:ascii="Arial" w:cs="Arial" w:eastAsia="Arial" w:hAnsi="Arial"/>
                <w:sz w:val="14"/>
                <w:szCs w:val="14"/>
                <w:color w:val="auto"/>
              </w:rPr>
              <w:t>Corporate</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Employees: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60" w:type="dxa"/>
            <w:vAlign w:val="bottom"/>
          </w:tcPr>
          <w:p>
            <w:pPr>
              <w:ind w:left="300"/>
              <w:spacing w:after="0" w:line="149" w:lineRule="exact"/>
              <w:rPr>
                <w:sz w:val="20"/>
                <w:szCs w:val="20"/>
                <w:color w:val="auto"/>
              </w:rPr>
            </w:pPr>
            <w:r>
              <w:rPr>
                <w:rFonts w:ascii="Arial" w:cs="Arial" w:eastAsia="Arial" w:hAnsi="Arial"/>
                <w:sz w:val="14"/>
                <w:szCs w:val="14"/>
                <w:color w:val="auto"/>
              </w:rPr>
              <w:t>Business segment professionals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999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1,032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1,003</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professionals and support staff</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1,187</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1,261</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2,332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2,294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2,434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2,458</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604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Notes (in thousands of dollars)</w:t>
            </w: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040" w:type="dxa"/>
            <w:vAlign w:val="bottom"/>
            <w:gridSpan w:val="3"/>
          </w:tcPr>
          <w:p>
            <w:pPr>
              <w:spacing w:after="0"/>
              <w:rPr>
                <w:sz w:val="20"/>
                <w:szCs w:val="20"/>
                <w:color w:val="auto"/>
              </w:rPr>
            </w:pPr>
            <w:r>
              <w:rPr>
                <w:rFonts w:ascii="Arial" w:cs="Arial" w:eastAsia="Arial" w:hAnsi="Arial"/>
                <w:sz w:val="14"/>
                <w:szCs w:val="14"/>
                <w:color w:val="auto"/>
              </w:rPr>
              <w:t>(a)  Financial Advisory net revenue consists of the following: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9"/>
            <w:vMerge w:val="restart"/>
          </w:tcPr>
          <w:p>
            <w:pPr>
              <w:jc w:val="center"/>
              <w:ind w:right="3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9"/>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M&amp;A and Strategic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714,059</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526,225</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814,660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969,409</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792,537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Restructuring</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293,875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376,710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119,283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127,175</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Markets and Other Advisory</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83,885</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88,970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143,593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60" w:type="dxa"/>
            <w:vAlign w:val="bottom"/>
            <w:vMerge w:val="restart"/>
          </w:tcPr>
          <w:p>
            <w:pPr>
              <w:ind w:left="300"/>
              <w:spacing w:after="0"/>
              <w:rPr>
                <w:sz w:val="20"/>
                <w:szCs w:val="20"/>
                <w:color w:val="auto"/>
              </w:rPr>
            </w:pPr>
            <w:r>
              <w:rPr>
                <w:rFonts w:ascii="Arial" w:cs="Arial" w:eastAsia="Arial" w:hAnsi="Arial"/>
                <w:sz w:val="14"/>
                <w:szCs w:val="14"/>
                <w:color w:val="auto"/>
              </w:rPr>
              <w:t>Financial Advisory Net Revenue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6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1,119,867</w:t>
            </w: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986,820</w:t>
            </w:r>
          </w:p>
        </w:tc>
        <w:tc>
          <w:tcPr>
            <w:tcW w:w="60" w:type="dxa"/>
            <w:vAlign w:val="bottom"/>
          </w:tcPr>
          <w:p>
            <w:pPr>
              <w:spacing w:after="0"/>
              <w:rPr>
                <w:sz w:val="13"/>
                <w:szCs w:val="13"/>
                <w:color w:val="auto"/>
              </w:rPr>
            </w:pP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1,022,913</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1,240,177</w:t>
            </w:r>
          </w:p>
        </w:tc>
        <w:tc>
          <w:tcPr>
            <w:tcW w:w="2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973,337</w:t>
            </w: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4"/>
                <w:szCs w:val="14"/>
                <w:color w:val="auto"/>
              </w:rPr>
              <w:t>(b)  Asset Management net revenue consists of the following: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88"/>
              </w:rPr>
              <w:t>For The Year Ended December 31,</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Management Fees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715,885</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486,810</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568,436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595,725</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450,323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Incentive Fees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86,298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74,795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34,961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67,032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47,479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40,047</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11,384</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61,994</w:t>
            </w:r>
          </w:p>
        </w:tc>
        <w:tc>
          <w:tcPr>
            <w:tcW w:w="2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60" w:type="dxa"/>
            <w:vAlign w:val="bottom"/>
          </w:tcPr>
          <w:p>
            <w:pPr>
              <w:ind w:left="300"/>
              <w:spacing w:after="0" w:line="155" w:lineRule="exact"/>
              <w:rPr>
                <w:sz w:val="20"/>
                <w:szCs w:val="20"/>
                <w:color w:val="auto"/>
              </w:rPr>
            </w:pPr>
            <w:r>
              <w:rPr>
                <w:rFonts w:ascii="Arial" w:cs="Arial" w:eastAsia="Arial" w:hAnsi="Arial"/>
                <w:sz w:val="14"/>
                <w:szCs w:val="14"/>
                <w:color w:val="auto"/>
              </w:rPr>
              <w:t>Asset Management Net 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849,662</w:t>
            </w:r>
          </w:p>
        </w:tc>
        <w:tc>
          <w:tcPr>
            <w:tcW w:w="180" w:type="dxa"/>
            <w:vAlign w:val="bottom"/>
          </w:tcPr>
          <w:p>
            <w:pPr>
              <w:spacing w:after="0"/>
              <w:rPr>
                <w:sz w:val="13"/>
                <w:szCs w:val="13"/>
                <w:color w:val="auto"/>
              </w:rPr>
            </w:pPr>
          </w:p>
        </w:tc>
        <w:tc>
          <w:tcPr>
            <w:tcW w:w="2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601,652</w:t>
            </w:r>
          </w:p>
        </w:tc>
        <w:tc>
          <w:tcPr>
            <w:tcW w:w="60" w:type="dxa"/>
            <w:vAlign w:val="bottom"/>
          </w:tcPr>
          <w:p>
            <w:pPr>
              <w:spacing w:after="0"/>
              <w:rPr>
                <w:sz w:val="13"/>
                <w:szCs w:val="13"/>
                <w:color w:val="auto"/>
              </w:rPr>
            </w:pP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614,781</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724,751</w:t>
            </w:r>
          </w:p>
        </w:tc>
        <w:tc>
          <w:tcPr>
            <w:tcW w:w="2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553,212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340" w:hanging="332"/>
        <w:spacing w:after="0" w:line="230"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“Corporate” includes interest expense (net of interest income), investment income (losses) from certain investments and net revenue earned by LFB through its money market desk and commercial banking operations, as well as any gains or losses from the extinguishment of debt.</w:t>
      </w:r>
    </w:p>
    <w:p>
      <w:pPr>
        <w:ind w:left="340" w:right="200" w:hanging="332"/>
        <w:spacing w:after="0" w:line="22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(i) in 2010, $24,860 relating to the acceleration of amortization expense pertaining to the amendment of Lazard’s retirement policy with respect to RSU awards; (ii) in 2009, charges of $86,514 related to the acceleration of amortization expense relating to the vesting of RSUs held by Lazard’s former Chairman and Chief Executive Officer as the result of his death in October 2009 and $60,512 related to the accelerated vesting of the then unamortized portion of previously awarded deferred cash incentive awards; and (iii) in 2008, $197,550 relating to the compensation portion of the LAM Merger charge.</w:t>
      </w:r>
    </w:p>
    <w:p>
      <w:pPr>
        <w:spacing w:after="0" w:line="1" w:lineRule="exact"/>
        <w:rPr>
          <w:rFonts w:ascii="Arial" w:cs="Arial" w:eastAsia="Arial" w:hAnsi="Arial"/>
          <w:sz w:val="14"/>
          <w:szCs w:val="14"/>
          <w:color w:val="auto"/>
        </w:rPr>
      </w:pPr>
    </w:p>
    <w:p>
      <w:pPr>
        <w:ind w:left="340" w:right="120" w:hanging="332"/>
        <w:spacing w:after="0" w:line="22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(i) in 2010, restructuring expense of $87,108 related to the restructuring plan announced in the first quarter of 2010; (ii) in 2009, restructuring expense of $62,550 related to the restructuring plan announced in the first quarter of 2009; and (iii) in 2008, $2,000 of non-compensation-related transaction costs relating to the LAM Merger.</w:t>
      </w:r>
    </w:p>
    <w:p>
      <w:pPr>
        <w:ind w:left="340" w:hanging="332"/>
        <w:spacing w:after="0"/>
        <w:tabs>
          <w:tab w:leader="none" w:pos="3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Represents the aggregate amount reflected in the Company’s consolidated statements of financial condition relating to senior debt, capital lease obligations and subordinated debt.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Group’s consolidated financial statements and the related notes included elsewhere in this Annual Report on Form 10-K (this “Form 10-K”).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Form 10-K.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September 25, 2008, pursuant to a definitive merger agreement dated August 14, 2008, the Company, Lazard Asset Management LLC (together with its subsidiaries, “LAM”) and LAZ Sub I, LLC, a newly formed subsidiary of Lazard Frères &amp; Co. LLC (“LFNY”), completed the merger of LAZ Sub I, LLC with and into LAM (the “LAM Merger”). See Note 8 of Notes to Consolidated Financial Statements for additional information relating to the LAM Merger.</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SA (“FPG”), our private equity business in France. Such activities transferred to LFCM Holdings represented the alternative investment activities of Lazard Alternative Investments Holdings LLC (“LAI”) and included private equity investments of Corporate Partners II Limited (“CP II”) and Lazard Senior Housing Partners LP (“Senior Housing”). We also transferred to LFCM Holdings certain principal investments by Lazard Group in the funds managed by the separated businesses, subject to certain options by us to reacquire such investments, while we retained our investment in our French private equity funds. CP II was managed by a subsidiary of LAI until February 16, 2009. Effective February 17, 2009, ownership and control of CP II was transferred to the investment professionals who manage CP II. Since 2005, consistent with our obligations to LFCM Holdings, we have engaged in a number of alternative investments and private equity activities. Effective September 30, 2009, the Company sold FPG, the effect of which did not have a material impact on our financial condition or results of operations. Operating results of FPG were included in our consolidated financial statements through the effective date of sale. See Note 20 of Notes to Consolidated Financial Statements for additional information regarding alternative investments.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9 of Notes to Consolidated Financial Statements). Also, consistent with our obligations to LFCM Holdings, we may explore discrete capital markets opportunities.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consolidated net revenue was derived from the following segments: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88"/>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24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25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65%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2540" w:type="dxa"/>
            <w:vAlign w:val="bottom"/>
            <w:gridSpan w:val="3"/>
          </w:tcPr>
          <w:p>
            <w:pPr>
              <w:jc w:val="right"/>
              <w:ind w:right="1240"/>
              <w:spacing w:after="0"/>
              <w:rPr>
                <w:sz w:val="20"/>
                <w:szCs w:val="20"/>
                <w:color w:val="auto"/>
              </w:rPr>
            </w:pPr>
            <w:r>
              <w:rPr>
                <w:rFonts w:ascii="Arial" w:cs="Arial" w:eastAsia="Arial" w:hAnsi="Arial"/>
                <w:sz w:val="18"/>
                <w:szCs w:val="18"/>
                <w:color w:val="auto"/>
              </w:rPr>
              <w:t>39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254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2540" w:type="dxa"/>
            <w:vAlign w:val="bottom"/>
            <w:gridSpan w:val="3"/>
          </w:tcPr>
          <w:p>
            <w:pPr>
              <w:jc w:val="right"/>
              <w:ind w:right="108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the Company’s principal sources of revenue are derived from activities in our Financial Advisory and Asset Management business segments. As our Financial Advisory revenues are for the most part dependent on the successful completion of merger, acquisition, restructuring or similar transactions, and our Asset Management revenues are primarily driven by the levels of assets under management (“AUM”), weak economic and global financial market conditions, particularly in 2008 and 2009, led to a challenging business environment for M&amp;A and fundraising activity, but opportunities for our restructuring business, which tends to be counter-cyclical.</w:t>
      </w:r>
    </w:p>
    <w:p>
      <w:pPr>
        <w:spacing w:after="0" w:line="10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However, in 2010, economic and market conditions in general in the U.S. and globally showed signs of an uneven recovery, with the respective equity markets generally experiencing double digit increases as compared to indicies at December 31, 2009. Overall, global markets in 2010 were also helped by government and central bank efforts to support government bond markets which, in turn, helped to lift corporate debt and equity markets. Significant volatility occurred during the second quarter due to fears of a debt crisis threatening certain European Union countries and banks, in addition to fears that the U.S. economy may enter into another recession driven by continued weaknesses in the job and housing sectors. The markets improved during the third and fourth quarters, driven in part in the U.S. by the Federal Reserve’s program of “quantitative easing” and the decision to extend the existing income tax rates. Also contributing to the recovery in 2010 were healthier credit markets, improved corporate earnings and continued low interest rates. These conditions continued to accelerate in the fourth quarter of 2010 and into early 2011. The improvement in the economic and market conditions in 2010 contributed to the improvement in our operating performance in both our Financial Advisory and Asset Management segments as compared to 2009.</w:t>
      </w:r>
    </w:p>
    <w:p>
      <w:pPr>
        <w:spacing w:after="0" w:line="10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past few years we have expanded our geographic reach and industry expertise. We believe that in this environment, companies, government bodies and investors will seek independent advice with a geographic perspective, deep understanding of capital structure, informed research and knowledge of global economic conditions, and that our business model as an independent, unconflicted adviser will continue to create opportunities for us to attract new clients and key personnel.</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Lazard operates in a very competitive and rapidly changing environment. New risks and uncertainties emerge from time to time, and it is not possible for Lazard’s management to predict all risks and uncertainties,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this Form 10-K. Furthermore, net income and revenue in any period may not be indicative of full-year results or the results of any other period and may vary significantly from year to year and quarter to quarter.</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Global and trans-atlantic completed and announced M&amp;A transactions for 2010 increased versus 2009, as shown in the following table, which sets forth industry statistics regarding the value and number of such transactions in such years: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50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6"/>
              </w:rPr>
              <w:t>Year Ended December 31,</w:t>
            </w:r>
          </w:p>
        </w:tc>
      </w:tr>
      <w:tr>
        <w:trPr>
          <w:trHeight w:val="129"/>
        </w:trPr>
        <w:tc>
          <w:tcPr>
            <w:tcW w:w="83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61"/>
        </w:trPr>
        <w:tc>
          <w:tcPr>
            <w:tcW w:w="8380" w:type="dxa"/>
            <w:vAlign w:val="bottom"/>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Incr /(Decr)</w:t>
            </w:r>
          </w:p>
        </w:tc>
        <w:tc>
          <w:tcPr>
            <w:tcW w:w="200" w:type="dxa"/>
            <w:vAlign w:val="bottom"/>
          </w:tcPr>
          <w:p>
            <w:pPr>
              <w:spacing w:after="0"/>
              <w:rPr>
                <w:sz w:val="14"/>
                <w:szCs w:val="14"/>
                <w:color w:val="auto"/>
              </w:rPr>
            </w:pPr>
          </w:p>
        </w:tc>
      </w:tr>
      <w:tr>
        <w:trPr>
          <w:trHeight w:val="156"/>
        </w:trPr>
        <w:tc>
          <w:tcPr>
            <w:tcW w:w="8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60" w:type="dxa"/>
            <w:vAlign w:val="bottom"/>
            <w:gridSpan w:val="3"/>
          </w:tcPr>
          <w:p>
            <w:pPr>
              <w:jc w:val="center"/>
              <w:ind w:left="116"/>
              <w:spacing w:after="0" w:line="155" w:lineRule="exact"/>
              <w:rPr>
                <w:sz w:val="20"/>
                <w:szCs w:val="20"/>
                <w:color w:val="auto"/>
              </w:rPr>
            </w:pPr>
            <w:r>
              <w:rPr>
                <w:rFonts w:ascii="Arial" w:cs="Arial" w:eastAsia="Arial" w:hAnsi="Arial"/>
                <w:sz w:val="14"/>
                <w:szCs w:val="14"/>
                <w:b w:val="1"/>
                <w:bCs w:val="1"/>
                <w:color w:val="auto"/>
                <w:w w:val="87"/>
              </w:rPr>
              <w:t>($ in billions)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Global:</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380" w:type="dxa"/>
            <w:vAlign w:val="bottom"/>
          </w:tcPr>
          <w:p>
            <w:pPr>
              <w:ind w:left="880"/>
              <w:spacing w:after="0"/>
              <w:rPr>
                <w:sz w:val="20"/>
                <w:szCs w:val="20"/>
                <w:color w:val="auto"/>
              </w:rPr>
            </w:pPr>
            <w:r>
              <w:rPr>
                <w:rFonts w:ascii="Arial" w:cs="Arial" w:eastAsia="Arial" w:hAnsi="Arial"/>
                <w:sz w:val="18"/>
                <w:szCs w:val="18"/>
                <w:color w:val="auto"/>
              </w:rPr>
              <w:t>Number</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30,103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29,858</w:t>
            </w:r>
          </w:p>
        </w:tc>
        <w:tc>
          <w:tcPr>
            <w:tcW w:w="5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380" w:type="dxa"/>
            <w:vAlign w:val="bottom"/>
          </w:tcPr>
          <w:p>
            <w:pPr>
              <w:ind w:left="880"/>
              <w:spacing w:after="0"/>
              <w:rPr>
                <w:sz w:val="20"/>
                <w:szCs w:val="20"/>
                <w:color w:val="auto"/>
              </w:rPr>
            </w:pPr>
            <w:r>
              <w:rPr>
                <w:rFonts w:ascii="Arial" w:cs="Arial" w:eastAsia="Arial" w:hAnsi="Arial"/>
                <w:sz w:val="18"/>
                <w:szCs w:val="18"/>
                <w:color w:val="auto"/>
              </w:rPr>
              <w:t>Value</w:t>
            </w:r>
          </w:p>
        </w:tc>
        <w:tc>
          <w:tcPr>
            <w:tcW w:w="540" w:type="dxa"/>
            <w:vAlign w:val="bottom"/>
          </w:tcPr>
          <w:p>
            <w:pPr>
              <w:jc w:val="right"/>
              <w:spacing w:after="0"/>
              <w:rPr>
                <w:sz w:val="20"/>
                <w:szCs w:val="20"/>
                <w:color w:val="auto"/>
              </w:rPr>
            </w:pPr>
            <w:r>
              <w:rPr>
                <w:rFonts w:ascii="Arial" w:cs="Arial" w:eastAsia="Arial" w:hAnsi="Arial"/>
                <w:sz w:val="18"/>
                <w:szCs w:val="18"/>
                <w:color w:val="auto"/>
              </w:rPr>
              <w:t>$  135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123</w:t>
            </w:r>
          </w:p>
        </w:tc>
        <w:tc>
          <w:tcPr>
            <w:tcW w:w="5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838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380" w:type="dxa"/>
            <w:vAlign w:val="bottom"/>
          </w:tcPr>
          <w:p>
            <w:pPr>
              <w:ind w:left="880"/>
              <w:spacing w:after="0"/>
              <w:rPr>
                <w:sz w:val="20"/>
                <w:szCs w:val="20"/>
                <w:color w:val="auto"/>
              </w:rPr>
            </w:pPr>
            <w:r>
              <w:rPr>
                <w:rFonts w:ascii="Arial" w:cs="Arial" w:eastAsia="Arial" w:hAnsi="Arial"/>
                <w:sz w:val="18"/>
                <w:szCs w:val="18"/>
                <w:color w:val="auto"/>
              </w:rPr>
              <w:t>Value</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$1,909</w:t>
            </w:r>
          </w:p>
        </w:tc>
        <w:tc>
          <w:tcPr>
            <w:tcW w:w="5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8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40,544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39,241</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838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22"/>
        </w:trPr>
        <w:tc>
          <w:tcPr>
            <w:tcW w:w="8380" w:type="dxa"/>
            <w:vAlign w:val="bottom"/>
          </w:tcPr>
          <w:p>
            <w:pPr>
              <w:ind w:left="880"/>
              <w:spacing w:after="0"/>
              <w:rPr>
                <w:sz w:val="20"/>
                <w:szCs w:val="20"/>
                <w:color w:val="auto"/>
              </w:rPr>
            </w:pPr>
            <w:r>
              <w:rPr>
                <w:rFonts w:ascii="Arial" w:cs="Arial" w:eastAsia="Arial" w:hAnsi="Arial"/>
                <w:sz w:val="18"/>
                <w:szCs w:val="18"/>
                <w:color w:val="auto"/>
              </w:rPr>
              <w:t>Number</w:t>
            </w:r>
          </w:p>
        </w:tc>
        <w:tc>
          <w:tcPr>
            <w:tcW w:w="540" w:type="dxa"/>
            <w:vAlign w:val="bottom"/>
          </w:tcPr>
          <w:p>
            <w:pPr>
              <w:jc w:val="right"/>
              <w:spacing w:after="0"/>
              <w:rPr>
                <w:sz w:val="20"/>
                <w:szCs w:val="20"/>
                <w:color w:val="auto"/>
              </w:rPr>
            </w:pPr>
            <w:r>
              <w:rPr>
                <w:rFonts w:ascii="Arial" w:cs="Arial" w:eastAsia="Arial" w:hAnsi="Arial"/>
                <w:sz w:val="18"/>
                <w:szCs w:val="18"/>
                <w:color w:val="auto"/>
              </w:rPr>
              <w:t>1,329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1,121</w:t>
            </w:r>
          </w:p>
        </w:tc>
        <w:tc>
          <w:tcPr>
            <w:tcW w:w="5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January 7, 2011</w:t>
      </w:r>
      <w:r>
        <w:rPr>
          <w:rFonts w:ascii="Arial" w:cs="Arial" w:eastAsia="Arial" w:hAnsi="Arial"/>
          <w:sz w:val="18"/>
          <w:szCs w:val="18"/>
          <w:color w:val="auto"/>
        </w:rPr>
        <w:t>.</w:t>
      </w:r>
    </w:p>
    <w:p>
      <w:pPr>
        <w:spacing w:after="0" w:line="15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continue to believe that we are relatively well positioned as our clients refinance, restructure and reposition their asset portfolios for growth. Overall M&amp;A statistics regarding the number and size of announced transactions increased significantly in 2010 as compared to 2009.</w:t>
      </w:r>
    </w:p>
    <w:p>
      <w:pPr>
        <w:spacing w:after="0" w:line="7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Global restructuring activity during 2010 decreased from record levels in 2009 due to the decelerating pace of corporate debt defaults, partially resulting from the strengthening of the high yield and leveraged loan markets. According to Moody’s Investors Service, Inc., in 2010, a total of 59 issuers defaulted as compared to 266 in 2009. We believe that the number and value of corporate defaults in 2011 will be relatively flat compared to 2010, but due to our Restructuring assignments currently in progress, we expect that our Restructuring business will remain active, from advising companies during this period on matters relating to debt and financing restructuring and other on- and off-balance sheet assignments. Our Restructuring assignments are generally executed over a six- to twelve-month period.</w:t>
      </w:r>
    </w:p>
    <w:p>
      <w:pPr>
        <w:spacing w:after="0" w:line="13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Private Fund Advisory Group, which is part of our Financial Advisory segment and is conducted in the U.S. through LFNY, an SEC-registered broker-dealer and municipal advisor and member of the Financial Industry Regulatory Authority (“FINRA”) and the Municipal Securities Rulemakers 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30, 2010,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SEC approved a rule that, among other things, will prohibit investment advisors from paying a third-party placement agent for soliciting investment advisory business from a U.S. governmental entity, unless the placement agent is (i) an SEC-registered investment advisor or (ii) an SEC-registered broker-dealer that is a member of FINRA and thus subject to FINRA’s forthcoming “pay-to-play” rule. On November 19, 2010, the SEC released a proposed amendment to that rule that, if approved, will prohibit investment advisors from paying a third-party placement agent for soliciting investment advisory business from a U.S. governmental entity, unless the placement agent is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shown in the table below, major global market indices at December 31, 2010 increased in most markets as compared to such indices at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Percentage Change</w:t>
            </w:r>
          </w:p>
        </w:tc>
      </w:tr>
      <w:tr>
        <w:trPr>
          <w:trHeight w:val="149"/>
        </w:trPr>
        <w:tc>
          <w:tcPr>
            <w:tcW w:w="100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100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2010 vs. 2009</w:t>
            </w:r>
          </w:p>
        </w:tc>
        <w:tc>
          <w:tcPr>
            <w:tcW w:w="260" w:type="dxa"/>
            <w:vAlign w:val="bottom"/>
          </w:tcPr>
          <w:p>
            <w:pPr>
              <w:spacing w:after="0"/>
              <w:rPr>
                <w:sz w:val="14"/>
                <w:szCs w:val="14"/>
                <w:color w:val="auto"/>
              </w:rPr>
            </w:pPr>
          </w:p>
        </w:tc>
      </w:tr>
      <w:tr>
        <w:trPr>
          <w:trHeight w:val="210"/>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CAC 40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FTSE 100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MSCI Emerging Market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NASDAQ</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r>
    </w:tbl>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December 31, 2010 increased 20% versus AUM at December 31, 2009, with average AUM for 2010 increasing 32% as compared to our average AUM for 2009, reflecting significant market appreciation as well as net inflows during 2010. Such increased AUM contributed to significantly higher management fee revenues in 2010.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from public and private securities offerings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Lazard’s Asset Management segment principally includes LAM, Lazard Frères Gestion SAS (“LFG”), Edgewater (commencing July 15, 2009), FPG (through its disposition on September 30, 2009) and Lazard Wealth Management LLC.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1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Corporate segment net revenue consists primarily of net interest income, including amounts earned at LFB, and investment gains and losses on the Company’s investment portfolio of LAM-managed equity funds and principal investments in equities, investments at LFB and alternative investment funds. Interest expense is also included in Corporate net revenue. Corporate net revenue can fluctuate due to changes in the fair value of investments classified as “trading”, and with respect to “available-for-sale”, when realized, or, with respect to “available-for-sale” and “held-to-maturity” investments, when a decline is determined to be other than temporary, as well as due to changes in interest and currency exchange rates and in the levels of cash, investments and indebtedness. Corporate net revenue also includes “equity method” investments, including, in 2009, the write-off of the Company’s investment in the Sapphire warrants (see Note 5 of Notes to Consolidated Financial Statements). As of December 31, 2010, the Company no longer holds “available-for-sale” or “held-to-maturity” investments.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Effective July 1, 2008, as permitted by accounting principles generally accepted in the U.S (“U.S. GAAP”), the portion of LFB’s corporate debt portfolio that had been previously designated as “trading” was re- designated to “available-for-sale.” During the fourth quarter of 2010, all of LFB’s remaining “available-for-sale” portfolio was sold, with net realized losses on a pre-tax basis reclassified from “accumulated other comprehensive income (loss), net of tax” (“AOCI”) to “investment gains (losses)”. For the years ended December 31, 2010, 2009 and 2008, the Company recorded net investment gains (losses) of $13 million, $29 million and $(41) million, respectively, in AOCI.</w:t>
      </w:r>
    </w:p>
    <w:p>
      <w:pPr>
        <w:spacing w:after="0" w:line="12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Although Corporate segment net revenue during the year ended December 31, 2010 represented (4)% of Lazard’s net revenue, total assets in Corporate represented 55% of Lazard’s consolidated total assets as of December 31, 2010, which is attributable to assets associated with LFB, investments in government bonds, fixed income funds, LAM-managed funds and other securities, private equity investments and cash.</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Our compensation and benefits expense includes amortization of the relevant portion of the share-based incentive compensation under the Lazard Ltd 2005 Equity Incentive Plan (“2005 Plan”) and the Lazard Ltd 2008 Incentive Compensation Plan (the “2008 Plan”), with such amortization generally determined on a straight-line basis over the vesting periods and not on the basis of revenue recognition (see Note 16 of Notes to Consolidated Financial Statements). Compensation expense in any given year is dependent on many factors, including general economic and market conditions, our operating and financial performance, staffing levels, and competitive pay conditions, the nature of revenues earned, as well as the mix between current and deferred compensation. Our compensation expense-to-operating revenue ratio for the years ended December 31, 2010, 2009 and 2008 was 59.0%, 71.6% and 55.6%, respectively, (with such ratios excluding, (i) in 2010, the compensation charge of approximately $25 million in connection with the accelerated vesting of share-based incentive awards related to the Company’s change in retirement policy, (ii) in 2009, the compensation charges of approximately $87 million related to the acceleration of amortization expense relating to the vesting of share-based incentive awards held by Lazard’s former Chairman and Chief Executive Officer as a result of his death in October 2009 and approximately $61 million relating to the accelerated vesting of the unamortized portion of previously awarded deferred cash incentive awards and (iii) in 2008, the compensation charge of approximately $197 million relating to the LAM Merger).</w:t>
      </w:r>
    </w:p>
    <w:p>
      <w:pPr>
        <w:spacing w:after="0" w:line="1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2010 and 2009, restructuring expense. Amortization of intangible assets related to acquisitions relates primarily to the July 2009 acquisition of Edgewater. Restructuring expense relates to certain staff reductions and realignment of personnel in the first quarters of 2010 and 2009, and includes severance and related benefits expense, the acceleration of unrecognized expense pertaining to restricted stock unit awards denominated in shares of Lazard Ltd Class A common stock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related to non-U.S. entities and to New York City Unincorporated Business Tax (“UBT”) attributable to Lazard’s operations apportioned to New York City.</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Noncontrolling interests primarily relate to the charge (credit) attributable to amounts related to Edgewater and various LAM-related general partnership interests (“GPs”) in limited partnerships held directly by certain of our LAM managing directors. See Note 15 of Notes to Consolidated Financial Statements for information regarding the Company’s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2010, 2009 and 2008 the Company reported certain charges (the “2010 special items”, the “2009 special items” and the “2008 special item,” respectively, and collectively, the “2010, 2009 and 2008 special items”) that adversely impacted operating results for such years. The impact of such special items on the Company’s consolidated statements of operations for the respective years is described in more detail in the tables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Year Ended</w:t>
            </w:r>
          </w:p>
        </w:tc>
      </w:tr>
      <w:tr>
        <w:trPr>
          <w:trHeight w:val="149"/>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3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85"/>
              </w:rPr>
              <w:t>December 31, 2010</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w w:val="93"/>
              </w:rPr>
              <w:t>December 31, 2009</w:t>
            </w: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r>
      <w:tr>
        <w:trPr>
          <w:trHeight w:val="129"/>
        </w:trPr>
        <w:tc>
          <w:tcPr>
            <w:tcW w:w="3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4"/>
              </w:rPr>
              <w:t>RSU</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Deferred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Retirement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RSU</w:t>
            </w:r>
          </w:p>
        </w:tc>
        <w:tc>
          <w:tcPr>
            <w:tcW w:w="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Cash</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4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1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Amendment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Acceleration</w:t>
            </w: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3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(b)</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(e)</w:t>
            </w: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LAM Merger</w:t>
            </w:r>
          </w:p>
        </w:tc>
        <w:tc>
          <w:tcPr>
            <w:tcW w:w="80" w:type="dxa"/>
            <w:vAlign w:val="bottom"/>
          </w:tcPr>
          <w:p>
            <w:pPr>
              <w:spacing w:after="0"/>
              <w:rPr>
                <w:sz w:val="14"/>
                <w:szCs w:val="14"/>
                <w:color w:val="auto"/>
              </w:rPr>
            </w:pPr>
          </w:p>
        </w:tc>
      </w:tr>
      <w:tr>
        <w:trPr>
          <w:trHeight w:val="156"/>
        </w:trPr>
        <w:tc>
          <w:tcPr>
            <w:tcW w:w="3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in</w:t>
            </w:r>
          </w:p>
        </w:tc>
        <w:tc>
          <w:tcPr>
            <w:tcW w:w="1040" w:type="dxa"/>
            <w:vAlign w:val="bottom"/>
            <w:gridSpan w:val="3"/>
          </w:tcPr>
          <w:p>
            <w:pPr>
              <w:jc w:val="right"/>
              <w:ind w:right="372"/>
              <w:spacing w:after="0" w:line="155" w:lineRule="exact"/>
              <w:rPr>
                <w:sz w:val="20"/>
                <w:szCs w:val="20"/>
                <w:color w:val="auto"/>
              </w:rPr>
            </w:pPr>
            <w:r>
              <w:rPr>
                <w:rFonts w:ascii="Arial" w:cs="Arial" w:eastAsia="Arial" w:hAnsi="Arial"/>
                <w:sz w:val="14"/>
                <w:szCs w:val="14"/>
                <w:b w:val="1"/>
                <w:bCs w:val="1"/>
                <w:color w:val="auto"/>
                <w:w w:val="76"/>
              </w:rPr>
              <w:t>thousands)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24,860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24,860</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86,514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60,512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147,026</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197,550</w:t>
            </w: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Non-Compensation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Restructuring</w:t>
            </w:r>
          </w:p>
        </w:tc>
        <w:tc>
          <w:tcPr>
            <w:tcW w:w="1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87,108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87,108</w:t>
            </w:r>
          </w:p>
        </w:tc>
        <w:tc>
          <w:tcPr>
            <w:tcW w:w="3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62,550</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62,550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3420" w:type="dxa"/>
            <w:vAlign w:val="bottom"/>
          </w:tcPr>
          <w:p>
            <w:pPr>
              <w:spacing w:after="0" w:line="155" w:lineRule="exact"/>
              <w:rPr>
                <w:sz w:val="20"/>
                <w:szCs w:val="20"/>
                <w:color w:val="auto"/>
              </w:rPr>
            </w:pPr>
            <w:r>
              <w:rPr>
                <w:rFonts w:ascii="Arial" w:cs="Arial" w:eastAsia="Arial" w:hAnsi="Arial"/>
                <w:sz w:val="14"/>
                <w:szCs w:val="14"/>
                <w:color w:val="auto"/>
              </w:rPr>
              <w:t>Operating Loss</w:t>
            </w:r>
          </w:p>
        </w:tc>
        <w:tc>
          <w:tcPr>
            <w:tcW w:w="180" w:type="dxa"/>
            <w:vAlign w:val="bottom"/>
          </w:tcPr>
          <w:p>
            <w:pPr>
              <w:spacing w:after="0"/>
              <w:rPr>
                <w:sz w:val="13"/>
                <w:szCs w:val="13"/>
                <w:color w:val="auto"/>
              </w:rPr>
            </w:pPr>
          </w:p>
        </w:tc>
        <w:tc>
          <w:tcPr>
            <w:tcW w:w="76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(87,108)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(24,860)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3"/>
              </w:rPr>
              <w:t>(111,968)</w:t>
            </w:r>
          </w:p>
        </w:tc>
        <w:tc>
          <w:tcPr>
            <w:tcW w:w="200" w:type="dxa"/>
            <w:vAlign w:val="bottom"/>
          </w:tcPr>
          <w:p>
            <w:pPr>
              <w:spacing w:after="0"/>
              <w:rPr>
                <w:sz w:val="13"/>
                <w:szCs w:val="13"/>
                <w:color w:val="auto"/>
              </w:rPr>
            </w:pPr>
          </w:p>
        </w:tc>
        <w:tc>
          <w:tcPr>
            <w:tcW w:w="900" w:type="dxa"/>
            <w:vAlign w:val="bottom"/>
            <w:gridSpan w:val="2"/>
          </w:tcPr>
          <w:p>
            <w:pPr>
              <w:jc w:val="right"/>
              <w:ind w:right="172"/>
              <w:spacing w:after="0" w:line="155" w:lineRule="exact"/>
              <w:rPr>
                <w:sz w:val="20"/>
                <w:szCs w:val="20"/>
                <w:color w:val="auto"/>
              </w:rPr>
            </w:pPr>
            <w:r>
              <w:rPr>
                <w:rFonts w:ascii="Arial" w:cs="Arial" w:eastAsia="Arial" w:hAnsi="Arial"/>
                <w:sz w:val="14"/>
                <w:szCs w:val="14"/>
                <w:color w:val="auto"/>
              </w:rPr>
              <w:t>(62,550)</w:t>
            </w:r>
          </w:p>
        </w:tc>
        <w:tc>
          <w:tcPr>
            <w:tcW w:w="140" w:type="dxa"/>
            <w:vAlign w:val="bottom"/>
          </w:tcPr>
          <w:p>
            <w:pPr>
              <w:spacing w:after="0"/>
              <w:rPr>
                <w:sz w:val="13"/>
                <w:szCs w:val="13"/>
                <w:color w:val="auto"/>
              </w:rPr>
            </w:pPr>
          </w:p>
        </w:tc>
        <w:tc>
          <w:tcPr>
            <w:tcW w:w="9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(86,514)</w:t>
            </w:r>
          </w:p>
        </w:tc>
        <w:tc>
          <w:tcPr>
            <w:tcW w:w="80" w:type="dxa"/>
            <w:vAlign w:val="bottom"/>
          </w:tcPr>
          <w:p>
            <w:pPr>
              <w:spacing w:after="0"/>
              <w:rPr>
                <w:sz w:val="13"/>
                <w:szCs w:val="13"/>
                <w:color w:val="auto"/>
              </w:rPr>
            </w:pP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(60,512)</w:t>
            </w:r>
          </w:p>
        </w:tc>
        <w:tc>
          <w:tcPr>
            <w:tcW w:w="60" w:type="dxa"/>
            <w:vAlign w:val="bottom"/>
          </w:tcPr>
          <w:p>
            <w:pPr>
              <w:spacing w:after="0"/>
              <w:rPr>
                <w:sz w:val="13"/>
                <w:szCs w:val="13"/>
                <w:color w:val="auto"/>
              </w:rPr>
            </w:pP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3"/>
              </w:rPr>
              <w:t>(209,576)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(199,550)</w:t>
            </w: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5,680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7,043</w:t>
            </w:r>
          </w:p>
        </w:tc>
        <w:tc>
          <w:tcPr>
            <w:tcW w:w="3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6,401</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2,566</w:t>
            </w:r>
          </w:p>
        </w:tc>
        <w:tc>
          <w:tcPr>
            <w:tcW w:w="3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7,427</w:t>
            </w:r>
          </w:p>
        </w:tc>
        <w:tc>
          <w:tcPr>
            <w:tcW w:w="80" w:type="dxa"/>
            <w:vAlign w:val="bottom"/>
            <w:shd w:val="clear" w:color="auto" w:fill="CCEEFF"/>
          </w:tcPr>
          <w:p>
            <w:pPr>
              <w:spacing w:after="0"/>
              <w:rPr>
                <w:sz w:val="12"/>
                <w:szCs w:val="12"/>
                <w:color w:val="auto"/>
              </w:rPr>
            </w:pPr>
          </w:p>
        </w:tc>
      </w:tr>
      <w:tr>
        <w:trPr>
          <w:trHeight w:val="156"/>
        </w:trPr>
        <w:tc>
          <w:tcPr>
            <w:tcW w:w="3420" w:type="dxa"/>
            <w:vAlign w:val="bottom"/>
          </w:tcPr>
          <w:p>
            <w:pPr>
              <w:spacing w:after="0" w:line="155" w:lineRule="exact"/>
              <w:rPr>
                <w:sz w:val="20"/>
                <w:szCs w:val="20"/>
                <w:color w:val="auto"/>
              </w:rPr>
            </w:pPr>
            <w:r>
              <w:rPr>
                <w:rFonts w:ascii="Arial" w:cs="Arial" w:eastAsia="Arial" w:hAnsi="Arial"/>
                <w:sz w:val="14"/>
                <w:szCs w:val="14"/>
                <w:color w:val="auto"/>
              </w:rPr>
              <w:t>Net Loss Attributable to Lazard Ltd.</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(81,428)</w:t>
            </w:r>
          </w:p>
        </w:tc>
        <w:tc>
          <w:tcPr>
            <w:tcW w:w="140" w:type="dxa"/>
            <w:vAlign w:val="bottom"/>
          </w:tcPr>
          <w:p>
            <w:pPr>
              <w:spacing w:after="0"/>
              <w:rPr>
                <w:sz w:val="13"/>
                <w:szCs w:val="13"/>
                <w:color w:val="auto"/>
              </w:rPr>
            </w:pPr>
          </w:p>
        </w:tc>
        <w:tc>
          <w:tcPr>
            <w:tcW w:w="300" w:type="dxa"/>
            <w:vAlign w:val="bottom"/>
            <w:gridSpan w:val="2"/>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(23,497)</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6"/>
              </w:rPr>
              <w:t>(104,925)</w:t>
            </w:r>
          </w:p>
        </w:tc>
        <w:tc>
          <w:tcPr>
            <w:tcW w:w="30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(56,149)</w:t>
            </w:r>
          </w:p>
        </w:tc>
        <w:tc>
          <w:tcPr>
            <w:tcW w:w="30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(86,514)</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(57,946)</w:t>
            </w:r>
          </w:p>
        </w:tc>
        <w:tc>
          <w:tcPr>
            <w:tcW w:w="3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6"/>
              </w:rPr>
              <w:t>(200,609)</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(192,123)</w:t>
            </w:r>
          </w:p>
        </w:tc>
      </w:tr>
      <w:tr>
        <w:trPr>
          <w:trHeight w:val="20"/>
        </w:trPr>
        <w:tc>
          <w:tcPr>
            <w:tcW w:w="3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plan announced in the first quarter of 2010.</w:t>
      </w:r>
    </w:p>
    <w:p>
      <w:pPr>
        <w:spacing w:after="0" w:line="15"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Accelerated amortization expense recognized in connection with the vesting of share-based incentive awards related to the amendment of the Company’s retirement policy.</w:t>
      </w: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Restructuring plan announced in the first quarter of 2009.</w:t>
      </w:r>
    </w:p>
    <w:p>
      <w:pPr>
        <w:spacing w:after="0" w:line="9"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Acceleration of amortization expense recognized in connection with the vesting of share-based incentive awards held by Lazard’s former Chairman and Chief Executive Officer as a result of his death in October 2009.</w:t>
      </w:r>
    </w:p>
    <w:p>
      <w:pPr>
        <w:ind w:left="460" w:right="48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Accelerated vesting of the unamortized portion of previously awarded deferred cash incentive awards (no portion of which relates to Lazard’s former Chairman and Chief Executive Officer).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discussion of the Company’s consolidated results of operations for the years ended December 31, 2010, 2009 and 2008 is set forth below, followed by a more detailed discussion of business segment results. For comparability purposes in the discussion that follows, the respective year results are shown in tables below, as applicable, on both an “as reported” U.S. GAAP and “excluding special items” non-U.S. GAAP basis that management believes provides the most meaningful comparison between historical, present and future periods.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38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Year Ended December 31,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56"/>
              <w:spacing w:after="0" w:line="129" w:lineRule="exact"/>
              <w:rPr>
                <w:sz w:val="20"/>
                <w:szCs w:val="20"/>
                <w:color w:val="auto"/>
              </w:rPr>
            </w:pPr>
            <w:r>
              <w:rPr>
                <w:rFonts w:ascii="Arial" w:cs="Arial" w:eastAsia="Arial" w:hAnsi="Arial"/>
                <w:sz w:val="14"/>
                <w:szCs w:val="14"/>
                <w:b w:val="1"/>
                <w:bCs w:val="1"/>
                <w:color w:val="auto"/>
                <w:w w:val="87"/>
              </w:rPr>
              <w:t>Non-U.S.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Impact of</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U.S. GAAP</w:t>
            </w:r>
          </w:p>
        </w:tc>
        <w:tc>
          <w:tcPr>
            <w:tcW w:w="28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Special</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As Reported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Items (a)</w:t>
            </w:r>
          </w:p>
        </w:tc>
        <w:tc>
          <w:tcPr>
            <w:tcW w:w="4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Special Items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77"/>
              </w:rPr>
              <w:t>($ in thousands)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50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1,904,505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1,904,505</w:t>
            </w:r>
          </w:p>
        </w:tc>
        <w:tc>
          <w:tcPr>
            <w:tcW w:w="0" w:type="dxa"/>
            <w:vAlign w:val="bottom"/>
          </w:tcPr>
          <w:p>
            <w:pPr>
              <w:spacing w:after="0"/>
              <w:rPr>
                <w:sz w:val="1"/>
                <w:szCs w:val="1"/>
                <w:color w:val="auto"/>
              </w:rPr>
            </w:pPr>
          </w:p>
        </w:tc>
      </w:tr>
      <w:tr>
        <w:trPr>
          <w:trHeight w:val="290"/>
        </w:trPr>
        <w:tc>
          <w:tcPr>
            <w:tcW w:w="6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8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1,194,158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1,169,298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Non-compensation expense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368,563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8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87,108</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8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1,657,696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1,545,728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246,809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358,777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18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(7,043)</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201,424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306,349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8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  194,544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299,469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2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charges related to the previously described special items. See Notes 16, 18 and 22 of Notes to Consolidated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Year Ended December 31, 2009</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7"/>
              </w:rPr>
              <w:t>Non-U.S.</w:t>
            </w:r>
          </w:p>
        </w:tc>
        <w:tc>
          <w:tcPr>
            <w:tcW w:w="2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Impact of</w:t>
            </w: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GAAP</w:t>
            </w:r>
          </w:p>
        </w:tc>
      </w:tr>
      <w:tr>
        <w:trPr>
          <w:trHeight w:val="149"/>
        </w:trPr>
        <w:tc>
          <w:tcPr>
            <w:tcW w:w="11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gridSpan w:val="2"/>
          </w:tcPr>
          <w:p>
            <w:pPr>
              <w:jc w:val="right"/>
              <w:ind w:right="352"/>
              <w:spacing w:after="0" w:line="149" w:lineRule="exact"/>
              <w:rPr>
                <w:sz w:val="20"/>
                <w:szCs w:val="20"/>
                <w:color w:val="auto"/>
              </w:rPr>
            </w:pPr>
            <w:r>
              <w:rPr>
                <w:rFonts w:ascii="Arial" w:cs="Arial" w:eastAsia="Arial" w:hAnsi="Arial"/>
                <w:sz w:val="14"/>
                <w:szCs w:val="14"/>
                <w:b w:val="1"/>
                <w:bCs w:val="1"/>
                <w:color w:val="auto"/>
                <w:w w:val="97"/>
              </w:rPr>
              <w:t>U.S. GAAP</w:t>
            </w:r>
          </w:p>
        </w:tc>
        <w:tc>
          <w:tcPr>
            <w:tcW w:w="32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Special</w:t>
            </w: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Excluding</w:t>
            </w:r>
          </w:p>
        </w:tc>
      </w:t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As Reported</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Items (a)</w:t>
            </w:r>
          </w:p>
        </w:tc>
        <w:tc>
          <w:tcPr>
            <w:tcW w:w="520" w:type="dxa"/>
            <w:vAlign w:val="bottom"/>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Special Items</w:t>
            </w: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77"/>
              </w:rPr>
              <w:t>($ 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1,529,963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1,529,963</w:t>
            </w:r>
          </w:p>
        </w:tc>
      </w:tr>
      <w:tr>
        <w:trPr>
          <w:trHeight w:val="330"/>
        </w:trPr>
        <w:tc>
          <w:tcPr>
            <w:tcW w:w="6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7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17"/>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1,309,231</w:t>
            </w:r>
          </w:p>
        </w:tc>
        <w:tc>
          <w:tcPr>
            <w:tcW w:w="3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$147,026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1,162,205</w:t>
            </w: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Non-compensation expense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335,180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335,180</w:t>
            </w: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4,990</w:t>
            </w:r>
          </w:p>
        </w:tc>
      </w:tr>
      <w:tr>
        <w:trPr>
          <w:trHeight w:val="223"/>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Restructuring</w:t>
            </w:r>
          </w:p>
        </w:tc>
        <w:tc>
          <w:tcPr>
            <w:tcW w:w="17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62,550</w:t>
            </w:r>
          </w:p>
        </w:tc>
        <w:tc>
          <w:tcPr>
            <w:tcW w:w="360" w:type="dxa"/>
            <w:vAlign w:val="bottom"/>
          </w:tcPr>
          <w:p>
            <w:pPr>
              <w:spacing w:after="0"/>
              <w:rPr>
                <w:sz w:val="19"/>
                <w:szCs w:val="19"/>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62,550</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6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7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1,711,951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1,502,375</w:t>
            </w:r>
          </w:p>
        </w:tc>
        <w:tc>
          <w:tcPr>
            <w:tcW w:w="200" w:type="dxa"/>
            <w:vAlign w:val="bottom"/>
            <w:shd w:val="clear" w:color="auto" w:fill="CCEEFF"/>
          </w:tcPr>
          <w:p>
            <w:pPr>
              <w:spacing w:after="0"/>
              <w:rPr>
                <w:sz w:val="18"/>
                <w:szCs w:val="18"/>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2840" w:type="dxa"/>
            <w:vAlign w:val="bottom"/>
            <w:gridSpan w:val="3"/>
          </w:tcPr>
          <w:p>
            <w:pPr>
              <w:jc w:val="right"/>
              <w:ind w:right="232"/>
              <w:spacing w:after="0"/>
              <w:rPr>
                <w:sz w:val="20"/>
                <w:szCs w:val="20"/>
                <w:color w:val="auto"/>
              </w:rPr>
            </w:pPr>
            <w:r>
              <w:rPr>
                <w:rFonts w:ascii="Arial" w:cs="Arial" w:eastAsia="Arial" w:hAnsi="Arial"/>
                <w:sz w:val="18"/>
                <w:szCs w:val="18"/>
                <w:color w:val="auto"/>
              </w:rPr>
              <w:t>(181,988)</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27,588</w:t>
            </w:r>
          </w:p>
        </w:tc>
      </w:tr>
      <w:tr>
        <w:trPr>
          <w:trHeight w:val="217"/>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Provision (benefit) for income taxes</w:t>
            </w:r>
          </w:p>
        </w:tc>
        <w:tc>
          <w:tcPr>
            <w:tcW w:w="17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31,727</w:t>
            </w:r>
          </w:p>
        </w:tc>
        <w:tc>
          <w:tcPr>
            <w:tcW w:w="3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(8,967)</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40,694</w:t>
            </w:r>
          </w:p>
        </w:tc>
        <w:tc>
          <w:tcPr>
            <w:tcW w:w="200" w:type="dxa"/>
            <w:vAlign w:val="bottom"/>
            <w:shd w:val="clear" w:color="auto" w:fill="CCEEFF"/>
          </w:tcPr>
          <w:p>
            <w:pPr>
              <w:spacing w:after="0"/>
              <w:rPr>
                <w:sz w:val="18"/>
                <w:szCs w:val="18"/>
                <w:color w:val="auto"/>
              </w:rPr>
            </w:pPr>
          </w:p>
        </w:tc>
      </w:tr>
      <w:tr>
        <w:trPr>
          <w:trHeight w:val="221"/>
        </w:trPr>
        <w:tc>
          <w:tcPr>
            <w:tcW w:w="6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2840" w:type="dxa"/>
            <w:vAlign w:val="bottom"/>
            <w:gridSpan w:val="3"/>
          </w:tcPr>
          <w:p>
            <w:pPr>
              <w:jc w:val="right"/>
              <w:ind w:right="232"/>
              <w:spacing w:after="0"/>
              <w:rPr>
                <w:sz w:val="20"/>
                <w:szCs w:val="20"/>
                <w:color w:val="auto"/>
              </w:rPr>
            </w:pPr>
            <w:r>
              <w:rPr>
                <w:rFonts w:ascii="Arial" w:cs="Arial" w:eastAsia="Arial" w:hAnsi="Arial"/>
                <w:sz w:val="18"/>
                <w:szCs w:val="18"/>
                <w:color w:val="auto"/>
              </w:rPr>
              <w:t>(213,715)</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(13,106)</w:t>
            </w:r>
          </w:p>
        </w:tc>
      </w:tr>
      <w:tr>
        <w:trPr>
          <w:trHeight w:val="218"/>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7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200" w:type="dxa"/>
            <w:vAlign w:val="bottom"/>
            <w:shd w:val="clear" w:color="auto" w:fill="CCEEFF"/>
          </w:tcPr>
          <w:p>
            <w:pPr>
              <w:spacing w:after="0"/>
              <w:rPr>
                <w:sz w:val="18"/>
                <w:szCs w:val="18"/>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 (Loss) Attributable to Lazard Group</w:t>
            </w:r>
          </w:p>
        </w:tc>
        <w:tc>
          <w:tcPr>
            <w:tcW w:w="2840" w:type="dxa"/>
            <w:vAlign w:val="bottom"/>
            <w:gridSpan w:val="3"/>
          </w:tcPr>
          <w:p>
            <w:pPr>
              <w:jc w:val="right"/>
              <w:ind w:right="232"/>
              <w:spacing w:after="0"/>
              <w:rPr>
                <w:sz w:val="20"/>
                <w:szCs w:val="20"/>
                <w:color w:val="auto"/>
              </w:rPr>
            </w:pPr>
            <w:r>
              <w:rPr>
                <w:rFonts w:ascii="Arial" w:cs="Arial" w:eastAsia="Arial" w:hAnsi="Arial"/>
                <w:sz w:val="18"/>
                <w:szCs w:val="18"/>
                <w:color w:val="auto"/>
              </w:rPr>
              <w:t>$ (216,547)</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(15,938)</w:t>
            </w: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5"/>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28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5620" w:right="1060" w:hanging="5612"/>
        <w:spacing w:after="0" w:line="440" w:lineRule="auto"/>
        <w:tabs>
          <w:tab w:leader="none" w:pos="4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charges related to the previously described special items. See Notes 16, 18 and 22 of Notes to Consolidated Financial Statements. 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600" w:type="dxa"/>
            <w:vAlign w:val="bottom"/>
            <w:tcBorders>
              <w:bottom w:val="single" w:sz="8" w:color="auto"/>
            </w:tcBorders>
            <w:gridSpan w:val="6"/>
          </w:tcPr>
          <w:p>
            <w:pPr>
              <w:ind w:left="800"/>
              <w:spacing w:after="0"/>
              <w:rPr>
                <w:sz w:val="20"/>
                <w:szCs w:val="20"/>
                <w:color w:val="auto"/>
              </w:rPr>
            </w:pPr>
            <w:r>
              <w:rPr>
                <w:rFonts w:ascii="Arial" w:cs="Arial" w:eastAsia="Arial" w:hAnsi="Arial"/>
                <w:sz w:val="14"/>
                <w:szCs w:val="14"/>
                <w:b w:val="1"/>
                <w:bCs w:val="1"/>
                <w:color w:val="auto"/>
                <w:w w:val="85"/>
              </w:rPr>
              <w:t>Year Ended December 31, 2008</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Impact of</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U.S. GAAP</w:t>
            </w:r>
          </w:p>
        </w:tc>
        <w:tc>
          <w:tcPr>
            <w:tcW w:w="26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Special</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As Reported</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Item (a)</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Special Item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4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1,554,969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1,554,969</w:t>
            </w:r>
          </w:p>
        </w:tc>
        <w:tc>
          <w:tcPr>
            <w:tcW w:w="0" w:type="dxa"/>
            <w:vAlign w:val="bottom"/>
          </w:tcPr>
          <w:p>
            <w:pPr>
              <w:spacing w:after="0"/>
              <w:rPr>
                <w:sz w:val="1"/>
                <w:szCs w:val="1"/>
                <w:color w:val="auto"/>
              </w:rPr>
            </w:pPr>
          </w:p>
        </w:tc>
      </w:tr>
      <w:tr>
        <w:trPr>
          <w:trHeight w:val="330"/>
        </w:trPr>
        <w:tc>
          <w:tcPr>
            <w:tcW w:w="78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8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1,128,243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$197,550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color w:val="auto"/>
              </w:rPr>
              <w:t>Non-compensation expense</w:t>
            </w:r>
          </w:p>
        </w:tc>
        <w:tc>
          <w:tcPr>
            <w:tcW w:w="840" w:type="dxa"/>
            <w:vAlign w:val="bottom"/>
          </w:tcPr>
          <w:p>
            <w:pPr>
              <w:jc w:val="right"/>
              <w:spacing w:after="0"/>
              <w:rPr>
                <w:sz w:val="20"/>
                <w:szCs w:val="20"/>
                <w:color w:val="auto"/>
              </w:rPr>
            </w:pPr>
            <w:r>
              <w:rPr>
                <w:rFonts w:ascii="Arial" w:cs="Arial" w:eastAsia="Arial" w:hAnsi="Arial"/>
                <w:sz w:val="18"/>
                <w:szCs w:val="18"/>
                <w:color w:val="auto"/>
              </w:rPr>
              <w:t>380,101</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86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1,512,940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1,313,390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241,579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color w:val="auto"/>
              </w:rPr>
              <w:t>Provision (benefit) for income taxes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29,691</w:t>
            </w:r>
          </w:p>
        </w:tc>
        <w:tc>
          <w:tcPr>
            <w:tcW w:w="280" w:type="dxa"/>
            <w:vAlign w:val="bottom"/>
          </w:tcPr>
          <w:p>
            <w:pPr>
              <w:spacing w:after="0"/>
              <w:rPr>
                <w:sz w:val="19"/>
                <w:szCs w:val="19"/>
                <w:color w:val="auto"/>
              </w:rPr>
            </w:pP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(7,427)</w:t>
            </w: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Less – Net (Loss) Attributable to Noncontrolling Interests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(13,333)</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gridSpan w:val="3"/>
            <w:vMerge w:val="continue"/>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charges related to the previously described special item. See Notes 8 and 22 of Notes to Consolidated Financial Statements.</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9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3"/>
              </w:rPr>
              <w:t>($ in thousands)</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$2,006,754</w:t>
            </w:r>
          </w:p>
        </w:tc>
        <w:tc>
          <w:tcPr>
            <w:tcW w:w="3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$1,643,243</w:t>
            </w:r>
          </w:p>
        </w:tc>
        <w:tc>
          <w:tcPr>
            <w:tcW w:w="940" w:type="dxa"/>
            <w:vAlign w:val="bottom"/>
          </w:tcPr>
          <w:p>
            <w:pPr>
              <w:jc w:val="right"/>
              <w:spacing w:after="0"/>
              <w:rPr>
                <w:sz w:val="20"/>
                <w:szCs w:val="20"/>
                <w:color w:val="auto"/>
              </w:rPr>
            </w:pPr>
            <w:r>
              <w:rPr>
                <w:rFonts w:ascii="Arial" w:cs="Arial" w:eastAsia="Arial" w:hAnsi="Arial"/>
                <w:sz w:val="18"/>
                <w:szCs w:val="18"/>
                <w:color w:val="auto"/>
              </w:rPr>
              <w:t>$1,696,382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260" w:type="dxa"/>
            <w:vAlign w:val="bottom"/>
            <w:gridSpan w:val="2"/>
          </w:tcPr>
          <w:p>
            <w:pPr>
              <w:jc w:val="right"/>
              <w:ind w:right="212"/>
              <w:spacing w:after="0"/>
              <w:rPr>
                <w:sz w:val="20"/>
                <w:szCs w:val="20"/>
                <w:color w:val="auto"/>
              </w:rPr>
            </w:pPr>
            <w:r>
              <w:rPr>
                <w:rFonts w:ascii="Arial" w:cs="Arial" w:eastAsia="Arial" w:hAnsi="Arial"/>
                <w:sz w:val="18"/>
                <w:szCs w:val="18"/>
                <w:color w:val="auto"/>
              </w:rPr>
              <w:t>(8,277)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(13,815)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(35,358)</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2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(16,277)</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(6,965)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$1,982,200</w:t>
            </w:r>
          </w:p>
        </w:tc>
        <w:tc>
          <w:tcPr>
            <w:tcW w:w="3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$1,622,463</w:t>
            </w:r>
          </w:p>
        </w:tc>
        <w:tc>
          <w:tcPr>
            <w:tcW w:w="940" w:type="dxa"/>
            <w:vAlign w:val="bottom"/>
          </w:tcPr>
          <w:p>
            <w:pPr>
              <w:jc w:val="right"/>
              <w:spacing w:after="0"/>
              <w:rPr>
                <w:sz w:val="20"/>
                <w:szCs w:val="20"/>
                <w:color w:val="auto"/>
              </w:rPr>
            </w:pPr>
            <w:r>
              <w:rPr>
                <w:rFonts w:ascii="Arial" w:cs="Arial" w:eastAsia="Arial" w:hAnsi="Arial"/>
                <w:sz w:val="18"/>
                <w:szCs w:val="18"/>
                <w:color w:val="auto"/>
              </w:rPr>
              <w:t>$1,674,372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expense incurred by LFB is reported as a charge in determining operating revenue because LFB is a commercial bank and we consider its interest expense to be a cost directly related to the revenues of its business.</w:t>
      </w:r>
    </w:p>
    <w:p>
      <w:pPr>
        <w:ind w:left="460" w:right="6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 Further, such results are offset by a charge or credit to noncontrolling interests.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ratios, statistics and headcount information for the years ended December 31, 2010, 2009 and 2008 are set forth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880" w:type="dxa"/>
            <w:vAlign w:val="bottom"/>
            <w:gridSpan w:val="3"/>
            <w:shd w:val="clear" w:color="auto" w:fill="CCEEFF"/>
          </w:tcPr>
          <w:p>
            <w:pPr>
              <w:jc w:val="right"/>
              <w:ind w:right="326"/>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Other</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880" w:type="dxa"/>
            <w:vAlign w:val="bottom"/>
            <w:gridSpan w:val="3"/>
          </w:tcPr>
          <w:p>
            <w:pPr>
              <w:jc w:val="right"/>
              <w:ind w:right="326"/>
              <w:spacing w:after="0"/>
              <w:rPr>
                <w:sz w:val="20"/>
                <w:szCs w:val="20"/>
                <w:color w:val="auto"/>
              </w:rPr>
            </w:pPr>
            <w:r>
              <w:rPr>
                <w:rFonts w:ascii="Arial" w:cs="Arial" w:eastAsia="Arial" w:hAnsi="Arial"/>
                <w:sz w:val="18"/>
                <w:szCs w:val="18"/>
                <w:color w:val="auto"/>
                <w:w w:val="99"/>
              </w:rPr>
              <w:t>100%</w:t>
            </w:r>
          </w:p>
        </w:tc>
        <w:tc>
          <w:tcPr>
            <w:tcW w:w="160" w:type="dxa"/>
            <w:vAlign w:val="bottom"/>
          </w:tcPr>
          <w:p>
            <w:pPr>
              <w:spacing w:after="0"/>
              <w:rPr>
                <w:sz w:val="19"/>
                <w:szCs w:val="19"/>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100%</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80" w:type="dxa"/>
            <w:vAlign w:val="bottom"/>
            <w:gridSpan w:val="5"/>
          </w:tcPr>
          <w:p>
            <w:pPr>
              <w:ind w:left="460"/>
              <w:spacing w:after="0"/>
              <w:rPr>
                <w:sz w:val="20"/>
                <w:szCs w:val="20"/>
                <w:color w:val="auto"/>
              </w:rPr>
            </w:pPr>
            <w:r>
              <w:rPr>
                <w:rFonts w:ascii="Arial" w:cs="Arial" w:eastAsia="Arial" w:hAnsi="Arial"/>
                <w:sz w:val="18"/>
                <w:szCs w:val="18"/>
                <w:color w:val="auto"/>
                <w:w w:val="94"/>
              </w:rPr>
              <w:t>See Note 22 of Notes to Consolidated Financial Statements for additional financial information on a geographic basis.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420" w:type="dxa"/>
            <w:vAlign w:val="bottom"/>
            <w:gridSpan w:val="2"/>
          </w:tcPr>
          <w:p>
            <w:pPr>
              <w:spacing w:after="0"/>
              <w:rPr>
                <w:sz w:val="12"/>
                <w:szCs w:val="12"/>
                <w:color w:val="auto"/>
              </w:rPr>
            </w:pPr>
          </w:p>
        </w:tc>
        <w:tc>
          <w:tcPr>
            <w:tcW w:w="46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94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82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58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64</w:t>
            </w:r>
          </w:p>
        </w:tc>
        <w:tc>
          <w:tcPr>
            <w:tcW w:w="1580" w:type="dxa"/>
            <w:vAlign w:val="bottom"/>
            <w:gridSpan w:val="5"/>
          </w:tcPr>
          <w:p>
            <w:pPr>
              <w:jc w:val="right"/>
              <w:ind w:right="64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58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999</w:t>
            </w:r>
          </w:p>
        </w:tc>
        <w:tc>
          <w:tcPr>
            <w:tcW w:w="158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990</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420" w:type="dxa"/>
            <w:vAlign w:val="bottom"/>
            <w:gridSpan w:val="2"/>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1,131</w:t>
            </w:r>
          </w:p>
        </w:tc>
        <w:tc>
          <w:tcPr>
            <w:tcW w:w="16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1,091</w:t>
            </w:r>
          </w:p>
        </w:tc>
        <w:tc>
          <w:tcPr>
            <w:tcW w:w="6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2,332</w:t>
            </w:r>
          </w:p>
        </w:tc>
        <w:tc>
          <w:tcPr>
            <w:tcW w:w="158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2,294</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8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reflected in the tables of consolidated results of operations above, charges related to the 2010, 2009 and 2008 special items had a significant impact on the Company’s reported operating results. Lazard management believes that comparisons between years are most meaningful after excluding the impact of such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2010 versus December 31, 2009</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reported net income attributable to Lazard Group of $195 million, as compared to a net loss of $217 million in 2009. In both years these results were adversely affected by the 2010 and the 2009 special items, which served to reduce the net income attributable to Lazard Group in 2010 and 2009 by $105 million and $201 million, respectively. Excluding the after-tax impact of the 2010 and 2009 special items in each year, net income attributable to Lazard Group in 2010 was $299 million, an increase of $315 million as compared to the prior year. The changes in the Company’s operating results during these years are described below.</w:t>
      </w:r>
    </w:p>
    <w:p>
      <w:pPr>
        <w:spacing w:after="0" w:line="129"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Net revenue increased $375 million, or 24%, as compared to 2009, with operating revenue increasing $360 million, or 22%. Fees from investment banking and other advisory activities increased $149 million, or 16%, including increases of $188 million, or 36%, in M&amp;A and Strategic Advisory fees, as well as higher Capital Markets and Other Advisory fees, principally from our Private Fund Advisory Group business, with the latter due to an increase in the value and number of fund closings, which in the aggregate was partially offset by a $83 million, or 22%, decline in Restructuring fee revenues reflecting a reduction in restructuring activity as the economy improved and the number of corporate debt defaults declined. Money management fees, including incentive fees, increased $249 million, or 44%, principally due to a $33 billion, or 32%, increase in average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AUM for 2010, the result of market appreciation and net inflows during the last twelve months, a favorable change in the mix of AUM into higher margin equity products, and higher incentive fees earned in 2010. Interest income decreased $9 million, or 28%, due primarily to the lower interest rate environment. Other revenue decreased $25 million, or 28%, primarily due to a $17 million, or 59%, decline in underwriting fees as a result of a lower level of equity capital markets transactions, and foreign exchange losses, as compared to gains in 2009. Other revenue in 2010 includes investment gains of $19 million, as compared to gains of $20 million in 2009. The investment gains in 2010 are net of realized losses of $14 million in connection with the sale in the fourth quarter of LFB’s portfolio, while the gains in 2009 are net of a $13 million write-off of the Company’s investment in warrants of Sapphire Industrials Corp. (“Sapphire”), a special purpose acquisition company sponsored by Lazard. Interest expense decreased $11 million, or 10%, due to the lower interest rate environment and reduced levels of LFB’s customer deposits.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Compensation and benefits expense, including the 2010 and 2009 special items of $25 million and $147 million, respectively, decreased $115 million in 2010, or 9%. When excluding the 2010 and 2009 special items, compensation and benefits expense increased $7 million, or 1%, which includes an increase in base salaries, the provision for discretionary compensation and profit pools directly related to the increase in operating revenue and principally offset by a reduction in the amortization of share-based and deferred cash incentive awards. Compensation and benefits expense, excluding the 2010 and 2009 special items, was 59.0% and 71.6% of operating revenue for 2010 and 2009, respectively. The reduction in the compensation ratio for 2010 is due primarily to operating revenue leverage and the execution of our previously announced goal to grow annual compensation expense at a slower rate than operating revenue.</w:t>
      </w:r>
    </w:p>
    <w:p>
      <w:pPr>
        <w:spacing w:after="0" w:line="10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Non-compensation expense increased $33 million, or 10%. Factors contributing to this increase include higher spending on travel and other business development activities, technology and fund administration expenses related to a higher level of business activity and AUM. The ratio of non-compensation expense to operating revenue was 18.6% as compared to 20.7% of operating revenue for 2009.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$3 million, principally due to the Edgewater acquisition in July 2009.</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first quarters of 2010 and 2009, the Company announced plans to reduce certain staff and realign personnel. As a result, the 2010 and 2009 special items include restructuring charges of $87 million and $63 million, respectively,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Operating income for 2010 was $247 million, as compared to an operating loss of $182 million in the prior year (with such amounts including the impact of the 2010 and 2009 special items) and, as a percentage of net revenue, was 13% as compared to (12)% in 2009. Excluding the impact of the 2010 and 2009 special items in each year, operating income was $359 million, an increase of $331 million, as compared to an operating income of $28 million in 2009, and, as a percentage of net revenue, was 19%, as compared to 2%, respectively.</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provision for income taxes was $45 million and $32 million in 2010 and 2009, respectively, representing effective tax rates of 18.4% and (17.4)% in 2010 and 2009, respectively. When excluding the tax benefits of $7 million and $9 million relating to the 2010 and 2009 special items, respectively, the income tax provision was $52 million in 2010 compared to $41 million in 2009, representing effective tax rates of 14.6% and 147.5% in 2010 and 2009, respectively. The reduction in the effective tax rate in 2010 is principally due to a change in the geographic mix of operating income between the respective years.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$4 million, as compared to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Company reported a net loss attributable to Lazard Group of $217 million for the year ended December 31, 2009, a decrease of $243 million, as compared to net income of $26 million in 2008. Such decrease was, in part, the result of the 2009 special items, which in the aggregate served to reduce net income attributable to Lazard Group by $201 million. Partially offsetting such items was the impact in 2008 of the 2008 special item, which reduced net income attributable to Lazard Group in that year by $192 million. Excluding the after-tax impact of the 2009 and 2008 special items, the net loss attributable to Lazard Group in the year ended December 31, 2009 was $16 million, a decrease of $234 million, or 107%, as compared to 2008. Such reduction in net income attributable to Lazard Group in 2009 was primarily affected by higher amounts relating to compensation and benefits expense due to (i) a change in the Company’s compensation policy, which resulted in an increase in the cash component of compensation (which is expensed currently), and a decrease in the aggregate amount of compensation amortizable over future periods, and (ii) an increased amount of amortization expense related to previously granted equity-based incentive compensation and the current year portion of the previously awarded deferred cash incentive awards, partially offset by reductions in non-compensation expense, income taxes and net income attributable to noncontrolling interests. The change in the Company’s compensation policy was designed to reduce future amortization expense associated with the equity-based compensation component, to allow greater flexibility in the future to address competitive conditions, to more closely align the current pay cycle with reported compensation and revenues, and to maintain significant retention mechanisms by focusing stock grant awards at the more senior levels, where they are more highly effective and valued.</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 decreased $25 million, or 2%, for the year ended December 31, 2009, as compared to 2008, with operating revenue decreasing $52 million, or 3%, as compared to 2008. Fees from investment banking and other advisory activities decreased $35 million, or 4%, as compared to 2008, principally reflecting a change in the composition of advisory activities as a $288 million, or 35%, decline in M&amp;A and Strategic Advisory revenue, was partially offset by a $257 million, or 216%, increase in Restructuring revenue, which includes fees for advising on distressed asset sales. Money management fees in 2009, including incentive fees, decreased $40 million, or 7%, as compared to 2008, due to a $19 billion, or 15%, decline in average AUM for the year ended December 31, 2009 versus 2008, primarily as the result of market depreciation experienced in 2008 and the first quarter of 2009, partially offset by higher incentive fees earned in 2009. Interest income decreased $47 million, or 58%, due primarily to a lower interest rate environment, combined with lower average cash balances and deposits with banks. Other revenue increased $69 million in the year ended December 31, 2009, as compared to 2008, principally due to investment income of $18 million in the Company’s investment portfolio, versus an aggregate loss of $53 million in LFB’s corporate debt portfolio (redesignated as “available-for-sale” effective July 1, 2008) and the Company’s investment portfolio in 2008. With respect to the latter, during 2009, the Company had in place a hedging strategy to minimize its risks associated with volatility in the equity markets. Partially offsetting the increase in other revenue in 2009 was a $13 million write-off relating to the Company’s investment in warrants of Sapphire. Interest expense for the year ended December 31, 2009 decreased $28 million, or 20%, primarily related to the Company’s May 2008 repurchase of $437 million aggregate principal amount of its 6.12% senior notes in connection with the remarketing of such notes, the partial repurchases of other senior notes, as well as a lower interest rate environment and reduced levels of LFB’s customer deposits.</w:t>
      </w:r>
    </w:p>
    <w:p>
      <w:pPr>
        <w:spacing w:after="0" w:line="11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Compensation and benefits expense for the year ended December 31, 2009 increased $181 million, as compared to 2008. Compensation and benefits expense in 2009 included special items aggregating $147 million, whereas the 2008 special item included a charge of approximately $197 million. When excluding the 2009 and 2008 special items, compensation and benefits expense increased $232 million, reflecting a change in the Company’s compensation policy as previously described, and the impact of an increase in the amortization expense associated with previously granted share-based incentive awards and the current year portion of the previously awarded deferred cash incentive awards. Compensation and benefits expense, excluding the 2009 and 2008 special items, was 71.6% and 55.6% of operating revenue in the years ended December 31, 2009 and 2008,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Non-compensation expense for the year ended December 31, 2009 decreased $45 million, or 12%, as compared to 2008. Factors contributing to the decrease were (i) charges in 2008 comprised of the $12 million provision for losses from counterparty defaults related primarily to the bankruptcy filing of one of our prime brokers and the $2 million charge relating to the 2008 special item, (ii) lower spending on travel and other business development activities, lower consulting and recruiting fees and (iii) the strengthening of the U.S. dollar versus foreign currencies. The ratio of non-compensation expense to operating revenue was 20.7% for the year ended December 31, 2009, as compared to 22.7% of operating revenue for 2008.</w:t>
      </w:r>
    </w:p>
    <w:p>
      <w:pPr>
        <w:spacing w:after="0" w:line="1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Amortization of intangible assets for the year ended December 31, 2009 was essentially unchanged principally due to lower amortization of intangibles related to the acquisitions of Goldsmith, Agio, Helms &amp; Lynner and Carnegie, Wylie &amp; Company (Holdings) PTY LTD, partially offset by the increase related to the Edgewater Acquisition.</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announced in the first quarter of 2009, we continued to redeploy our banking professionals into growth areas and reduced staffing in other areas to further optimize our mix of personnel. As a result, the 2009 special items include a pre-tax restructuring charge of $63 million in connection with severance and benefit payments, the acceleration of unrecognized expense pertaining to share-based incentive awards previously granted to individuals who were terminated and certain other costs related to the restructuring initiative.</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Operating loss for the year ended December 31, 2009 was $182 million, a decrease of $224 million as compared to an operating income of $42 million in 2008 (with such amounts including the impact of the 2009 and 2008 special items) and, as a percentage of net revenue, was (12)% as compared to operating income of 3% in 2008. Excluding the impact of the 2009 and 2008 special items, operating income in 2009 was $28 million, a decline of $214 million, or 89%, as compared to operating income in 2008 of $242 million, and, as a percentage of net revenue, was 2% in 2009, as compared to 16% in 2008.</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provision for income taxes for the year ended December 31, 2009 was $32 million, an increase of $2 million, as compared to a tax provision of $30 million in 2008. When excluding the tax benefits of $9 million and $7 million relating to the 2009 and 2008 special items, respectively, the income tax provision in 2009 increased $4 million, with such decrease principally due to the decline in operating income in 2009 as compared to 2008 and valuation allowance changes affecting the provision for income taxes. The Company’s effective tax rate was (17.4)% for the year ended December 31, 2009, as compared to 70.6% in 2008. When excluding the 2009 and 2008 special items, the effective tax rate was 147.5% in 2009, as compared to 15.4% in 2008.</w:t>
      </w:r>
    </w:p>
    <w:p>
      <w:pPr>
        <w:spacing w:after="0" w:line="10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Net income attributable to noncontrolling interests for the year ended December 31, 2009 increased $16 million, as compared to 2008, due to the Edgewater acquisition in 2009 and net change in LAM GP-related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are presented, as applicable, on an “as reported” and “excluding special items” basis (see Note 22 of Notes to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following tables summarize the operating results of the Financial Advisory segment for the years ended December 31, 2010, 2009 and 2008. Operating results for 2010 and 2009 are shown before and after the charges attributable to the Financial Advisory segment related to the 2010 and 2009 special items.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Year Ended</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December 31, 2010</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December 31, 2009</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 2008</w:t>
            </w: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Non-</w:t>
            </w:r>
          </w:p>
        </w:tc>
        <w:tc>
          <w:tcPr>
            <w:tcW w:w="4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U.S. GAAP</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Impact</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U.S. GAAP</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U.S. GAAP</w:t>
            </w:r>
          </w:p>
        </w:tc>
        <w:tc>
          <w:tcPr>
            <w:tcW w:w="42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Impact of</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Excluding</w:t>
            </w:r>
          </w:p>
        </w:tc>
        <w:tc>
          <w:tcPr>
            <w:tcW w:w="2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U.S. GAAP</w:t>
            </w:r>
          </w:p>
        </w:tc>
        <w:tc>
          <w:tcPr>
            <w:tcW w:w="36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5"/>
              </w:rPr>
              <w:t>of</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Excluding</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As</w:t>
            </w:r>
          </w:p>
        </w:tc>
        <w:tc>
          <w:tcPr>
            <w:tcW w:w="4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Special</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Special</w:t>
            </w:r>
          </w:p>
        </w:tc>
        <w:tc>
          <w:tcPr>
            <w:tcW w:w="26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As</w:t>
            </w:r>
          </w:p>
        </w:tc>
        <w:tc>
          <w:tcPr>
            <w:tcW w:w="36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Special</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Special</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Item (a)</w:t>
            </w:r>
          </w:p>
        </w:tc>
        <w:tc>
          <w:tcPr>
            <w:tcW w:w="4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Item (b)</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Reported</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Item (a)</w:t>
            </w:r>
          </w:p>
        </w:tc>
        <w:tc>
          <w:tcPr>
            <w:tcW w:w="4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Item (b)</w:t>
            </w:r>
          </w:p>
        </w:tc>
        <w:tc>
          <w:tcPr>
            <w:tcW w:w="4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Reported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6"/>
          </w:tcPr>
          <w:p>
            <w:pPr>
              <w:ind w:left="240"/>
              <w:spacing w:after="0" w:line="142" w:lineRule="exact"/>
              <w:rPr>
                <w:sz w:val="20"/>
                <w:szCs w:val="20"/>
                <w:color w:val="auto"/>
              </w:rPr>
            </w:pPr>
            <w:r>
              <w:rPr>
                <w:rFonts w:ascii="Arial" w:cs="Arial" w:eastAsia="Arial" w:hAnsi="Arial"/>
                <w:sz w:val="14"/>
                <w:szCs w:val="14"/>
                <w:b w:val="1"/>
                <w:bCs w:val="1"/>
                <w:color w:val="auto"/>
              </w:rPr>
              <w:t>($ in thousands)</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M&amp;A and Strategic Advisory</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$714,059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$714,059</w:t>
            </w:r>
          </w:p>
        </w:tc>
        <w:tc>
          <w:tcPr>
            <w:tcW w:w="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$526,225</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$526,225</w:t>
            </w:r>
          </w:p>
        </w:tc>
        <w:tc>
          <w:tcPr>
            <w:tcW w:w="12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$ 814,660</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Restructuring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293,875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293,875</w:t>
            </w:r>
          </w:p>
        </w:tc>
        <w:tc>
          <w:tcPr>
            <w:tcW w:w="240" w:type="dxa"/>
            <w:vAlign w:val="bottom"/>
          </w:tcPr>
          <w:p>
            <w:pPr>
              <w:spacing w:after="0"/>
              <w:rPr>
                <w:sz w:val="12"/>
                <w:szCs w:val="12"/>
                <w:color w:val="auto"/>
              </w:rPr>
            </w:pP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376,710</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376,710</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119,283</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Markets and Other Advisory</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111,933</w:t>
            </w: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111,933</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83,885</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83,885</w:t>
            </w:r>
          </w:p>
        </w:tc>
        <w:tc>
          <w:tcPr>
            <w:tcW w:w="12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88,970</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4"/>
                <w:szCs w:val="14"/>
                <w:color w:val="auto"/>
              </w:rPr>
              <w:t>Net Revenue</w:t>
            </w: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vMerge w:val="continue"/>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1,119,867</w:t>
            </w: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1,119,867</w:t>
            </w:r>
          </w:p>
        </w:tc>
        <w:tc>
          <w:tcPr>
            <w:tcW w:w="240" w:type="dxa"/>
            <w:vAlign w:val="bottom"/>
          </w:tcPr>
          <w:p>
            <w:pPr>
              <w:spacing w:after="0"/>
              <w:rPr>
                <w:sz w:val="13"/>
                <w:szCs w:val="13"/>
                <w:color w:val="auto"/>
              </w:rPr>
            </w:pPr>
          </w:p>
        </w:tc>
        <w:tc>
          <w:tcPr>
            <w:tcW w:w="9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986,820</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986,820</w:t>
            </w:r>
          </w:p>
        </w:tc>
        <w:tc>
          <w:tcPr>
            <w:tcW w:w="12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1,022,913</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 (c)</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950,968</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$19,571</w:t>
            </w:r>
          </w:p>
        </w:tc>
        <w:tc>
          <w:tcPr>
            <w:tcW w:w="4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931,397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998,727</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$ 48,533</w:t>
            </w:r>
          </w:p>
        </w:tc>
        <w:tc>
          <w:tcPr>
            <w:tcW w:w="4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950,194</w:t>
            </w:r>
          </w:p>
        </w:tc>
        <w:tc>
          <w:tcPr>
            <w:tcW w:w="40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796,970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40" w:type="dxa"/>
            <w:vAlign w:val="bottom"/>
          </w:tcPr>
          <w:p>
            <w:pPr>
              <w:spacing w:after="0" w:line="155" w:lineRule="exact"/>
              <w:rPr>
                <w:sz w:val="20"/>
                <w:szCs w:val="20"/>
                <w:color w:val="auto"/>
              </w:rPr>
            </w:pPr>
            <w:r>
              <w:rPr>
                <w:rFonts w:ascii="Arial" w:cs="Arial" w:eastAsia="Arial" w:hAnsi="Arial"/>
                <w:sz w:val="14"/>
                <w:szCs w:val="14"/>
                <w:color w:val="auto"/>
              </w:rPr>
              <w:t>Operating Income</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$168,899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$188,470</w:t>
            </w:r>
          </w:p>
        </w:tc>
        <w:tc>
          <w:tcPr>
            <w:tcW w:w="240" w:type="dxa"/>
            <w:vAlign w:val="bottom"/>
          </w:tcPr>
          <w:p>
            <w:pPr>
              <w:spacing w:after="0"/>
              <w:rPr>
                <w:sz w:val="13"/>
                <w:szCs w:val="13"/>
                <w:color w:val="auto"/>
              </w:rPr>
            </w:pPr>
          </w:p>
        </w:tc>
        <w:tc>
          <w:tcPr>
            <w:tcW w:w="98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$(11,907)</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$ 36,626</w:t>
            </w:r>
          </w:p>
        </w:tc>
        <w:tc>
          <w:tcPr>
            <w:tcW w:w="12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$ 225,943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Income, As A Percentage Of Net Revenue</w:t>
            </w:r>
          </w:p>
        </w:tc>
        <w:tc>
          <w:tcPr>
            <w:tcW w:w="2120" w:type="dxa"/>
            <w:vAlign w:val="bottom"/>
            <w:gridSpan w:val="2"/>
            <w:shd w:val="clear" w:color="auto" w:fill="CCEEFF"/>
          </w:tcPr>
          <w:p>
            <w:pPr>
              <w:jc w:val="right"/>
              <w:ind w:right="1340"/>
              <w:spacing w:after="0"/>
              <w:rPr>
                <w:sz w:val="20"/>
                <w:szCs w:val="20"/>
                <w:color w:val="auto"/>
              </w:rPr>
            </w:pPr>
            <w:r>
              <w:rPr>
                <w:rFonts w:ascii="Arial" w:cs="Arial" w:eastAsia="Arial" w:hAnsi="Arial"/>
                <w:sz w:val="14"/>
                <w:szCs w:val="14"/>
                <w:color w:val="auto"/>
              </w:rPr>
              <w:t>15%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17%</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22%</w:t>
            </w:r>
          </w:p>
        </w:tc>
      </w:tr>
      <w:tr>
        <w:trPr>
          <w:trHeight w:val="20"/>
        </w:trPr>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07"/>
        </w:trPr>
        <w:tc>
          <w:tcPr>
            <w:tcW w:w="1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spacing w:after="0"/>
              <w:rPr>
                <w:sz w:val="12"/>
                <w:szCs w:val="12"/>
                <w:color w:val="auto"/>
              </w:rPr>
            </w:pPr>
          </w:p>
        </w:tc>
        <w:tc>
          <w:tcPr>
            <w:tcW w:w="54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0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(d):</w:t>
            </w: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2"/>
              </w:rPr>
              <w:t>All other professionals and support staff</w:t>
            </w: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r>
      <w:tr>
        <w:trPr>
          <w:trHeight w:val="222"/>
        </w:trPr>
        <w:tc>
          <w:tcPr>
            <w:tcW w:w="38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1,024</w:t>
            </w:r>
          </w:p>
        </w:tc>
        <w:tc>
          <w:tcPr>
            <w:tcW w:w="1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portion of the 2010 and 2009 special items attributable to the Financial Advisory segment (see Note 22 of Notes to Consolidated Financial Statements).</w:t>
      </w: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1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860" w:type="dxa"/>
            <w:vAlign w:val="bottom"/>
          </w:tcPr>
          <w:p>
            <w:pPr>
              <w:spacing w:after="0"/>
              <w:rPr>
                <w:sz w:val="12"/>
                <w:szCs w:val="12"/>
                <w:color w:val="auto"/>
              </w:rPr>
            </w:pPr>
          </w:p>
        </w:tc>
        <w:tc>
          <w:tcPr>
            <w:tcW w:w="5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 (a)</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(b)</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were no individual clients that constituted more than 10% of our Financial Advisory segment net revenue in the years ended December 31, 2010, 2009 or 2008.</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Thomson Financial as of January 7, 2011.</w:t>
      </w:r>
    </w:p>
    <w:p>
      <w:pPr>
        <w:spacing w:after="0" w:line="15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(principally in the U.K., France, Italy, Spain and Germany) and the rest of the world (principally in Australia). However, such distribution is not reflective of the geography in which the clients are located.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86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20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00" w:type="dxa"/>
            <w:vAlign w:val="bottom"/>
            <w:gridSpan w:val="3"/>
          </w:tcPr>
          <w:p>
            <w:pPr>
              <w:jc w:val="right"/>
              <w:ind w:right="720"/>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reflected in the tables of operating results of the Financial Advisory segment above, the portion of the 2010 and 2009 special items attributable to the Financial Advisory segment had a significant impact on the segment’s reported operating results for such years. Lazard management believes that comparisons between years are most meaningful after excluding the impact of such items.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2010 versus December 31, 2009</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Financial Advisory net revenue increased $133 million, or 13%, as compared to 2009, reflecting increases in M&amp;A and Strategic Advisory revenue of $188 million, or 36% and Capital Markets and Other Advisory net revenue of $28 million, or 33%, partially offset by declines in Restructuring revenue of $83 million, or 22%.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increase in M&amp;A and Strategic Advisory revenue was principally due to higher average fees per M&amp;A and Strategic Advisory assignment. Our major clients, which in the aggregate represented 25% of our M&amp;A and Strategic Advisory revenue for the year, included 3G Capital, Abraxis Bioscience, Coca-Cola Enterprises, Continental Airlines, Cote d’Ivoire, Kraft Foods, Marken, Newcrest Mining, Ocarina Trust, Royal Bank of Scotland Group and SSL International.</w:t>
      </w:r>
    </w:p>
    <w:p>
      <w:pPr>
        <w:spacing w:after="0" w:line="9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The decrease in Restructuring revenue was principally driven by a significant decline in retainer fees due to a decline in the number of active assignments in 2010 as compared to the prior year. Notable assignments completed in 2010 included Alliance Bank Joint Stock Company, BTA Bank JSC, Evraz Group, Extended Stay Deluxe Studios and LNR Property.</w:t>
      </w:r>
    </w:p>
    <w:p>
      <w:pPr>
        <w:spacing w:after="0" w:line="99"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increase in Capital Markets and Other Advisory net revenue principally reflected increased revenue in our Private Fund Advisory Group, resulting from an increase in the number and value of fund closings, and was partially offset by decreases in underwriting fees from public offerings.</w:t>
      </w:r>
    </w:p>
    <w:p>
      <w:pPr>
        <w:spacing w:after="0" w:line="72"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Operating expenses decreased $48 million, or 5%, as compared to 2009. Excluding the impact of the 2010 and 2009 special items attributable to the Financial Advisory segment, operating expenses decreased $19 million, or 2%. The principal contributor to the decrease was a decline in the amortization of share-based and deferred cash incentive compensation awards, which was partially offset by a higher provision for discretionary compensation related to the increase in operating revenue, as well as higher costs related to travel, other business development and technology expenses.</w:t>
      </w:r>
    </w:p>
    <w:p>
      <w:pPr>
        <w:spacing w:after="0" w:line="9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Financial Advisory operating income was $169 million, an increase of $181 million, as compared to the 2009 period, and represented 15% of segment net revenues in 2010. Excluding the impact of the 2010 and 2009 special items attributable to the Financial Advisory segment, operating income in 2010 increased $152 million, and represented 17% of segment net revenues, as compared to 4% in 2009.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For the year ended December 31, 2009, Financial Advisory net revenue decreased $36 million, or 4%, as compared to 2008, reflecting decreases in M&amp;A and Strategic Advisory revenue of $288 million, or 35%, and Capital Markets and Other Advisory net revenue of $5 million, or 6%, which were substantially offset by Restructuring revenue (including fees for advising on distressed asset sales), which increased $257 million, or 216%.</w:t>
      </w:r>
    </w:p>
    <w:p>
      <w:pPr>
        <w:spacing w:after="0" w:line="9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decrease in M&amp;A and Strategic Advisory revenue for the year ended December 31, 2009 was principally due to the adverse economic and market conditions described above, which resulted in lower average fees per transaction for M&amp;A and Strategic Advisory clients, as well as those clients generating fee revenues greater than $1 million. However, throughout 2009, M&amp;A and Strategic Advisory quarterly revenue improved sequentially, with revenue in the second half of 2009 up 28%, as compared to the first half of 2009. Our major clients, which in the aggregate represented 25% of our M&amp;A and Strategic Advisory revenue for the year, included Acciona, Anheuser-Busch InBev, Barclays, Caisse d’Epargne, Republic of Ecuador, SFGI-FPIM, GlaxoSmithKline, Haas Family Trusts, IBM and Saint-Gobain.</w:t>
      </w:r>
    </w:p>
    <w:p>
      <w:pPr>
        <w:spacing w:after="0" w:line="13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Restructuring revenue during the year ended December 31, 2009 increased significantly as compared to 2008 due to the significant increases in defaults and in-court and out-of-court restructurings. Notable assignments completed in 2009 included Cemex, Charter Communications, Lehman Brothers, Nortel Networks and the UAW.</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decrease in Capital Markets and Other Advisory net revenue reflected decreases in the value of fund closings by our Private Fund Advisory Group and private placements by our Capital Markets Group, as well as declines in Equity Capital Markets transactions, all of which were impacted by the uncertainty of the financial markets during 2009.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Operating expenses for the year ended December 31, 2009 increased $202 million, or 25%, as compared to 2008. Excluding the impact of the 2009 special item attributable to the Financial Advisory segment, operating expenses increased $153 million, or 19%, as compared to 2008. Contributing to the increase was the change in the Company’s compensation policy as previously described, an increase in the amortization expense associated with previously granted share-based incentive awards and the current year portion of the previously awarded deferred cash incentive awards, which were partially offset by lower salaries and benefits due to the impact of the staff reductions associated with the restructuring program implemented during the first quarter of 2009, the strengthening of the U.S. dollar versus foreign currencies, and lower costs related to travel and other business development expenses, including recruiting, technology expenses and amortization of intangible assets.</w:t>
      </w:r>
    </w:p>
    <w:p>
      <w:pPr>
        <w:spacing w:after="0" w:line="10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Financial Advisory operating loss for 2009 was $12 million, a decrease of $238 million as compared to 2008, and represented (1)% of segment net revenues for 2009, as compared to 22% in 2008. Excluding the impact of the 2009 special item attributable to the Financial Advisory segment, operating income decreased $189 million and represented 4% of segment net revenues in 2009, as compared to 22% in 2008.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As of December 31,</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10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7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International Equities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32,037</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$ 32,268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77,965</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58,332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U.S. Equities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21,298</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16,003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131,300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106,603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European and International Fixed Income</w:t>
            </w: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vMerge w:val="continue"/>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12,249</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13,763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1,705</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U.S. Fixed Income</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3,190</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2,499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17,144</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18,056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Alternative Investments</w:t>
            </w: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40" w:type="dxa"/>
            <w:vAlign w:val="bottom"/>
            <w:vMerge w:val="continue"/>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5,524</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3,936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1,294</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Cash Management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109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155,337</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129,543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Average AUM for the years ended December 31, 2010, 2009 and 2008 is set forth below. Average AUM is based on an average of quarterly ending balances for the respective periods.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40" w:type="dxa"/>
            <w:vAlign w:val="bottom"/>
          </w:tcPr>
          <w:p>
            <w:pPr>
              <w:spacing w:after="0"/>
              <w:rPr>
                <w:sz w:val="12"/>
                <w:szCs w:val="12"/>
                <w:color w:val="auto"/>
              </w:rPr>
            </w:pPr>
          </w:p>
        </w:tc>
        <w:tc>
          <w:tcPr>
            <w:tcW w:w="68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1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66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8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9"/>
              </w:rPr>
              <w:t>$ in millions)</w:t>
            </w:r>
          </w:p>
        </w:tc>
        <w:tc>
          <w:tcPr>
            <w:tcW w:w="4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137,381</w:t>
            </w:r>
          </w:p>
        </w:tc>
        <w:tc>
          <w:tcPr>
            <w:tcW w:w="154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103,988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122,828</w:t>
            </w:r>
          </w:p>
        </w:tc>
        <w:tc>
          <w:tcPr>
            <w:tcW w:w="100" w:type="dxa"/>
            <w:vAlign w:val="bottom"/>
            <w:shd w:val="clear" w:color="auto" w:fill="CCEEFF"/>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Total AUM at December 31, 2010 increased $26 billion, or 20%, as compared to that at December 31, 2009. Average AUM for the year ended December 31, 2010 was 32% higher than the average AUM for 2009, principally the result of market appreciation (which was generally consistent with the industry as a whole) and net inflows occurring during 2010. International, Global and U.S. equities represented 21%, 50% and 14% of total AUM at December 31, 2010, respectively, versus 25%, 45% and 12% of total AUM at December 31, 2009,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Total AUM at December 31, 2009 increased $38.4 billion, or 42%, as compared to that at December 31, 2008. While average AUM for the year ended December 31, 2009 was 15% lower than the average AUM for 2008, average AUM increased sequentially by quarter during 2009. International, Global and U.S. equities represented 25%, 45% and 12% of total AUM at December 31, 2009, respectively, versus 27%, 35% and 14% of total AUM at December 31, 2008, respectively.</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2010, approximately 90% of our AUM was managed on behalf of institutional clients, including corporations, labor unions, public pension funds, insurance companies and banks, and through sub-advisory relationships, mutual fund sponsors, broker-dealers and registered advisors versus 89% as of December 31, 2009, and, as of December 31, 2010, 10% of our AUM was managed on behalf of individual client relationships, which are principally with family offices and high-net worth individuals, versus 11% at December 31, 2009.</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December 31, 2010, AUM denominated in foreign currencies represented approximately 40% of our total AUM, as compared to 45% at December 31, 2009. Foreign denominated AUM declines in value with the strengthening of the U.S. dollar and increases in value as the U.S. dollar weakens.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years ended December 31, 2010, 2009 and 2008.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8"/>
              </w:rPr>
              <w:t>in millions)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Year</w:t>
            </w:r>
          </w:p>
        </w:tc>
        <w:tc>
          <w:tcPr>
            <w:tcW w:w="2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$129,543</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91,109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Net Flows(a)</w:t>
            </w:r>
          </w:p>
        </w:tc>
        <w:tc>
          <w:tcPr>
            <w:tcW w:w="2820" w:type="dxa"/>
            <w:vAlign w:val="bottom"/>
            <w:gridSpan w:val="3"/>
          </w:tcPr>
          <w:p>
            <w:pPr>
              <w:jc w:val="right"/>
              <w:ind w:right="20"/>
              <w:spacing w:after="0"/>
              <w:rPr>
                <w:sz w:val="20"/>
                <w:szCs w:val="20"/>
                <w:color w:val="auto"/>
              </w:rPr>
            </w:pPr>
            <w:r>
              <w:rPr>
                <w:rFonts w:ascii="Arial" w:cs="Arial" w:eastAsia="Arial" w:hAnsi="Arial"/>
                <w:sz w:val="18"/>
                <w:szCs w:val="18"/>
                <w:color w:val="auto"/>
              </w:rPr>
              <w:t>9,346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10,253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Acquisitions/(Dispositions)(b)</w:t>
            </w:r>
          </w:p>
        </w:tc>
        <w:tc>
          <w:tcPr>
            <w:tcW w:w="2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2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16,448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29,012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(51,675)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AUM—End of Year</w:t>
            </w:r>
          </w:p>
        </w:tc>
        <w:tc>
          <w:tcPr>
            <w:tcW w:w="2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155,337</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129,543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inflows of $35,028, $30,984 and $25,923 and outflows of $25,682, $20,731 and $24,552 for the years ended December 31, 2010, 2009 and 2008, respectively.</w:t>
      </w:r>
    </w:p>
    <w:p>
      <w:pPr>
        <w:ind w:left="460" w:right="6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AUM and unfunded fee-earning commitments related to the Edgewater Acquisition, offset by the disposition of private equity AUM related to the sale of FPG.</w:t>
      </w:r>
    </w:p>
    <w:p>
      <w:pPr>
        <w:spacing w:after="0" w:line="12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During the year ended December 31, 2010, inflows were principally in Global Equities due to increased investments in existing accounts, as well as new accounts gained. Outflows in 2010 occurred primarily in Global and International Equity and certain Fixed Income products.</w:t>
      </w:r>
    </w:p>
    <w:p>
      <w:pPr>
        <w:spacing w:after="0" w:line="7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the year ended December 31, 2009, inflows, which principally occurred in the second half of the year, were in a broad range of products, with emphasis on Global Equity products due to increased investments in existing accounts as well as new accounts gained. Outflows in 2009 occurred most significantly in U.S. and International Equity products.</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February 18, 2011, AUM was $158.7 billion, a $3.4 billion increase since December 31, 2010. The change in AUM was due to market/foreign exchange appreciation of $3.2 billion and net inflows of $0.2 billion. Market appreciation was approximately 2% of AUM since December 31, 2010, which was generally consistent with the increase in global market indices during that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tables summarize the operating results of the Asset Management segment for the years ended December 31, 2010, 2009 and 2008. Operating results for the respective years are shown before and after the charges attributable to the Asset Management segment related to the 2010, 2009 and 2008 special items.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Year Ended December 31, 2010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7"/>
              </w:rPr>
              <w:t>Non-</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Impact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U.S. GAAP</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1"/>
              </w:rPr>
              <w:t>Special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As Reported</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Item (a)</w:t>
            </w:r>
          </w:p>
        </w:tc>
        <w:tc>
          <w:tcPr>
            <w:tcW w:w="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Special Item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1"/>
              </w:rPr>
              <w:t>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3180" w:type="dxa"/>
            <w:vAlign w:val="bottom"/>
            <w:gridSpan w:val="3"/>
          </w:tcPr>
          <w:p>
            <w:pPr>
              <w:jc w:val="right"/>
              <w:spacing w:after="0"/>
              <w:rPr>
                <w:sz w:val="20"/>
                <w:szCs w:val="20"/>
                <w:color w:val="auto"/>
              </w:rPr>
            </w:pPr>
            <w:r>
              <w:rPr>
                <w:rFonts w:ascii="Arial" w:cs="Arial" w:eastAsia="Arial" w:hAnsi="Arial"/>
                <w:sz w:val="18"/>
                <w:szCs w:val="18"/>
                <w:color w:val="auto"/>
              </w:rPr>
              <w:t>$ 715,885</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715,885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86,298</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47,479</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849,662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Expenses (c)</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584,348</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2,902</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$ 265,314</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268,216</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0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Year Ended December 31, 2009</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7"/>
              </w:rPr>
              <w:t>Non-</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U.S. GAAP</w:t>
            </w:r>
          </w:p>
        </w:tc>
        <w:tc>
          <w:tcPr>
            <w:tcW w:w="600" w:type="dxa"/>
            <w:vAlign w:val="bottom"/>
          </w:tcPr>
          <w:p>
            <w:pPr>
              <w:spacing w:after="0"/>
              <w:rPr>
                <w:sz w:val="12"/>
                <w:szCs w:val="12"/>
                <w:color w:val="auto"/>
              </w:rPr>
            </w:pPr>
          </w:p>
        </w:tc>
        <w:tc>
          <w:tcPr>
            <w:tcW w:w="13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Impact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7"/>
              </w:rPr>
              <w:t>As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1"/>
              </w:rPr>
              <w:t>Special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Reported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Item (a)</w:t>
            </w:r>
          </w:p>
        </w:tc>
        <w:tc>
          <w:tcPr>
            <w:tcW w:w="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Special Item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1"/>
              </w:rPr>
              <w:t>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3180" w:type="dxa"/>
            <w:vAlign w:val="bottom"/>
            <w:gridSpan w:val="3"/>
          </w:tcPr>
          <w:p>
            <w:pPr>
              <w:jc w:val="right"/>
              <w:spacing w:after="0"/>
              <w:rPr>
                <w:sz w:val="20"/>
                <w:szCs w:val="20"/>
                <w:color w:val="auto"/>
              </w:rPr>
            </w:pPr>
            <w:r>
              <w:rPr>
                <w:rFonts w:ascii="Arial" w:cs="Arial" w:eastAsia="Arial" w:hAnsi="Arial"/>
                <w:sz w:val="18"/>
                <w:szCs w:val="18"/>
                <w:color w:val="auto"/>
              </w:rPr>
              <w:t>$ 486,810</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486,810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40,047</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601,652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601,652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Expenses (c)</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504,452</w:t>
            </w:r>
          </w:p>
        </w:tc>
        <w:tc>
          <w:tcPr>
            <w:tcW w:w="2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7,508</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104,708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0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Year Ended December 31, 2008</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7"/>
              </w:rPr>
              <w:t>Non-</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U.S. GAAP</w:t>
            </w:r>
          </w:p>
        </w:tc>
        <w:tc>
          <w:tcPr>
            <w:tcW w:w="600" w:type="dxa"/>
            <w:vAlign w:val="bottom"/>
          </w:tcPr>
          <w:p>
            <w:pPr>
              <w:spacing w:after="0"/>
              <w:rPr>
                <w:sz w:val="12"/>
                <w:szCs w:val="12"/>
                <w:color w:val="auto"/>
              </w:rPr>
            </w:pPr>
          </w:p>
        </w:tc>
        <w:tc>
          <w:tcPr>
            <w:tcW w:w="13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Impact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7"/>
              </w:rPr>
              <w:t>As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1"/>
              </w:rPr>
              <w:t>Special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Reported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Item (a)</w:t>
            </w:r>
          </w:p>
        </w:tc>
        <w:tc>
          <w:tcPr>
            <w:tcW w:w="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Special Item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1"/>
              </w:rPr>
              <w:t>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3180" w:type="dxa"/>
            <w:vAlign w:val="bottom"/>
            <w:gridSpan w:val="3"/>
          </w:tcPr>
          <w:p>
            <w:pPr>
              <w:jc w:val="right"/>
              <w:spacing w:after="0"/>
              <w:rPr>
                <w:sz w:val="20"/>
                <w:szCs w:val="20"/>
                <w:color w:val="auto"/>
              </w:rPr>
            </w:pPr>
            <w:r>
              <w:rPr>
                <w:rFonts w:ascii="Arial" w:cs="Arial" w:eastAsia="Arial" w:hAnsi="Arial"/>
                <w:sz w:val="18"/>
                <w:szCs w:val="18"/>
                <w:color w:val="auto"/>
              </w:rPr>
              <w:t>$ 568,436</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568,436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34,961</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11,384</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614,781</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614,781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Operating Expenses (c)</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678,170</w:t>
            </w:r>
          </w:p>
        </w:tc>
        <w:tc>
          <w:tcPr>
            <w:tcW w:w="240" w:type="dxa"/>
            <w:vAlign w:val="bottom"/>
          </w:tcPr>
          <w:p>
            <w:pPr>
              <w:spacing w:after="0"/>
              <w:rPr>
                <w:sz w:val="19"/>
                <w:szCs w:val="19"/>
                <w:color w:val="auto"/>
              </w:rPr>
            </w:pPr>
          </w:p>
        </w:tc>
        <w:tc>
          <w:tcPr>
            <w:tcW w:w="1920" w:type="dxa"/>
            <w:vAlign w:val="bottom"/>
            <w:gridSpan w:val="4"/>
          </w:tcPr>
          <w:p>
            <w:pPr>
              <w:jc w:val="right"/>
              <w:ind w:right="640"/>
              <w:spacing w:after="0"/>
              <w:rPr>
                <w:sz w:val="20"/>
                <w:szCs w:val="20"/>
                <w:color w:val="auto"/>
              </w:rPr>
            </w:pPr>
            <w:r>
              <w:rPr>
                <w:rFonts w:ascii="Arial" w:cs="Arial" w:eastAsia="Arial" w:hAnsi="Arial"/>
                <w:sz w:val="18"/>
                <w:szCs w:val="18"/>
                <w:color w:val="auto"/>
              </w:rPr>
              <w:t>$197,550</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(63,389)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134,161</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0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40" w:type="dxa"/>
            <w:vAlign w:val="bottom"/>
            <w:vMerge w:val="restart"/>
          </w:tcPr>
          <w:p>
            <w:pPr>
              <w:jc w:val="right"/>
              <w:ind w:right="1452"/>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As of December 31,</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Headcount(d):</w:t>
            </w: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Managing Directors</w:t>
            </w: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56</w:t>
            </w: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Business segment professionals</w:t>
            </w:r>
          </w:p>
        </w:tc>
        <w:tc>
          <w:tcPr>
            <w:tcW w:w="340" w:type="dxa"/>
            <w:vAlign w:val="bottom"/>
          </w:tcPr>
          <w:p>
            <w:pPr>
              <w:jc w:val="right"/>
              <w:spacing w:after="0"/>
              <w:rPr>
                <w:sz w:val="20"/>
                <w:szCs w:val="20"/>
                <w:color w:val="auto"/>
              </w:rPr>
            </w:pPr>
            <w:r>
              <w:rPr>
                <w:rFonts w:ascii="Arial" w:cs="Arial" w:eastAsia="Arial" w:hAnsi="Arial"/>
                <w:sz w:val="18"/>
                <w:szCs w:val="18"/>
                <w:color w:val="auto"/>
              </w:rPr>
              <w:t>315</w:t>
            </w: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299</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 functions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273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676</w:t>
            </w:r>
          </w:p>
        </w:tc>
        <w:tc>
          <w:tcPr>
            <w:tcW w:w="420" w:type="dxa"/>
            <w:vAlign w:val="bottom"/>
          </w:tcPr>
          <w:p>
            <w:pPr>
              <w:spacing w:after="0"/>
              <w:rPr>
                <w:sz w:val="19"/>
                <w:szCs w:val="19"/>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628</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42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portion of the 2010, 2009 and 2008 special items attributable to the Asset Management segment (see Note 22 of Notes to Consolidated Financial Statements).</w:t>
      </w: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top ten clients accounted for 22%, 23% and 25% of our total AUM at December 31, 2010, 2009 and 2008, respectively, and there were no individual clients that constituted more than 10% of our Asset Management segment net revenue during any of the years ended December 31, 2010, 2009 and 2008.</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7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7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Europe</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620" w:type="dxa"/>
            <w:vAlign w:val="bottom"/>
            <w:gridSpan w:val="3"/>
          </w:tcPr>
          <w:p>
            <w:pPr>
              <w:jc w:val="right"/>
              <w:ind w:right="720"/>
              <w:spacing w:after="0"/>
              <w:rPr>
                <w:sz w:val="20"/>
                <w:szCs w:val="20"/>
                <w:color w:val="auto"/>
              </w:rPr>
            </w:pPr>
            <w:r>
              <w:rPr>
                <w:rFonts w:ascii="Arial" w:cs="Arial" w:eastAsia="Arial" w:hAnsi="Arial"/>
                <w:sz w:val="18"/>
                <w:szCs w:val="18"/>
                <w:color w:val="auto"/>
              </w:rPr>
              <w:t>36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100%</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reflected in the tables of operating results of the Asset Management segment above, the portion of the 2010, 2009 and 2008 special items attributable to the Asset Management segment had a significant impact on the segment’s reported operating results for such years. Lazard management believes that comparisons between years are most meaningful after excluding the impact of such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2010 versus December 31, 2009</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Asset Management net revenue increased $248 million, or 41%, as compared to 2009. Management fees increased $229 million, or 47%, as compared to 2009, driven by a 32% increase in average AUM. This increase was due largely to the increase in equity market indices, a favorable change in the mix of AUM into higher margin equity products and net inflows. Incentive fees, consisting of traditional long-only and alternative investment strategies, increased $12 million, or 15%, as compared to 2009. Other revenue increased $7 million, or 19%, as compared to 2009, principally due to increased investment and commission income.</w:t>
      </w:r>
    </w:p>
    <w:p>
      <w:pPr>
        <w:spacing w:after="0" w:line="8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Operating expenses increased $80 million, or 16%, as compared to 2009. Excluding the impact of the 2010 and 2009 special items attributable to the Asset Management segment, operating expenses increased $85 million, or 17%, principally due to a higher provision for discretionary compensation and profit pools related to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increase in operating revenue, as well as higher fees for outsourced services related to AUM growth and an increase in the amortization of intangible assets relating to the Edgewater acquisition.</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Asset Management operating income was $265 million, an increase of $168 million, as compared to $97 million in 2009, and represented 31% of segment net revenue. When excluding the impact of the 2010 and 2009 special items attributable to the Asset Management segment, operating income increased $164 million, and represented 32% of segment net revenue as compared to 17% for the prior 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Asset Management net revenue in the year ended December 31, 2009 declined $13 million, or 2%, as compared to 2008. Management fees for 2009 decreased $82 million, or 14%, as compared to 2008, driven by a 15% decrease in average AUM. This decrease was due largely to the decline in equity markets, which was partially offset by the impact of a change in the mix of investment products and levels of management fees on certain products. However, consistent with the sequential increase in quarterly average AUM described above, management fee revenue was 44% higher in the second half of 2009 as compared to the first half of 2009. Incentive fees in 2009 increased $40 million, or 114%, as compared to 2008, relating to both alternative and traditional long-only investment strategies. Other revenue increased $29 million, or 252%, as compared to 2008, principally as a result of higher revenue from noncontrolling interests, foreign exchange remeasurement gains and investment income.</w:t>
      </w:r>
    </w:p>
    <w:p>
      <w:pPr>
        <w:spacing w:after="0" w:line="105"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Operating expenses for 2009 decreased by $174 million, or 26%, as compared to 2008. When excluding the impact of the 2009 and 2008 special items attributable to the Asset Management segment, operating expenses in 2009 increased $16 million, or 3%, principally due to the change in the Company’s compensation policy as previously described. Also impacting the increase was an increase in the current year portion of amortization expense associated with previously awarded deferred cash incentive awards, higher fees for outsourced services and an increase in the amortization of intangible assets relating to the Edgewater Acquisition, partially offset by decreased compensation related to reduced headcount, and declines in business development expenses for travel and market-related data and professional fees.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Asset Management operating income for the year ended December 31, 2009 was $97 million, an increase of $160 million, as compared to an operating loss of $63 million in 2008, and represented 16% of segment net revenue in 2009, as compared to (10)% in 2008. When excluding the impact of the 2009 and 2008 special items attributable to the Asset Management segment, operating income in 2009 decreased $29 million, or 22%, when compared to 2008, and represented 17% of segment net revenue in 2009 as compared to 22% for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results of the Corporate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7"/>
          </w:tcPr>
          <w:p>
            <w:pPr>
              <w:jc w:val="center"/>
              <w:ind w:left="478"/>
              <w:spacing w:after="0"/>
              <w:rPr>
                <w:sz w:val="20"/>
                <w:szCs w:val="20"/>
                <w:color w:val="auto"/>
              </w:rPr>
            </w:pPr>
            <w:r>
              <w:rPr>
                <w:rFonts w:ascii="Arial" w:cs="Arial" w:eastAsia="Arial" w:hAnsi="Arial"/>
                <w:sz w:val="14"/>
                <w:szCs w:val="14"/>
                <w:b w:val="1"/>
                <w:bCs w:val="1"/>
                <w:color w:val="auto"/>
                <w:w w:val="86"/>
              </w:rPr>
              <w:t>Year Ended December 31, 2010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Non-U.S.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U.S. GAAP</w:t>
            </w:r>
          </w:p>
        </w:tc>
        <w:tc>
          <w:tcPr>
            <w:tcW w:w="3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Impact of</w:t>
            </w:r>
          </w:p>
        </w:tc>
        <w:tc>
          <w:tcPr>
            <w:tcW w:w="18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As</w:t>
            </w:r>
          </w:p>
        </w:tc>
        <w:tc>
          <w:tcPr>
            <w:tcW w:w="32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Special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Reported</w:t>
            </w:r>
          </w:p>
        </w:tc>
        <w:tc>
          <w:tcPr>
            <w:tcW w:w="2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Items (a)</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Items (b)</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(100,296)</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(100,296)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4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(80,915)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Revenue</w:t>
            </w:r>
          </w:p>
        </w:tc>
        <w:tc>
          <w:tcPr>
            <w:tcW w:w="4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4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(65,024)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4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122,380</w:t>
            </w:r>
          </w:p>
        </w:tc>
        <w:tc>
          <w:tcPr>
            <w:tcW w:w="220" w:type="dxa"/>
            <w:vAlign w:val="bottom"/>
          </w:tcPr>
          <w:p>
            <w:pPr>
              <w:spacing w:after="0"/>
              <w:rPr>
                <w:sz w:val="19"/>
                <w:szCs w:val="19"/>
                <w:color w:val="auto"/>
              </w:rPr>
            </w:pPr>
          </w:p>
        </w:tc>
        <w:tc>
          <w:tcPr>
            <w:tcW w:w="900" w:type="dxa"/>
            <w:vAlign w:val="bottom"/>
            <w:gridSpan w:val="2"/>
          </w:tcPr>
          <w:p>
            <w:pPr>
              <w:jc w:val="center"/>
              <w:ind w:left="242"/>
              <w:spacing w:after="0"/>
              <w:rPr>
                <w:sz w:val="20"/>
                <w:szCs w:val="20"/>
                <w:color w:val="auto"/>
              </w:rPr>
            </w:pPr>
            <w:r>
              <w:rPr>
                <w:rFonts w:ascii="Arial" w:cs="Arial" w:eastAsia="Arial" w:hAnsi="Arial"/>
                <w:sz w:val="18"/>
                <w:szCs w:val="18"/>
                <w:color w:val="auto"/>
                <w:w w:val="89"/>
              </w:rPr>
              <w:t>$89,495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(187,404)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340" w:type="dxa"/>
            <w:vAlign w:val="bottom"/>
            <w:vMerge w:val="restart"/>
          </w:tcPr>
          <w:p>
            <w:pPr>
              <w:jc w:val="right"/>
              <w:ind w:right="2312"/>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12"/>
          </w:tcPr>
          <w:p>
            <w:pPr>
              <w:jc w:val="center"/>
              <w:ind w:left="299"/>
              <w:spacing w:after="0"/>
              <w:rPr>
                <w:sz w:val="20"/>
                <w:szCs w:val="20"/>
                <w:color w:val="auto"/>
              </w:rPr>
            </w:pPr>
            <w:r>
              <w:rPr>
                <w:rFonts w:ascii="Arial" w:cs="Arial" w:eastAsia="Arial" w:hAnsi="Arial"/>
                <w:sz w:val="14"/>
                <w:szCs w:val="14"/>
                <w:b w:val="1"/>
                <w:bCs w:val="1"/>
                <w:color w:val="auto"/>
                <w:w w:val="86"/>
              </w:rPr>
              <w:t>Year Ended December 31, 2009</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1"/>
              </w:rPr>
              <w:t>Non-U.S.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U.S. GAAP</w:t>
            </w:r>
          </w:p>
        </w:tc>
        <w:tc>
          <w:tcPr>
            <w:tcW w:w="30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Impact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77"/>
              </w:rPr>
              <w:t>As</w:t>
            </w:r>
          </w:p>
        </w:tc>
        <w:tc>
          <w:tcPr>
            <w:tcW w:w="30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Special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Reported</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6"/>
              </w:rPr>
              <w:t>Items (a)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Items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6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71"/>
              </w:rPr>
              <w:t>in thousands)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28,191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28,191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w w:val="85"/>
              </w:rPr>
              <w:t>(108,521)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8"/>
          </w:tcPr>
          <w:p>
            <w:pPr>
              <w:jc w:val="right"/>
              <w:ind w:right="40"/>
              <w:spacing w:after="0"/>
              <w:rPr>
                <w:sz w:val="20"/>
                <w:szCs w:val="20"/>
                <w:color w:val="auto"/>
              </w:rPr>
            </w:pPr>
            <w:r>
              <w:rPr>
                <w:rFonts w:ascii="Arial" w:cs="Arial" w:eastAsia="Arial" w:hAnsi="Arial"/>
                <w:sz w:val="18"/>
                <w:szCs w:val="18"/>
                <w:color w:val="auto"/>
              </w:rPr>
              <w:t>(108,521)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(80,330)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(80,330)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21,821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21,821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(58,509)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(58,509)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208,772</w:t>
            </w:r>
          </w:p>
        </w:tc>
        <w:tc>
          <w:tcPr>
            <w:tcW w:w="980" w:type="dxa"/>
            <w:vAlign w:val="bottom"/>
            <w:gridSpan w:val="4"/>
          </w:tcPr>
          <w:p>
            <w:pPr>
              <w:ind w:left="300"/>
              <w:spacing w:after="0"/>
              <w:rPr>
                <w:sz w:val="20"/>
                <w:szCs w:val="20"/>
                <w:color w:val="auto"/>
              </w:rPr>
            </w:pPr>
            <w:r>
              <w:rPr>
                <w:rFonts w:ascii="Arial" w:cs="Arial" w:eastAsia="Arial" w:hAnsi="Arial"/>
                <w:sz w:val="18"/>
                <w:szCs w:val="18"/>
                <w:color w:val="auto"/>
                <w:w w:val="87"/>
              </w:rPr>
              <w:t>$153,535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55,237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60" w:type="dxa"/>
            <w:vAlign w:val="bottom"/>
            <w:gridSpan w:val="2"/>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(267,281)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(113,746)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2"/>
          </w:tcPr>
          <w:p>
            <w:pPr>
              <w:jc w:val="center"/>
              <w:ind w:left="219"/>
              <w:spacing w:after="0"/>
              <w:rPr>
                <w:sz w:val="20"/>
                <w:szCs w:val="20"/>
                <w:color w:val="auto"/>
              </w:rPr>
            </w:pPr>
            <w:r>
              <w:rPr>
                <w:rFonts w:ascii="Arial" w:cs="Arial" w:eastAsia="Arial" w:hAnsi="Arial"/>
                <w:sz w:val="14"/>
                <w:szCs w:val="14"/>
                <w:b w:val="1"/>
                <w:bCs w:val="1"/>
                <w:color w:val="auto"/>
                <w:w w:val="86"/>
              </w:rPr>
              <w:t>Year Ended December 31, 2008</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1"/>
              </w:rPr>
              <w:t>Non-U.S.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U.S. GAAP</w:t>
            </w:r>
          </w:p>
        </w:tc>
        <w:tc>
          <w:tcPr>
            <w:tcW w:w="300" w:type="dxa"/>
            <w:vAlign w:val="bottom"/>
          </w:tcPr>
          <w:p>
            <w:pPr>
              <w:spacing w:after="0"/>
              <w:rPr>
                <w:sz w:val="12"/>
                <w:szCs w:val="12"/>
                <w:color w:val="auto"/>
              </w:rPr>
            </w:pPr>
          </w:p>
        </w:tc>
        <w:tc>
          <w:tcPr>
            <w:tcW w:w="8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Impact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As</w:t>
            </w:r>
          </w:p>
        </w:tc>
        <w:tc>
          <w:tcPr>
            <w:tcW w:w="300" w:type="dxa"/>
            <w:vAlign w:val="bottom"/>
          </w:tcPr>
          <w:p>
            <w:pPr>
              <w:spacing w:after="0"/>
              <w:rPr>
                <w:sz w:val="12"/>
                <w:szCs w:val="12"/>
                <w:color w:val="auto"/>
              </w:rPr>
            </w:pPr>
          </w:p>
        </w:tc>
        <w:tc>
          <w:tcPr>
            <w:tcW w:w="8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Special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6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Item (a)</w:t>
            </w:r>
          </w:p>
        </w:tc>
        <w:tc>
          <w:tcPr>
            <w:tcW w:w="2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Item (b)</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62,969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62,969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6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(139,620)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8"/>
          </w:tcPr>
          <w:p>
            <w:pPr>
              <w:jc w:val="right"/>
              <w:ind w:right="40"/>
              <w:spacing w:after="0"/>
              <w:rPr>
                <w:sz w:val="20"/>
                <w:szCs w:val="20"/>
                <w:color w:val="auto"/>
              </w:rPr>
            </w:pPr>
            <w:r>
              <w:rPr>
                <w:rFonts w:ascii="Arial" w:cs="Arial" w:eastAsia="Arial" w:hAnsi="Arial"/>
                <w:sz w:val="18"/>
                <w:szCs w:val="18"/>
                <w:color w:val="auto"/>
              </w:rPr>
              <w:t>(139,620)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22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(76,651)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(76,651)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(6,074)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(6,074)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2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(82,725)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(82,725)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37,800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ind w:left="300"/>
              <w:spacing w:after="0"/>
              <w:rPr>
                <w:sz w:val="20"/>
                <w:szCs w:val="20"/>
                <w:color w:val="auto"/>
              </w:rPr>
            </w:pPr>
            <w:r>
              <w:rPr>
                <w:rFonts w:ascii="Arial" w:cs="Arial" w:eastAsia="Arial" w:hAnsi="Arial"/>
                <w:sz w:val="18"/>
                <w:szCs w:val="18"/>
                <w:color w:val="auto"/>
                <w:w w:val="89"/>
              </w:rPr>
              <w:t>$ 2,000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35,800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(120,525)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(118,525)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34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2010</w:t>
            </w:r>
          </w:p>
        </w:tc>
        <w:tc>
          <w:tcPr>
            <w:tcW w:w="520" w:type="dxa"/>
            <w:vAlign w:val="bottom"/>
            <w:tcBorders>
              <w:top w:val="single" w:sz="8" w:color="auto"/>
            </w:tcBorders>
            <w:gridSpan w:val="3"/>
          </w:tcPr>
          <w:p>
            <w:pPr>
              <w:jc w:val="center"/>
              <w:ind w:left="114"/>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(c):</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9</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7</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11</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10</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607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632</w:t>
            </w: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624</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8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portion of the 2010, 2009 and 2008 special items attributable to the Corporate segment (see Note 22 of Notes to Consolidated Financial Statements).</w:t>
      </w: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reflected in the table of operating results of the Corporate segment above, the 2010, 2009 and 2008 special items attributable to the Corporate segment had a significant impact on the segment’s reported operating results in such years. Lazard management believes that comparisons between years are most meaningful after excluding the impact such items.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2010 versus December 31, 2009</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interest expense was relatively unchanged as compared to 2009. Other revenue declined $6 million, or 27%, compared to 2009, reflecting foreign exchange losses in 2010 as compared to gains in 2009, and lower investment income. Investment income in 2010 includes realized losses of $14 million in connection with the fourth quarter sale of LFB’s portfolio, as compared to the $13 million write-off in 2009 of the Company’s investment in warrants of Sapphire.</w:t>
      </w:r>
    </w:p>
    <w:p>
      <w:pPr>
        <w:spacing w:after="0" w:line="9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Operating expenses decreased $86 million, or 41%, the principal portion of which related to the net impact of the 2010 and 2009 special items attributable to the Corporate segment. When excluding the impact of the 2010 and 2009 special items, operating expenses declined $22 million, or 40%, principally due to a decline in the amortization of share-based and deferred cash incentive compensation awards, which was partially offset by a higher provision in discretionary compensation related to the increase in the Company’s operating revenue.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Year Ended December 31, 2009 versus December 31, 2008</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Net interest expense in the year ended December 31, 2009 increased $4 million, or 5%, as compared to 2008. During 2009, interest income declined $35 million due to a lower interest rate environment, a decrease in the balance of interest earning assets at LFB as well as lower average cash balances. Average cash decreased as a result of the share repurchases of Class A common stock as well as the repurchase of a portion of the Company’s outstanding 6.85% and 7.125% senior notes. The decrease in interest income was substantially offset by lower interest expense in 2009 of $31 million, principally as a result of the reduction in interest expense related to the Company’s May 2008 purchase of $437 million aggregate principal amount of its 6.12% senior notes in connection with the remarketing of such notes and by the above-mentioned repurchases of senior notes, as well as a lower interest rate environment and reduced levels of LFB’s customer deposits.</w:t>
      </w:r>
    </w:p>
    <w:p>
      <w:pPr>
        <w:spacing w:after="0" w:line="10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Other revenue increased $28 million in the year ended December 31, 2009, as compared to 2008, principally due to investment income in 2009 of $18 million in the Company’s investment portfolio, versus an aggregate loss of $53 million in 2008 in LFB’s corporate debt portfolio (redesignated as “available-for-sale” effective July 1, 2008) and the Company’s investment portfolio. With respect to the latter, during 2009, the Company had in place a hedging strategy to minimize its risks associated with volatility in the equity markets. Other factors contributing to the increase were revenues from various other investments of $7 million in 2009 versus losses of $5 million in 2008, partially offset by (i) a $13 million charge relating to the write-off of the Company’s investment in warrants of Sapphire, (ii) a $20 million gain in 2008 on the repurchase of a portion of the Company’s senior notes and (iii) a $24 million gain in 2008 from a foreign currency transaction.</w:t>
      </w:r>
    </w:p>
    <w:p>
      <w:pPr>
        <w:spacing w:after="0" w:line="13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Operating expenses for 2009 increased $171 million, as compared to 2008, principally due to the net impact of the 2009 and 2008 special items attributable to the Corporate segment. When excluding the impact of the 2009 and 2008 special items, operating expenses increased $19 million, or 54%, in 2009. Factors contributing to the increase were principally due to the change in the Company’s compensation policy described above, as well as an increase in the amortization expense associated with the current year portion of previously awarded deferred cash incentive awards, which were partially offset by the $12 million provision for counterparty defaults in 2008.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2010</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in millions)</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(213.7)</w:t>
            </w:r>
          </w:p>
        </w:tc>
        <w:tc>
          <w:tcPr>
            <w:tcW w:w="0" w:type="dxa"/>
            <w:vAlign w:val="bottom"/>
          </w:tcPr>
          <w:p>
            <w:pPr>
              <w:spacing w:after="0"/>
              <w:rPr>
                <w:sz w:val="1"/>
                <w:szCs w:val="1"/>
                <w:color w:val="auto"/>
              </w:rPr>
            </w:pPr>
          </w:p>
        </w:tc>
      </w:tr>
      <w:tr>
        <w:trPr>
          <w:trHeight w:val="216"/>
        </w:trPr>
        <w:tc>
          <w:tcPr>
            <w:tcW w:w="912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361.6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8"/>
              </w:rPr>
              <w:t>(509.4)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53.6</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17"/>
        </w:trPr>
        <w:tc>
          <w:tcPr>
            <w:tcW w:w="9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912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40" w:type="dxa"/>
            <w:vAlign w:val="bottom"/>
          </w:tcPr>
          <w:p>
            <w:pPr>
              <w:spacing w:after="0"/>
              <w:rPr>
                <w:sz w:val="18"/>
                <w:szCs w:val="18"/>
                <w:color w:val="auto"/>
              </w:rPr>
            </w:pPr>
          </w:p>
        </w:tc>
        <w:tc>
          <w:tcPr>
            <w:tcW w:w="1060" w:type="dxa"/>
            <w:vAlign w:val="bottom"/>
            <w:gridSpan w:val="2"/>
          </w:tcPr>
          <w:p>
            <w:pPr>
              <w:jc w:val="right"/>
              <w:ind w:right="412"/>
              <w:spacing w:after="0"/>
              <w:rPr>
                <w:sz w:val="20"/>
                <w:szCs w:val="20"/>
                <w:color w:val="auto"/>
              </w:rPr>
            </w:pPr>
            <w:r>
              <w:rPr>
                <w:rFonts w:ascii="Arial" w:cs="Arial" w:eastAsia="Arial" w:hAnsi="Arial"/>
                <w:sz w:val="18"/>
                <w:szCs w:val="18"/>
                <w:color w:val="auto"/>
                <w:w w:val="98"/>
              </w:rPr>
              <w:t>(330.0)</w:t>
            </w: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(207.4)</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125.0</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8"/>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Year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899.7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Year</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$ 1,024.7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12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912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315.6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Investment losses (including other-than-temporary impairment losses)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120" w:type="dxa"/>
            <w:vAlign w:val="bottom"/>
            <w:gridSpan w:val="2"/>
          </w:tcPr>
          <w:p>
            <w:pPr>
              <w:ind w:left="440"/>
              <w:spacing w:after="0"/>
              <w:rPr>
                <w:sz w:val="20"/>
                <w:szCs w:val="20"/>
                <w:color w:val="auto"/>
              </w:rPr>
            </w:pPr>
            <w:r>
              <w:rPr>
                <w:rFonts w:ascii="Arial" w:cs="Arial" w:eastAsia="Arial" w:hAnsi="Arial"/>
                <w:sz w:val="18"/>
                <w:szCs w:val="18"/>
                <w:color w:val="auto"/>
              </w:rPr>
              <w:t>Deferred tax provision (benefit)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120" w:type="dxa"/>
            <w:vAlign w:val="bottom"/>
            <w:gridSpan w:val="2"/>
          </w:tcPr>
          <w:p>
            <w:pPr>
              <w:ind w:left="440"/>
              <w:spacing w:after="0"/>
              <w:rPr>
                <w:sz w:val="20"/>
                <w:szCs w:val="20"/>
                <w:color w:val="auto"/>
              </w:rPr>
            </w:pPr>
            <w:r>
              <w:rPr>
                <w:rFonts w:ascii="Arial" w:cs="Arial" w:eastAsia="Arial" w:hAnsi="Arial"/>
                <w:sz w:val="18"/>
                <w:szCs w:val="18"/>
                <w:color w:val="auto"/>
              </w:rPr>
              <w:t>(Gains) losses on extinguishment of debt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8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Principally relates to purchases and proceeds from sales and maturities of “available-for-sale” and “held-to maturity” securities, and, in the 2010 period, the disposition of our equity method investment in Sapphire.</w:t>
      </w:r>
    </w:p>
    <w:p>
      <w:pPr>
        <w:ind w:left="460" w:right="36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Primarily includes distributions to members and noncontrolling interest holders, settlements of vested RSUs, repurchases of shares of Class A common stock and common membership interests from LAZ-MD Holdings and activity related to borrowings.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December 31, 2010, Lazard had approximately $1.1 billion of cash and liquid securities, including $32 million of U.S. Government debt and agencies securities and $88 million of investments in equity securities. We maintain lines of credit in excess of anticipated liquidity requirements. As of December 31, 2010, Lazard had approximately $300 million in unused lines of credit available to it, including a $150 million, three-year, senior revolving credit facility with a group of lenders that matures in April 2013 (the “Credit Facility”) (see “—Financing” below) and an aggregate of $129 million of unused lines of credit available to LFB and Edgewater. In addition, LFB has access to the Eurosystem Covered Bond Purchase Program of the Banque de France.</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April 29, 2010, Lazard Group entered into the Credit Facility pursuant to an agreement with the banks parties thereto and Citibank, N.A., as administrative agent. The Credit Facility replaces the prior senior revolving credit facility, which was terminated as a condition to effectiveness of the Credit Facility. The Credit Facility contains customary terms and conditions substantially similar to the prior credit facility. Such terms and conditions include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table below sets forth our corporate indebtedness as of December 31, 2010 and 2009. The agreements with respect to this indebtedness are discussed in more detail in our consolidated financial statements and related notes included elsewhere in this Form 10-K.</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1"/>
              </w:rPr>
              <w:t>Maturity</w:t>
            </w:r>
          </w:p>
        </w:tc>
        <w:tc>
          <w:tcPr>
            <w:tcW w:w="420" w:type="dxa"/>
            <w:vAlign w:val="bottom"/>
          </w:tcPr>
          <w:p>
            <w:pPr>
              <w:spacing w:after="0"/>
              <w:rPr>
                <w:sz w:val="14"/>
                <w:szCs w:val="14"/>
                <w:color w:val="auto"/>
              </w:rPr>
            </w:pPr>
          </w:p>
        </w:tc>
        <w:tc>
          <w:tcPr>
            <w:tcW w:w="20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(Decrease)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gridSpan w:val="5"/>
          </w:tcPr>
          <w:p>
            <w:pPr>
              <w:jc w:val="right"/>
              <w:ind w:right="840"/>
              <w:spacing w:after="0" w:line="142" w:lineRule="exact"/>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440"/>
              <w:spacing w:after="0"/>
              <w:rPr>
                <w:sz w:val="20"/>
                <w:szCs w:val="20"/>
                <w:color w:val="auto"/>
              </w:rPr>
            </w:pPr>
            <w:r>
              <w:rPr>
                <w:rFonts w:ascii="Arial" w:cs="Arial" w:eastAsia="Arial" w:hAnsi="Arial"/>
                <w:sz w:val="18"/>
                <w:szCs w:val="18"/>
                <w:color w:val="auto"/>
              </w:rPr>
              <w:t>7.125%(a)</w:t>
            </w:r>
          </w:p>
        </w:tc>
        <w:tc>
          <w:tcPr>
            <w:tcW w:w="520" w:type="dxa"/>
            <w:vAlign w:val="bottom"/>
          </w:tcPr>
          <w:p>
            <w:pPr>
              <w:ind w:left="120"/>
              <w:spacing w:after="0"/>
              <w:rPr>
                <w:sz w:val="20"/>
                <w:szCs w:val="20"/>
                <w:color w:val="auto"/>
              </w:rPr>
            </w:pPr>
            <w:r>
              <w:rPr>
                <w:rFonts w:ascii="Arial" w:cs="Arial" w:eastAsia="Arial" w:hAnsi="Arial"/>
                <w:sz w:val="18"/>
                <w:szCs w:val="18"/>
                <w:color w:val="auto"/>
                <w:w w:val="94"/>
              </w:rPr>
              <w:t>2015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528.5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538.5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6.85%(b)</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548.4</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3.25%(c)</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2016</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Total Senior and Subordinated Debt</w:t>
            </w: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1,226.9</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1,236.9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year ended December 31, 2010 the Company repurchased $10.0 million principal amount of its 7.125% Senior Notes, and, with respect thereto, recognized an aggregate loss of $0.4 million in “revenue-other”.</w:t>
      </w:r>
    </w:p>
    <w:p>
      <w:pPr>
        <w:ind w:left="460" w:right="20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year ended December 31, 2009, the Company repurchased $0.9 million principal amount of its 6.85% Senior Notes, and, with respect thereto, recognized an aggregate gain of $0.3 million in “revenue-other”.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Convertible into shares of Class A common stock at an effective conversion price of $57 per share. One third in principal amount became convertible on and after each of July 1, 2008, July 1, 2009, and July 1, 2010, and no principal amount is convertible after June 30, 2011.</w:t>
      </w:r>
    </w:p>
    <w:p>
      <w:pPr>
        <w:spacing w:after="0" w:line="7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owing to the lending bank group, the Credit Facility includes financial condition covenants that require that Lazard Group not permit (i)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Leverage Ratio (as defined in the Credit Facility) for the 12-month period ending on the last day of any fiscal quarter to be greater than 4.00 to 1.00 or (ii) 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Consolidated Interest Coverage Ratio (as defined in the Credit Facility) for the 12-month period ending on the last day of any fiscal quarter to be less than 3.00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1.00. For the 12-month period ended December 31, 2010 Lazard Group was in compliance with such ratios, with its Consolidated Leverage Ratio being 1.80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and its Consolidated Interest Coverage Ratio being 9.66 to 1.00. In any event, no amounts were outstanding under the Credit Facility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5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December 31, 2010,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13 of Notes to Consolidated Financial Statements for additional information regarding senior and subordinated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December 31, 2010, total members’ equity was $490 million as compared to $283 million and $127 million at December 31, 2009 and 2008, respectively, including $121 million, $128 million and $21 million of noncontrolling interests on the respective dates. The net activity in members’ equity in the years ended December 31, 2010 and 2009 is reflected in the table below (in millions of dollars):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 – Beginning of Year</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58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w w:val="98"/>
              </w:rPr>
              <w:t>Delivery of Class A common stock in connection with share-based incentive compensation</w:t>
            </w:r>
          </w:p>
        </w:tc>
        <w:tc>
          <w:tcPr>
            <w:tcW w:w="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Increases in AOCI (including noncontrolling interests’ portion thereof)(*)</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members and noncontrolling interests, net</w:t>
            </w: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Other – net</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 – End of Year</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 Includes:</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5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positive (negative) foreign currency translation adjustments</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Net mark-ups and adjustments for items reclassified to earnings related to securities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640"/>
              <w:spacing w:after="0"/>
              <w:rPr>
                <w:sz w:val="20"/>
                <w:szCs w:val="20"/>
                <w:color w:val="auto"/>
              </w:rPr>
            </w:pPr>
            <w:r>
              <w:rPr>
                <w:rFonts w:ascii="Arial" w:cs="Arial" w:eastAsia="Arial" w:hAnsi="Arial"/>
                <w:sz w:val="18"/>
                <w:szCs w:val="18"/>
                <w:color w:val="auto"/>
              </w:rPr>
              <w:t>designated as “available-for-sale”</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 adjustments and other</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During the year ended December 31, 2010 the Company repurchased 4,686,892 shares of Class A common stock, at an aggregate cost of $150 million and 224,382 Lazard Group common membership interests at an aggregate cost of $7 million. Accordingly, at December 31, 2010, $43 million of the share purchase authorization remained available for future repurchases. In addition to the repurchases of 4,686,892 shares of Class A common stock described above, during the year ended December 31, 2010, in order, among other reasons, to help neutralize the dilutive effect of our share-based incentive compensation plans, the Company utilized $58 million to satisfy certain employees’ withholding tax obligations on vested RSUs in lieu of issuing 1,674,261 shares. In February 2011, the Board of Directors of Lazard Ltd authorized the repurchase of up to an additional $250 million in aggregate cost of Lazard Ltd Class A common stock and Lazard Group common membership interests through December 31, 2012.</w:t>
      </w:r>
    </w:p>
    <w:p>
      <w:pPr>
        <w:spacing w:after="0" w:line="10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See Note 15 of Notes to Consolidated Financial Statements for information regarding (i) the issuance of Class A common stock, (ii) secondary offerings of Class A common stock, (iii) exchanges of Lazard Group common membership interests and (iv) the share repurchase program.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procedures, relationships with customers, experience and training requirements for employees and certain other requirements and procedures. These regulatory requirements may restrict the flow of funds to affiliates. See Note 21 of Notes to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1-Business—Regulation” included in this Form 10-K.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December 31, 2010: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88"/>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3"/>
              </w:rPr>
              <w:t>1-3 Years</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3-5 Years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 in thousands)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$ 1,672,141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$ 160,185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$669,857</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762,006</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Operating Leases (exclusive of $94,405 of sublease income) (b)</w:t>
            </w:r>
          </w:p>
        </w:tc>
        <w:tc>
          <w:tcPr>
            <w:tcW w:w="820" w:type="dxa"/>
            <w:vAlign w:val="bottom"/>
          </w:tcPr>
          <w:p>
            <w:pPr>
              <w:jc w:val="right"/>
              <w:spacing w:after="0"/>
              <w:rPr>
                <w:sz w:val="20"/>
                <w:szCs w:val="20"/>
                <w:color w:val="auto"/>
              </w:rPr>
            </w:pPr>
            <w:r>
              <w:rPr>
                <w:rFonts w:ascii="Arial" w:cs="Arial" w:eastAsia="Arial" w:hAnsi="Arial"/>
                <w:sz w:val="18"/>
                <w:szCs w:val="18"/>
                <w:color w:val="auto"/>
              </w:rPr>
              <w:t>372,285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68,004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84,985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59,402</w:t>
            </w:r>
          </w:p>
        </w:tc>
        <w:tc>
          <w:tcPr>
            <w:tcW w:w="1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159,894</w:t>
            </w: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Capital Leases (including interest) (b)</w:t>
            </w:r>
          </w:p>
        </w:tc>
        <w:tc>
          <w:tcPr>
            <w:tcW w:w="820" w:type="dxa"/>
            <w:vAlign w:val="bottom"/>
          </w:tcPr>
          <w:p>
            <w:pPr>
              <w:jc w:val="right"/>
              <w:spacing w:after="0"/>
              <w:rPr>
                <w:sz w:val="20"/>
                <w:szCs w:val="20"/>
                <w:color w:val="auto"/>
              </w:rPr>
            </w:pPr>
            <w:r>
              <w:rPr>
                <w:rFonts w:ascii="Arial" w:cs="Arial" w:eastAsia="Arial" w:hAnsi="Arial"/>
                <w:sz w:val="18"/>
                <w:szCs w:val="18"/>
                <w:color w:val="auto"/>
              </w:rPr>
              <w:t>28,680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7,208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5,714</w:t>
            </w:r>
          </w:p>
        </w:tc>
        <w:tc>
          <w:tcPr>
            <w:tcW w:w="1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11,625</w:t>
            </w: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(b)</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740" w:type="dxa"/>
            <w:vAlign w:val="bottom"/>
            <w:gridSpan w:val="2"/>
          </w:tcPr>
          <w:p>
            <w:pPr>
              <w:spacing w:after="0"/>
              <w:rPr>
                <w:sz w:val="20"/>
                <w:szCs w:val="20"/>
                <w:color w:val="auto"/>
              </w:rPr>
            </w:pPr>
            <w:r>
              <w:rPr>
                <w:rFonts w:ascii="Arial" w:cs="Arial" w:eastAsia="Arial" w:hAnsi="Arial"/>
                <w:sz w:val="18"/>
                <w:szCs w:val="18"/>
                <w:color w:val="auto"/>
              </w:rPr>
              <w:t>Total (d)(e)</w:t>
            </w: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$ 2,168,744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$ 247,868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$ 252,378</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734,973</w:t>
            </w:r>
          </w:p>
        </w:tc>
        <w:tc>
          <w:tcPr>
            <w:tcW w:w="16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$933,525</w:t>
            </w: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13 of Notes to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14 of Notes to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Note 8 of Notes to Consolidated Financial Statements.</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14, 16, 17 and 19 of Notes to Consolidated Financial Statements regarding information in connection with commitments, incentive plans, employee benefit plans and income taxes.</w:t>
      </w:r>
    </w:p>
    <w:p>
      <w:pPr>
        <w:spacing w:after="0" w:line="1" w:lineRule="exact"/>
        <w:rPr>
          <w:rFonts w:ascii="Arial" w:cs="Arial" w:eastAsia="Arial" w:hAnsi="Arial"/>
          <w:sz w:val="18"/>
          <w:szCs w:val="18"/>
          <w:color w:val="auto"/>
        </w:rPr>
      </w:pPr>
    </w:p>
    <w:p>
      <w:pPr>
        <w:ind w:left="460" w:right="100" w:hanging="452"/>
        <w:spacing w:after="0" w:line="253"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has agreed to enter into an amendment (the “Lease Amendment”) of the leases relating to its offices in Rockefeller Center, New York, New York (the “Leased Premises”). The effectiveness of the Lease Amendment is conditioned upon receipt of customary documentation evidencing, among other things, the consent of the lender holding a mortgage covering the Leased Premises. The Lease Amendment provides that the term of the lease will be extended until 2033, and would commit the Company for approximately $600 million of aggregate incremental rentals over the amounts included in the table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do not believe inflation will significantly affect our compensation costs as they are substantially variable in nature. However, the rate of inflation may affect certain of our other expenses, such as information technology and occupancy costs. To the extent inflation results in rising interest rates and has other effects upon the securities markets, it may adversely affect our financial position and results of operations by reducing AUM, net revenue or otherwise. See “Risk Factors—Other Business Risks—Difficult market conditions can adversely affect our business in many ways, including by reducing the volume of transactions involving our Financial Advisory business and reducing the value or performance of the assets we manage in our Asset Management business, which, in each case, could materially reduce our revenue or income and adversely affect our financial position.”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9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December 31, 2010 and 2009, the Company had receivables past due of approximately $17 million and $14 million, respectively, and its allowance for doubtful accounts was $15 million and $12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2010, the Company recorded deferred tax assets of approximately $177 million, with such amount partially offset by a valuation allowance of approximately $92 million due to the uncertainty of realizing the benefits of the book versus tax basis differences and certain net operating loss carry-forwards.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described in Note 5 of Notes to Consolidated Financial Statements, effective July 1, 2008, as permitted under U.S. GAAP, certain debt securities held by LFB, which were previously designated as “trading” securities, were re-designated as “available-for-sale” securities. As of December 31, 2010, there are no securities designated as “available-for-sale” or “held-to-maturity”.</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at December 31, 2010 and 2009 is set forth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in millions)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3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 (a)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461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8"/>
        </w:trPr>
        <w:tc>
          <w:tcPr>
            <w:tcW w:w="8080" w:type="dxa"/>
            <w:vAlign w:val="bottom"/>
            <w:gridSpan w:val="2"/>
          </w:tcPr>
          <w:p>
            <w:pPr>
              <w:spacing w:after="0"/>
              <w:rPr>
                <w:sz w:val="20"/>
                <w:szCs w:val="20"/>
                <w:color w:val="auto"/>
              </w:rPr>
            </w:pPr>
            <w:r>
              <w:rPr>
                <w:rFonts w:ascii="Arial" w:cs="Arial" w:eastAsia="Arial" w:hAnsi="Arial"/>
                <w:sz w:val="18"/>
                <w:szCs w:val="18"/>
                <w:color w:val="auto"/>
                <w:w w:val="96"/>
              </w:rPr>
              <w:t>Equity securities (net of $3 and $5 of securities sold, not yet purchased at December 31, 2010 and 2009,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respectively) (b)</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c>
          <w:tcPr>
            <w:tcW w:w="500" w:type="dxa"/>
            <w:vAlign w:val="bottom"/>
          </w:tcPr>
          <w:p>
            <w:pPr>
              <w:spacing w:after="0"/>
              <w:rPr>
                <w:sz w:val="19"/>
                <w:szCs w:val="19"/>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77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alternative asset management funds (principally GP interests in LAM-managed hedge funds) (c)</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Private equity (d)</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c>
          <w:tcPr>
            <w:tcW w:w="500" w:type="dxa"/>
            <w:vAlign w:val="bottom"/>
          </w:tcPr>
          <w:p>
            <w:pPr>
              <w:spacing w:after="0"/>
              <w:rPr>
                <w:sz w:val="18"/>
                <w:szCs w:val="18"/>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103</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112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investments</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8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385</w:t>
            </w:r>
          </w:p>
        </w:tc>
        <w:tc>
          <w:tcPr>
            <w:tcW w:w="500" w:type="dxa"/>
            <w:vAlign w:val="bottom"/>
          </w:tcPr>
          <w:p>
            <w:pPr>
              <w:spacing w:after="0"/>
              <w:rPr>
                <w:sz w:val="19"/>
                <w:szCs w:val="19"/>
                <w:color w:val="auto"/>
              </w:rPr>
            </w:pP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w w:val="99"/>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803</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3,336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3,115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securities primarily consist of securities issued by the U.S. Government and its agencies, and fixed income funds, all of which subject Lazard to market risk.</w:t>
      </w:r>
    </w:p>
    <w:p>
      <w:pPr>
        <w:spacing w:after="0" w:line="37" w:lineRule="exact"/>
        <w:rPr>
          <w:rFonts w:ascii="Arial" w:cs="Arial" w:eastAsia="Arial" w:hAnsi="Arial"/>
          <w:sz w:val="18"/>
          <w:szCs w:val="18"/>
          <w:color w:val="auto"/>
        </w:rPr>
      </w:pPr>
    </w:p>
    <w:p>
      <w:pPr>
        <w:ind w:left="460" w:hanging="452"/>
        <w:spacing w:after="0" w:line="253"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equity securities are primarily comprised of funds seeding products of our Asset Management segment. Hedging strategies are employed to reduce market risk, and, in turn, the volatility to earnings. Additional information regarding equity securities as of December 31, 2010 and 2009 is shown below:</w:t>
      </w:r>
    </w:p>
    <w:tbl>
      <w:tblPr>
        <w:tblLayout w:type="fixed"/>
        <w:tblInd w:w="0" w:type="dxa"/>
        <w:tblCellMar>
          <w:top w:w="0" w:type="dxa"/>
          <w:left w:w="0" w:type="dxa"/>
          <w:bottom w:w="0" w:type="dxa"/>
          <w:right w:w="0" w:type="dxa"/>
        </w:tblCellMar>
      </w:tblPr>
      <w:tr>
        <w:trPr>
          <w:trHeight w:val="151"/>
        </w:trPr>
        <w:tc>
          <w:tcPr>
            <w:tcW w:w="97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87"/>
              </w:rPr>
              <w:t>December 31,</w:t>
            </w:r>
          </w:p>
        </w:tc>
        <w:tc>
          <w:tcPr>
            <w:tcW w:w="3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74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84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7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Percentage invested in:</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160" w:type="dxa"/>
            <w:vAlign w:val="bottom"/>
            <w:gridSpan w:val="2"/>
          </w:tcPr>
          <w:p>
            <w:pPr>
              <w:jc w:val="right"/>
              <w:ind w:right="612"/>
              <w:spacing w:after="0"/>
              <w:rPr>
                <w:sz w:val="20"/>
                <w:szCs w:val="20"/>
                <w:color w:val="auto"/>
              </w:rPr>
            </w:pPr>
            <w:r>
              <w:rPr>
                <w:rFonts w:ascii="Arial" w:cs="Arial" w:eastAsia="Arial" w:hAnsi="Arial"/>
                <w:sz w:val="18"/>
                <w:szCs w:val="18"/>
                <w:color w:val="auto"/>
              </w:rPr>
              <w:t>28%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11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28%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74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1160" w:type="dxa"/>
            <w:vAlign w:val="bottom"/>
            <w:gridSpan w:val="2"/>
          </w:tcPr>
          <w:p>
            <w:pPr>
              <w:jc w:val="right"/>
              <w:ind w:right="612"/>
              <w:spacing w:after="0"/>
              <w:rPr>
                <w:sz w:val="20"/>
                <w:szCs w:val="20"/>
                <w:color w:val="auto"/>
              </w:rPr>
            </w:pPr>
            <w:r>
              <w:rPr>
                <w:rFonts w:ascii="Arial" w:cs="Arial" w:eastAsia="Arial" w:hAnsi="Arial"/>
                <w:sz w:val="18"/>
                <w:szCs w:val="18"/>
                <w:color w:val="auto"/>
              </w:rPr>
              <w:t>9%</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11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35%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9740" w:type="dxa"/>
            <w:vAlign w:val="bottom"/>
            <w:vMerge w:val="restart"/>
          </w:tcPr>
          <w:p>
            <w:pPr>
              <w:ind w:left="19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40" w:type="dxa"/>
            <w:vAlign w:val="bottom"/>
            <w:vMerge w:val="continue"/>
          </w:tcPr>
          <w:p>
            <w:pPr>
              <w:spacing w:after="0"/>
              <w:rPr>
                <w:sz w:val="19"/>
                <w:szCs w:val="19"/>
                <w:color w:val="auto"/>
              </w:rPr>
            </w:pPr>
          </w:p>
        </w:tc>
        <w:tc>
          <w:tcPr>
            <w:tcW w:w="1160" w:type="dxa"/>
            <w:vAlign w:val="bottom"/>
            <w:gridSpan w:val="2"/>
          </w:tcPr>
          <w:p>
            <w:pPr>
              <w:jc w:val="right"/>
              <w:ind w:right="612"/>
              <w:spacing w:after="0"/>
              <w:rPr>
                <w:sz w:val="20"/>
                <w:szCs w:val="20"/>
                <w:color w:val="auto"/>
              </w:rPr>
            </w:pPr>
            <w:r>
              <w:rPr>
                <w:rFonts w:ascii="Arial" w:cs="Arial" w:eastAsia="Arial" w:hAnsi="Arial"/>
                <w:sz w:val="18"/>
                <w:szCs w:val="18"/>
                <w:color w:val="auto"/>
                <w:w w:val="99"/>
              </w:rPr>
              <w:t>100%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10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37"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Comprised of investments in private equity funds and direct private equity interests that are generally not subject to short-term market fluctuation, but may subject Lazard to market or credit risk.</w:t>
      </w:r>
    </w:p>
    <w:p>
      <w:pPr>
        <w:ind w:left="460" w:right="60"/>
        <w:spacing w:after="0" w:line="281" w:lineRule="auto"/>
        <w:rPr>
          <w:rFonts w:ascii="Arial" w:cs="Arial" w:eastAsia="Arial" w:hAnsi="Arial"/>
          <w:sz w:val="18"/>
          <w:szCs w:val="18"/>
          <w:color w:val="auto"/>
        </w:rPr>
      </w:pPr>
      <w:r>
        <w:rPr>
          <w:rFonts w:ascii="Arial" w:cs="Arial" w:eastAsia="Arial" w:hAnsi="Arial"/>
          <w:sz w:val="16"/>
          <w:szCs w:val="16"/>
          <w:color w:val="auto"/>
        </w:rPr>
        <w:t>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and (iii) Senior Housing, which acquires companies and assets in senior housing, extended stay and shopping center sectors.</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Private equity investments represent approximately 3% of total assets at both December 31, 2010 and 2009.</w:t>
      </w:r>
    </w:p>
    <w:p>
      <w:pPr>
        <w:spacing w:after="0" w:line="70" w:lineRule="exact"/>
        <w:rPr>
          <w:rFonts w:ascii="Arial" w:cs="Arial" w:eastAsia="Arial" w:hAnsi="Arial"/>
          <w:sz w:val="18"/>
          <w:szCs w:val="18"/>
          <w:color w:val="auto"/>
        </w:rPr>
      </w:pPr>
    </w:p>
    <w:p>
      <w:pPr>
        <w:ind w:left="460" w:right="480" w:hanging="452"/>
        <w:spacing w:after="0" w:line="30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investments (i) accounted for under the equity method of accounting and (ii) private equity and general partnership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decline in the aggregate investments at December 31, 2010 compared to December 31, 2009 of $418 million relates principally to the disposition of corporate debt securities and a substantial portion of our U.S government securities holdings in the fourth quarter of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At December 31, 2010, the Company’s investments in U.S Government and agency debt securities as well as its corporate and other debt securities were considered Level 1 assets with the respective fair values based on unadjusted quoted prices in active markets. The Company’s investments in fixed income funds were considered Level 2 assets with its fair value primarily based on broker quotes as provided by external pricing services.</w:t>
      </w:r>
    </w:p>
    <w:p>
      <w:pPr>
        <w:spacing w:after="0" w:line="9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At December 31, 2009, most of the Company’s investments in corporate and other debt securities were considered Level 2 assets with the respective fair values based on observable data, principally broker quotes as provided by external pricing services. The Company’s other debt securities, including U.S Government and agency debt securities, were considered Level 1 assets with the respective fair values based on unadjusted quoted prices in active markets.</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See Notes 5 and 6 of Notes to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11 of Notes to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hanging="455"/>
        <w:spacing w:after="0" w:line="256"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8" w:lineRule="exact"/>
        <w:rPr>
          <w:rFonts w:ascii="Arial" w:cs="Arial" w:eastAsia="Arial" w:hAnsi="Arial"/>
          <w:sz w:val="18"/>
          <w:szCs w:val="18"/>
          <w:color w:val="auto"/>
        </w:rPr>
      </w:pPr>
    </w:p>
    <w:p>
      <w:pPr>
        <w:ind w:left="1260" w:right="500" w:hanging="455"/>
        <w:spacing w:after="0" w:line="332" w:lineRule="auto"/>
        <w:tabs>
          <w:tab w:leader="none" w:pos="1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“Critical Accounting Policies and Estimates—Investments” above.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At December 31, 2010 and 2009, derivative contracts related primarily to interest rate swaps, equity and foreign currency exchange rate contracts, and are recorded at fair value. Derivative assets amounted to $2 million and $1 million at December 31, 2010 and 2009, respectively, and derivative liabilities amounted to $3 million and $17 million at such respective dates.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primary market risks associated with LFB’s foreign currency exchange hedging and lending activities are sensitivity to changes in the general level of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year ended December 31, 2010:</w:t>
      </w:r>
    </w:p>
    <w:p>
      <w:pPr>
        <w:spacing w:after="0" w:line="18"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$820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$23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December 31, 2010, total receivables amounted to $747 million, net of an allowance for doubtful accounts of $15 million. As of that date, financial advisory and asset management fees, customer and related party receivables comprised 64%, 9% and 27% of total receivables, respectively. At December 31, 2009, total receivables amounted to $557 million, net of an allowance for doubtful accounts of $12 million. As of that date, financial advisory and asset management fees, customer and related party receivables comprised 79%, 13% and 8% of total receivables, respectively. See also “Critical Accounting Policies and Estimates—Revenue Recognition” above and Note 4 of Notes to Consolidated Financial Statements for additional information regarding receivables.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December 31, 2010, excluding deposits with inter-bank counterparties, LFB had no exposure to an individual counterparty that exceeded $31 million, with such amount being fully collateralized.</w:t>
      </w:r>
    </w:p>
    <w:p>
      <w:pPr>
        <w:spacing w:after="0" w:line="12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With respect to activities outside LFB, as of December 31, 2010, the Company’s largest individual counterparty exposure was a Financial Advisory fee receivable of $25 million related to our Private Fund Advisory Group, the terms of which require payment over a four year period.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significant portion of the Company’s liabilities has fixed interest rates, while its cash and short-term investments generally have floating interest rates. Based on account balances as of December 31, 2010, Lazard estimates that its annual operating income relating to cash and short-term investments and corporate indebtedness would increase by approximately $10 million in the event interest rates were to increase by 1% and decrease by approximately $3 million if rates were to decrease by 1%.</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2010, the Company’s cash and cash equivalents totaled $1.0 billion. Substantially all of the Company’s cash and cash equivalents were invested in highly liquid institutional money market funds (a significant majority of which were invested solely in U.S. Government or agency securities)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3 of Notes to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15"/>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10820" w:type="dxa"/>
            <w:vAlign w:val="bottom"/>
            <w:gridSpan w:val="17"/>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169"/>
        </w:trPr>
        <w:tc>
          <w:tcPr>
            <w:tcW w:w="440" w:type="dxa"/>
            <w:vAlign w:val="bottom"/>
          </w:tcPr>
          <w:p>
            <w:pPr>
              <w:spacing w:after="0"/>
              <w:rPr>
                <w:sz w:val="14"/>
                <w:szCs w:val="14"/>
                <w:color w:val="auto"/>
              </w:rPr>
            </w:pPr>
          </w:p>
        </w:tc>
        <w:tc>
          <w:tcPr>
            <w:tcW w:w="10380" w:type="dxa"/>
            <w:vAlign w:val="bottom"/>
            <w:gridSpan w:val="16"/>
          </w:tcPr>
          <w:p>
            <w:pPr>
              <w:spacing w:after="0" w:line="170" w:lineRule="exact"/>
              <w:rPr>
                <w:rFonts w:ascii="Arial" w:cs="Arial" w:eastAsia="Arial" w:hAnsi="Arial"/>
                <w:sz w:val="18"/>
                <w:szCs w:val="18"/>
                <w:color w:val="0000EE"/>
              </w:rPr>
            </w:pPr>
            <w:hyperlink w:anchor="page71">
              <w:r>
                <w:rPr>
                  <w:rFonts w:ascii="Arial" w:cs="Arial" w:eastAsia="Arial" w:hAnsi="Arial"/>
                  <w:sz w:val="18"/>
                  <w:szCs w:val="18"/>
                  <w:color w:val="0000EE"/>
                </w:rPr>
                <w:t>Management’s Report On Internal Control Over Financial Reporting</w:t>
              </w:r>
            </w:hyperlink>
          </w:p>
        </w:tc>
        <w:tc>
          <w:tcPr>
            <w:tcW w:w="5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4"/>
                <w:szCs w:val="14"/>
                <w:color w:val="auto"/>
              </w:rPr>
            </w:pPr>
          </w:p>
        </w:tc>
      </w:tr>
      <w:tr>
        <w:trPr>
          <w:trHeight w:val="304"/>
        </w:trPr>
        <w:tc>
          <w:tcPr>
            <w:tcW w:w="440" w:type="dxa"/>
            <w:vAlign w:val="bottom"/>
          </w:tcPr>
          <w:p>
            <w:pPr>
              <w:spacing w:after="0"/>
              <w:rPr>
                <w:sz w:val="24"/>
                <w:szCs w:val="24"/>
                <w:color w:val="auto"/>
              </w:rPr>
            </w:pPr>
          </w:p>
        </w:tc>
        <w:tc>
          <w:tcPr>
            <w:tcW w:w="4820" w:type="dxa"/>
            <w:vAlign w:val="bottom"/>
            <w:tcBorders>
              <w:top w:val="single" w:sz="8" w:color="0000EE"/>
            </w:tcBorders>
            <w:gridSpan w:val="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Reports of Independent Registered Public Accounting Firm</w:t>
              </w:r>
            </w:hyperlink>
          </w:p>
        </w:tc>
        <w:tc>
          <w:tcPr>
            <w:tcW w:w="5560" w:type="dxa"/>
            <w:vAlign w:val="bottom"/>
            <w:gridSpan w:val="9"/>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70-71</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Consolidated Statements of Financial Condition as of December 31, 2010 and 2009</w:t>
              </w:r>
            </w:hyperlink>
          </w:p>
        </w:tc>
        <w:tc>
          <w:tcPr>
            <w:tcW w:w="4500" w:type="dxa"/>
            <w:vAlign w:val="bottom"/>
            <w:gridSpan w:val="7"/>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304"/>
        </w:trPr>
        <w:tc>
          <w:tcPr>
            <w:tcW w:w="440" w:type="dxa"/>
            <w:vAlign w:val="bottom"/>
          </w:tcPr>
          <w:p>
            <w:pPr>
              <w:spacing w:after="0"/>
              <w:rPr>
                <w:sz w:val="24"/>
                <w:szCs w:val="24"/>
                <w:color w:val="auto"/>
              </w:rPr>
            </w:pPr>
          </w:p>
        </w:tc>
        <w:tc>
          <w:tcPr>
            <w:tcW w:w="10380" w:type="dxa"/>
            <w:vAlign w:val="bottom"/>
            <w:gridSpan w:val="1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Operations for the years ended December 31, 2010, 2009 and 2008</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7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77">
              <w:r>
                <w:rPr>
                  <w:rFonts w:ascii="Arial" w:cs="Arial" w:eastAsia="Arial" w:hAnsi="Arial"/>
                  <w:sz w:val="18"/>
                  <w:szCs w:val="18"/>
                  <w:color w:val="0000EE"/>
                  <w:w w:val="86"/>
                </w:rPr>
                <w:t>Consolidated Statements of Cash Flows for the years ended December 31, 2010, 2009 and 2008</w:t>
              </w:r>
            </w:hyperlink>
          </w:p>
        </w:tc>
        <w:tc>
          <w:tcPr>
            <w:tcW w:w="3640" w:type="dxa"/>
            <w:vAlign w:val="bottom"/>
            <w:gridSpan w:val="3"/>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304"/>
        </w:trPr>
        <w:tc>
          <w:tcPr>
            <w:tcW w:w="440" w:type="dxa"/>
            <w:vAlign w:val="bottom"/>
          </w:tcPr>
          <w:p>
            <w:pPr>
              <w:spacing w:after="0"/>
              <w:rPr>
                <w:sz w:val="24"/>
                <w:szCs w:val="24"/>
                <w:color w:val="auto"/>
              </w:rPr>
            </w:pPr>
          </w:p>
        </w:tc>
        <w:tc>
          <w:tcPr>
            <w:tcW w:w="10380" w:type="dxa"/>
            <w:vAlign w:val="bottom"/>
            <w:gridSpan w:val="1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Changes in Members’ Equity for the years ended December 31, 2010, 2009 and 2008</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304"/>
        </w:trPr>
        <w:tc>
          <w:tcPr>
            <w:tcW w:w="44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81">
              <w:r>
                <w:rPr>
                  <w:rFonts w:ascii="Arial" w:cs="Arial" w:eastAsia="Arial" w:hAnsi="Arial"/>
                  <w:sz w:val="18"/>
                  <w:szCs w:val="18"/>
                  <w:color w:val="0000EE"/>
                  <w:w w:val="87"/>
                </w:rPr>
                <w:t>Notes to Consolidated Financial Statements</w:t>
              </w:r>
            </w:hyperlink>
          </w:p>
        </w:tc>
        <w:tc>
          <w:tcPr>
            <w:tcW w:w="4940" w:type="dxa"/>
            <w:vAlign w:val="bottom"/>
            <w:tcBorders>
              <w:top w:val="single" w:sz="8" w:color="0000EE"/>
            </w:tcBorders>
            <w:gridSpan w:val="10"/>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64"/>
        </w:trPr>
        <w:tc>
          <w:tcPr>
            <w:tcW w:w="10820" w:type="dxa"/>
            <w:vAlign w:val="bottom"/>
            <w:gridSpan w:val="17"/>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Supplemental Financial Information</w:t>
              </w:r>
            </w:hyperlink>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29">
              <w:r>
                <w:rPr>
                  <w:rFonts w:ascii="Arial" w:cs="Arial" w:eastAsia="Arial" w:hAnsi="Arial"/>
                  <w:sz w:val="18"/>
                  <w:szCs w:val="18"/>
                  <w:color w:val="0000EE"/>
                  <w:w w:val="87"/>
                </w:rPr>
                <w:t>Quarterly Results</w:t>
              </w:r>
            </w:hyperlink>
          </w:p>
        </w:tc>
        <w:tc>
          <w:tcPr>
            <w:tcW w:w="1060" w:type="dxa"/>
            <w:vAlign w:val="bottom"/>
            <w:tcBorders>
              <w:top w:val="single" w:sz="8" w:color="0000EE"/>
            </w:tcBorders>
          </w:tcPr>
          <w:p>
            <w:pPr>
              <w:spacing w:after="0"/>
              <w:rPr>
                <w:sz w:val="24"/>
                <w:szCs w:val="24"/>
                <w:color w:val="auto"/>
              </w:rPr>
            </w:pPr>
          </w:p>
        </w:tc>
        <w:tc>
          <w:tcPr>
            <w:tcW w:w="8080" w:type="dxa"/>
            <w:vAlign w:val="bottom"/>
            <w:gridSpan w:val="13"/>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302"/>
        </w:trPr>
        <w:tc>
          <w:tcPr>
            <w:tcW w:w="10820" w:type="dxa"/>
            <w:vAlign w:val="bottom"/>
            <w:gridSpan w:val="17"/>
          </w:tcPr>
          <w:p>
            <w:pPr>
              <w:spacing w:after="0"/>
              <w:rPr>
                <w:sz w:val="20"/>
                <w:szCs w:val="20"/>
                <w:color w:val="auto"/>
              </w:rPr>
            </w:pPr>
            <w:r>
              <w:rPr>
                <w:rFonts w:ascii="Arial" w:cs="Arial" w:eastAsia="Arial" w:hAnsi="Arial"/>
                <w:sz w:val="18"/>
                <w:szCs w:val="18"/>
                <w:b w:val="1"/>
                <w:bCs w:val="1"/>
                <w:color w:val="auto"/>
              </w:rPr>
              <w:t>Financial Statement Schedule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10820" w:type="dxa"/>
            <w:vAlign w:val="bottom"/>
            <w:gridSpan w:val="17"/>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380" w:type="dxa"/>
            <w:vAlign w:val="bottom"/>
            <w:gridSpan w:val="16"/>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Condensed Statements of Financial Condition as of December 31, 2010 and 2009</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5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76">
              <w:r>
                <w:rPr>
                  <w:rFonts w:ascii="Arial" w:cs="Arial" w:eastAsia="Arial" w:hAnsi="Arial"/>
                  <w:sz w:val="18"/>
                  <w:szCs w:val="18"/>
                  <w:color w:val="0000EE"/>
                  <w:w w:val="86"/>
                </w:rPr>
                <w:t>Condensed Statements of Operations for the years ended December 31, 2010, 2009 and 2008</w:t>
              </w:r>
            </w:hyperlink>
          </w:p>
        </w:tc>
        <w:tc>
          <w:tcPr>
            <w:tcW w:w="3840" w:type="dxa"/>
            <w:vAlign w:val="bottom"/>
            <w:gridSpan w:val="6"/>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r>
      <w:tr>
        <w:trPr>
          <w:trHeight w:val="304"/>
        </w:trPr>
        <w:tc>
          <w:tcPr>
            <w:tcW w:w="440" w:type="dxa"/>
            <w:vAlign w:val="bottom"/>
          </w:tcPr>
          <w:p>
            <w:pPr>
              <w:spacing w:after="0"/>
              <w:rPr>
                <w:sz w:val="24"/>
                <w:szCs w:val="24"/>
                <w:color w:val="auto"/>
              </w:rPr>
            </w:pPr>
          </w:p>
        </w:tc>
        <w:tc>
          <w:tcPr>
            <w:tcW w:w="660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177">
              <w:r>
                <w:rPr>
                  <w:rFonts w:ascii="Arial" w:cs="Arial" w:eastAsia="Arial" w:hAnsi="Arial"/>
                  <w:sz w:val="18"/>
                  <w:szCs w:val="18"/>
                  <w:color w:val="0000EE"/>
                  <w:w w:val="86"/>
                </w:rPr>
                <w:t>Condensed Statements of Cash Flows for the years ended December 31, 2010, 2009 and 2008</w:t>
              </w:r>
            </w:hyperlink>
          </w:p>
        </w:tc>
        <w:tc>
          <w:tcPr>
            <w:tcW w:w="3780" w:type="dxa"/>
            <w:vAlign w:val="bottom"/>
            <w:gridSpan w:val="5"/>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r>
      <w:tr>
        <w:trPr>
          <w:trHeight w:val="304"/>
        </w:trPr>
        <w:tc>
          <w:tcPr>
            <w:tcW w:w="440" w:type="dxa"/>
            <w:vAlign w:val="bottom"/>
          </w:tcPr>
          <w:p>
            <w:pPr>
              <w:spacing w:after="0"/>
              <w:rPr>
                <w:sz w:val="24"/>
                <w:szCs w:val="24"/>
                <w:color w:val="auto"/>
              </w:rPr>
            </w:pPr>
          </w:p>
        </w:tc>
        <w:tc>
          <w:tcPr>
            <w:tcW w:w="788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78">
              <w:r>
                <w:rPr>
                  <w:rFonts w:ascii="Arial" w:cs="Arial" w:eastAsia="Arial" w:hAnsi="Arial"/>
                  <w:sz w:val="18"/>
                  <w:szCs w:val="18"/>
                  <w:color w:val="0000EE"/>
                  <w:w w:val="87"/>
                </w:rPr>
                <w:t>Condensed Statements of Changes in Members’ Equity for the years ended December 31, 2010, 2009 and 2008</w:t>
              </w:r>
            </w:hyperlink>
          </w:p>
        </w:tc>
        <w:tc>
          <w:tcPr>
            <w:tcW w:w="2500" w:type="dxa"/>
            <w:vAlign w:val="bottom"/>
            <w:gridSpan w:val="2"/>
          </w:tcPr>
          <w:p>
            <w:pPr>
              <w:spacing w:after="0"/>
              <w:rPr>
                <w:sz w:val="24"/>
                <w:szCs w:val="24"/>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r>
      <w:tr>
        <w:trPr>
          <w:trHeight w:val="304"/>
        </w:trPr>
        <w:tc>
          <w:tcPr>
            <w:tcW w:w="440" w:type="dxa"/>
            <w:vAlign w:val="bottom"/>
          </w:tcPr>
          <w:p>
            <w:pPr>
              <w:spacing w:after="0"/>
              <w:rPr>
                <w:sz w:val="24"/>
                <w:szCs w:val="24"/>
                <w:color w:val="auto"/>
              </w:rPr>
            </w:pPr>
          </w:p>
        </w:tc>
        <w:tc>
          <w:tcPr>
            <w:tcW w:w="10380" w:type="dxa"/>
            <w:vAlign w:val="bottom"/>
            <w:gridSpan w:val="16"/>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Notes to Condensed Financial Statements</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F-8</w:t>
            </w:r>
          </w:p>
        </w:tc>
      </w:tr>
      <w:tr>
        <w:trPr>
          <w:trHeight w:val="383"/>
        </w:trPr>
        <w:tc>
          <w:tcPr>
            <w:tcW w:w="4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3"/>
          </w:tcPr>
          <w:p>
            <w:pPr>
              <w:spacing w:after="0"/>
              <w:rPr>
                <w:sz w:val="24"/>
                <w:szCs w:val="24"/>
                <w:color w:val="auto"/>
              </w:rPr>
            </w:pPr>
          </w:p>
        </w:tc>
        <w:tc>
          <w:tcPr>
            <w:tcW w:w="2800" w:type="dxa"/>
            <w:vAlign w:val="bottom"/>
            <w:gridSpan w:val="4"/>
          </w:tcPr>
          <w:p>
            <w:pPr>
              <w:jc w:val="right"/>
              <w:ind w:right="36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Management of Lazard Group LLC and its subsidiaries (the “Company”) is responsible for establishing and maintaining adequate internal control over financial reporting.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77" w:lineRule="exact"/>
        <w:rPr>
          <w:sz w:val="20"/>
          <w:szCs w:val="20"/>
          <w:color w:val="auto"/>
        </w:rPr>
      </w:pPr>
    </w:p>
    <w:p>
      <w:pPr>
        <w:ind w:left="780" w:right="56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37" w:lineRule="exact"/>
        <w:rPr>
          <w:rFonts w:ascii="Arial" w:cs="Arial" w:eastAsia="Arial" w:hAnsi="Arial"/>
          <w:sz w:val="18"/>
          <w:szCs w:val="18"/>
          <w:color w:val="auto"/>
        </w:rPr>
      </w:pPr>
    </w:p>
    <w:p>
      <w:pPr>
        <w:jc w:val="both"/>
        <w:ind w:left="780" w:right="660" w:hanging="326"/>
        <w:spacing w:after="0" w:line="259"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our receipts and expenditures are being made only in accordance with authorizations of the Company’s management and directors; and</w:t>
      </w:r>
    </w:p>
    <w:p>
      <w:pPr>
        <w:spacing w:after="0" w:line="45"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management’s assessment and those criteria, management believes that the Company maintained effective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of December 31, 2010.</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Deloitte &amp; Touche LLP, audited the Company’s internal control over financial reporting as of December 31, 2010, as stated in their report which appears under “Reports of Independent Registered Public Accounting Firm.”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ind w:right="22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Lazard Group LLC and subsidiaries (the “Company”) as of December 31,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2010,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7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listed in the Index at Item 8 as of and for the year ended December 31, 2010 of the Company, and our report dated February 25, 2011 expressed an unqualified opinion on those consolidated financial statements and financial statement schedule.</w:t>
      </w:r>
    </w:p>
    <w:p>
      <w:pPr>
        <w:spacing w:after="0" w:line="9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Members of Lazard Group LLC:</w:t>
      </w: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financial condition of Lazard Group LLC and subsidiaries (the “Company”) as of December 31, 2010 and 2009, and the related consolidated statements of operations, cash flows, and changes in members’ equity, for each of the three years in the period ended December 31, 2010. Our audits also included the financial statement schedule listed in the Index at Item 8. These consolidated financial statements and financial statement schedule are the responsibility of the Company’s management. Our responsibility is to express an opinion on the consolidated financial statements and financial statement schedule based on our audits.</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Lazard Group LLC and subsidiaries at December 31, 2010 and 2009, and the results of their operations and their cash flows for each of the three years in the period ended December 31, 2010,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2010,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25, 2011 expressed an unqualified opinion on the Company’s internal control over financial reporting.</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5"/>
          </w:tcPr>
          <w:p>
            <w:pPr>
              <w:ind w:lef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$1,024,792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899,733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900" w:type="dxa"/>
            <w:vAlign w:val="bottom"/>
          </w:tcPr>
          <w:p>
            <w:pPr>
              <w:jc w:val="right"/>
              <w:spacing w:after="0"/>
              <w:rPr>
                <w:sz w:val="20"/>
                <w:szCs w:val="20"/>
                <w:color w:val="auto"/>
              </w:rPr>
            </w:pPr>
            <w:r>
              <w:rPr>
                <w:rFonts w:ascii="Arial" w:cs="Arial" w:eastAsia="Arial" w:hAnsi="Arial"/>
                <w:sz w:val="18"/>
                <w:szCs w:val="18"/>
                <w:color w:val="auto"/>
              </w:rPr>
              <w:t>92,911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Receivables-net:</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Fees</w:t>
            </w:r>
          </w:p>
        </w:tc>
        <w:tc>
          <w:tcPr>
            <w:tcW w:w="900" w:type="dxa"/>
            <w:vAlign w:val="bottom"/>
          </w:tcPr>
          <w:p>
            <w:pPr>
              <w:jc w:val="right"/>
              <w:spacing w:after="0"/>
              <w:rPr>
                <w:sz w:val="20"/>
                <w:szCs w:val="20"/>
                <w:color w:val="auto"/>
              </w:rPr>
            </w:pPr>
            <w:r>
              <w:rPr>
                <w:rFonts w:ascii="Arial" w:cs="Arial" w:eastAsia="Arial" w:hAnsi="Arial"/>
                <w:sz w:val="18"/>
                <w:szCs w:val="18"/>
                <w:color w:val="auto"/>
              </w:rPr>
              <w:t>480,340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202,916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(includes $0 and $136,630 of debt securities at amortized cost at</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December 31, 2010 and 2009, respectively)</w:t>
            </w:r>
          </w:p>
        </w:tc>
        <w:tc>
          <w:tcPr>
            <w:tcW w:w="900" w:type="dxa"/>
            <w:vAlign w:val="bottom"/>
          </w:tcPr>
          <w:p>
            <w:pPr>
              <w:jc w:val="right"/>
              <w:spacing w:after="0"/>
              <w:rPr>
                <w:sz w:val="20"/>
                <w:szCs w:val="20"/>
                <w:color w:val="auto"/>
              </w:rPr>
            </w:pPr>
            <w:r>
              <w:rPr>
                <w:rFonts w:ascii="Arial" w:cs="Arial" w:eastAsia="Arial" w:hAnsi="Arial"/>
                <w:sz w:val="18"/>
                <w:szCs w:val="18"/>
                <w:color w:val="auto"/>
              </w:rPr>
              <w:t>388,138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9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w w:val="95"/>
              </w:rPr>
              <w:t>Property (net of accumulated amortization and depreciation of $250,898 and $239,603 at December 31, 2010 and 2009,</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900" w:type="dxa"/>
            <w:vAlign w:val="bottom"/>
          </w:tcPr>
          <w:p>
            <w:pPr>
              <w:jc w:val="right"/>
              <w:spacing w:after="0"/>
              <w:rPr>
                <w:sz w:val="20"/>
                <w:szCs w:val="20"/>
                <w:color w:val="auto"/>
              </w:rPr>
            </w:pPr>
            <w:r>
              <w:rPr>
                <w:rFonts w:ascii="Arial" w:cs="Arial" w:eastAsia="Arial" w:hAnsi="Arial"/>
                <w:sz w:val="18"/>
                <w:szCs w:val="18"/>
                <w:color w:val="auto"/>
              </w:rPr>
              <w:t>150,524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5"/>
              </w:rPr>
              <w:t>Goodwill and other intangible assets (net of accumulated amortization of $15,007 and $7,140 at December 31, 2010 and</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 respectively)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361,439</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assets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215,195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$ 3,336,284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3,115,048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361,553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498,880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1,076,850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22,903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244,193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491,458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90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2,845,837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2,832,117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w w:val="91"/>
              </w:rPr>
              <w:t>Members’ equity (net of 6,847,508 and 5,850,775 shares of Lazard Ltd Class A common stock, at cost of $227,950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ind w:left="640"/>
              <w:spacing w:after="0"/>
              <w:rPr>
                <w:sz w:val="20"/>
                <w:szCs w:val="20"/>
                <w:color w:val="auto"/>
              </w:rPr>
            </w:pPr>
            <w:r>
              <w:rPr>
                <w:rFonts w:ascii="Arial" w:cs="Arial" w:eastAsia="Arial" w:hAnsi="Arial"/>
                <w:sz w:val="18"/>
                <w:szCs w:val="18"/>
                <w:color w:val="auto"/>
              </w:rPr>
              <w:t>$191,140 at December 31, 2010 and 2009, respectively)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404,588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214,163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860"/>
              <w:spacing w:after="0"/>
              <w:rPr>
                <w:sz w:val="20"/>
                <w:szCs w:val="20"/>
                <w:color w:val="auto"/>
              </w:rPr>
            </w:pPr>
            <w:r>
              <w:rPr>
                <w:rFonts w:ascii="Arial" w:cs="Arial" w:eastAsia="Arial" w:hAnsi="Arial"/>
                <w:sz w:val="18"/>
                <w:szCs w:val="18"/>
                <w:color w:val="auto"/>
              </w:rPr>
              <w:t>Total Lazard Group members’ equity</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369,565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490,447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3,336,284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3,115,048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6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1,105,168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956,075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812,709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563,932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603,908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34,056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64,234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89,180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20,328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2,006,754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1,643,243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1,696,382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113,280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141,413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1,904,505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1,529,963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1,554,969</w:t>
            </w: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1,194,158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1,309,231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1,128,243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88,320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88,445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64,045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73,744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69,620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42,669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37,927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87,108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62,550</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32,474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1,657,696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1,711,951</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1,512,940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(181,988)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42,029</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45,385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31,727</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29,691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(213,715)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323"/>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(LOSS) ATTRIBUTABLE TO NONCONTROLLING INTERESTS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2,832</w:t>
            </w:r>
          </w:p>
        </w:tc>
        <w:tc>
          <w:tcPr>
            <w:tcW w:w="8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LAZARD GROUP</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(216,547)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201,424</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3"/>
              </w:rPr>
              <w:t>(213,715)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12,338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Noncash items included in net income (loss):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and amortization of property</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22,712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22,541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expenses, share-based incentive compensation and interest rate hedge</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315,617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371,363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245,575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intangible assets related to acquisitions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Deferred tax provision (benefit)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6,108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(8,017)</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Investment losses (including other-than-temporary impairment losses)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(Gains) losses on extinguishment of debt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(258)</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LAM Merger</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assets: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with banks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(221,072)</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84,033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248,438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Cash deposited with clearing organizations and other segregated cash</w:t>
            </w:r>
          </w:p>
        </w:tc>
        <w:tc>
          <w:tcPr>
            <w:tcW w:w="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(73,005)</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(5,004)</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Receivables-net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(199,048)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(1,927)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Investments</w:t>
            </w:r>
          </w:p>
        </w:tc>
        <w:tc>
          <w:tcPr>
            <w:tcW w:w="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(21,537)</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(37,293)</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517,288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25,930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operating liabilities: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 and other payables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43,535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(247,892)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(130,840)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Accrued compensation and benefits and other liabilities</w:t>
            </w:r>
          </w:p>
        </w:tc>
        <w:tc>
          <w:tcPr>
            <w:tcW w:w="60" w:type="dxa"/>
            <w:vAlign w:val="bottom"/>
          </w:tcPr>
          <w:p>
            <w:pPr>
              <w:spacing w:after="0"/>
              <w:rPr>
                <w:sz w:val="13"/>
                <w:szCs w:val="13"/>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(32,039)</w:t>
            </w:r>
          </w:p>
        </w:tc>
        <w:tc>
          <w:tcPr>
            <w:tcW w:w="8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274,778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(374,465)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53,627</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271,354</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602,653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Acquisition of businesses in 2009 (net of cash acquired of $6,641), and equity method investments</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(39,139)</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(74,855)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Disposition of and distributions from equity method investments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51,437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Additions to property</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(13,382)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(11,913)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Disposals of property</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held-to-maturity securities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3"/>
              </w:rPr>
              <w:t>(136,095)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held-to-maturity securities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132,209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available-for-sale securities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(3,466)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(147,340)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and maturities of available-for-sale securities</w:t>
            </w: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241,029</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93,472</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88,033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411,725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(96,558)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(151,928)</w:t>
            </w:r>
          </w:p>
        </w:tc>
        <w:tc>
          <w:tcPr>
            <w:tcW w:w="0" w:type="dxa"/>
            <w:vAlign w:val="bottom"/>
          </w:tcPr>
          <w:p>
            <w:pPr>
              <w:spacing w:after="0"/>
              <w:rPr>
                <w:sz w:val="1"/>
                <w:szCs w:val="1"/>
                <w:color w:val="auto"/>
              </w:rPr>
            </w:pPr>
          </w:p>
        </w:tc>
      </w:tr>
      <w:tr>
        <w:trPr>
          <w:trHeight w:val="156"/>
        </w:trPr>
        <w:tc>
          <w:tcPr>
            <w:tcW w:w="8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Issuance of common membership interests</w:t>
            </w:r>
          </w:p>
        </w:tc>
        <w:tc>
          <w:tcPr>
            <w:tcW w:w="6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437,500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Contributions from noncontrolling interests</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33,312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Senior borrowings</w:t>
            </w:r>
          </w:p>
        </w:tc>
        <w:tc>
          <w:tcPr>
            <w:tcW w:w="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(10,375)</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(635)</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(478,925)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Capital lease obligations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(2,400)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(2,980)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(18,234)</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(9,811)</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Repurchase of common membership interests from members of LAZ-MD Holdings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(7,248)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(13,285)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Purchase of Lazard Ltd Class A common stock</w:t>
            </w:r>
          </w:p>
        </w:tc>
        <w:tc>
          <w:tcPr>
            <w:tcW w:w="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(149,981)</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(50,479)</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(277,064)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Distributions to members</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3"/>
              </w:rPr>
              <w:t>(122,000)</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(118,214)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(127,108)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860"/>
              <w:spacing w:after="0" w:line="149" w:lineRule="exact"/>
              <w:rPr>
                <w:sz w:val="20"/>
                <w:szCs w:val="20"/>
                <w:color w:val="auto"/>
              </w:rPr>
            </w:pPr>
            <w:r>
              <w:rPr>
                <w:rFonts w:ascii="Arial" w:cs="Arial" w:eastAsia="Arial" w:hAnsi="Arial"/>
                <w:sz w:val="14"/>
                <w:szCs w:val="14"/>
                <w:color w:val="auto"/>
              </w:rPr>
              <w:t>Settlement of vested share-based incentive compensation</w:t>
            </w:r>
          </w:p>
        </w:tc>
        <w:tc>
          <w:tcPr>
            <w:tcW w:w="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(57,576)</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(13,220)</w:t>
            </w: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financing activities</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1280"/>
              <w:spacing w:after="0"/>
              <w:rPr>
                <w:sz w:val="20"/>
                <w:szCs w:val="20"/>
                <w:color w:val="auto"/>
              </w:rPr>
            </w:pPr>
            <w:r>
              <w:rPr>
                <w:rFonts w:ascii="Arial" w:cs="Arial" w:eastAsia="Arial" w:hAnsi="Arial"/>
                <w:sz w:val="14"/>
                <w:szCs w:val="14"/>
                <w:color w:val="auto"/>
              </w:rPr>
              <w:t>Net cash used in financing activities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3"/>
              </w:rPr>
              <w:t>(330,022)</w:t>
            </w: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3"/>
              </w:rPr>
              <w:t>(207,308)</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6"/>
              </w:rPr>
              <w:t>(480,936)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EFFECT OF EXCHANGE RATE CHANGES ON CASH</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(10,271)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(63,084)</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125,059</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(7,545)</w:t>
            </w:r>
          </w:p>
        </w:tc>
        <w:tc>
          <w:tcPr>
            <w:tcW w:w="8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EQUIVALENTS—January 1</w:t>
            </w: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899,733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907,278</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1,000,573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EQUIVALENTS—December 31</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1,024,792</w:t>
            </w:r>
          </w:p>
        </w:tc>
        <w:tc>
          <w:tcPr>
            <w:tcW w:w="3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899,733</w:t>
            </w:r>
          </w:p>
        </w:tc>
        <w:tc>
          <w:tcPr>
            <w:tcW w:w="3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907,278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8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b w:val="1"/>
                <w:bCs w:val="1"/>
                <w:color w:val="auto"/>
              </w:rPr>
              <w:t>Cash paid during the year for:</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101,751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98,611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420"/>
              <w:spacing w:after="0"/>
              <w:rPr>
                <w:sz w:val="20"/>
                <w:szCs w:val="20"/>
                <w:color w:val="auto"/>
              </w:rPr>
            </w:pPr>
            <w:r>
              <w:rPr>
                <w:rFonts w:ascii="Arial" w:cs="Arial" w:eastAsia="Arial" w:hAnsi="Arial"/>
                <w:sz w:val="14"/>
                <w:szCs w:val="14"/>
                <w:color w:val="auto"/>
              </w:rPr>
              <w:t>Income taxes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880" w:type="dxa"/>
            <w:vAlign w:val="bottom"/>
            <w:vMerge w:val="continue"/>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66,732</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28,185</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98,248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Members’</w:t>
            </w:r>
          </w:p>
        </w:tc>
        <w:tc>
          <w:tcPr>
            <w:tcW w:w="180" w:type="dxa"/>
            <w:vAlign w:val="bottom"/>
          </w:tcPr>
          <w:p>
            <w:pPr>
              <w:spacing w:after="0"/>
              <w:rPr>
                <w:sz w:val="12"/>
                <w:szCs w:val="12"/>
                <w:color w:val="auto"/>
              </w:rPr>
            </w:pPr>
          </w:p>
        </w:tc>
        <w:tc>
          <w:tcPr>
            <w:tcW w:w="13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 Lazard 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2"/>
                <w:szCs w:val="12"/>
                <w:color w:val="auto"/>
              </w:rPr>
            </w:pPr>
          </w:p>
        </w:tc>
        <w:tc>
          <w:tcPr>
            <w:tcW w:w="13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8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Members’ Equity</w:t>
            </w: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(Deficiency)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Net of Tax</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3"/>
              </w:rPr>
              <w:t>(Deficiency)</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2008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(81,980)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55,673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(26,307)</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51,755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25,448</w:t>
            </w:r>
          </w:p>
        </w:tc>
      </w:t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12,338</w:t>
            </w: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(151,761)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(151,761)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(151,762)</w:t>
            </w:r>
          </w:p>
        </w:tc>
      </w:tr>
      <w:tr>
        <w:trPr>
          <w:trHeight w:val="216"/>
        </w:trPr>
        <w:tc>
          <w:tcPr>
            <w:tcW w:w="20" w:type="dxa"/>
            <w:vAlign w:val="bottom"/>
          </w:tcPr>
          <w:p>
            <w:pPr>
              <w:spacing w:after="0"/>
              <w:rPr>
                <w:sz w:val="18"/>
                <w:szCs w:val="18"/>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280"/>
              <w:spacing w:after="0"/>
              <w:rPr>
                <w:sz w:val="20"/>
                <w:szCs w:val="20"/>
                <w:color w:val="auto"/>
              </w:rPr>
            </w:pPr>
            <w:r>
              <w:rPr>
                <w:rFonts w:ascii="Arial" w:cs="Arial" w:eastAsia="Arial" w:hAnsi="Arial"/>
                <w:sz w:val="18"/>
                <w:szCs w:val="18"/>
                <w:color w:val="auto"/>
              </w:rPr>
              <w:t>Net unrealized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(40,847)</w:t>
            </w: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(40,847)</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(40,850)</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 for items reclassified to earnings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Employee benefit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actuarial gain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14,154</w:t>
            </w:r>
          </w:p>
        </w:tc>
      </w:tr>
      <w:tr>
        <w:trPr>
          <w:trHeight w:val="223"/>
        </w:trPr>
        <w:tc>
          <w:tcPr>
            <w:tcW w:w="20" w:type="dxa"/>
            <w:vAlign w:val="bottom"/>
          </w:tcPr>
          <w:p>
            <w:pPr>
              <w:spacing w:after="0"/>
              <w:rPr>
                <w:sz w:val="19"/>
                <w:szCs w:val="19"/>
                <w:color w:val="auto"/>
              </w:rPr>
            </w:pPr>
          </w:p>
        </w:tc>
        <w:tc>
          <w:tcPr>
            <w:tcW w:w="5020" w:type="dxa"/>
            <w:vAlign w:val="bottom"/>
          </w:tcPr>
          <w:p>
            <w:pPr>
              <w:ind w:left="1280"/>
              <w:spacing w:after="0"/>
              <w:rPr>
                <w:sz w:val="20"/>
                <w:szCs w:val="20"/>
                <w:color w:val="auto"/>
              </w:rPr>
            </w:pPr>
            <w:r>
              <w:rPr>
                <w:rFonts w:ascii="Arial" w:cs="Arial" w:eastAsia="Arial" w:hAnsi="Arial"/>
                <w:sz w:val="18"/>
                <w:szCs w:val="18"/>
                <w:color w:val="auto"/>
              </w:rPr>
              <w:t>Adjustment for items reclassified to earnings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(151,409)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(164,746)</w:t>
            </w:r>
          </w:p>
        </w:tc>
      </w:tr>
      <w:tr>
        <w:trPr>
          <w:trHeight w:val="221"/>
        </w:trPr>
        <w:tc>
          <w:tcPr>
            <w:tcW w:w="5040" w:type="dxa"/>
            <w:vAlign w:val="bottom"/>
            <w:gridSpan w:val="2"/>
          </w:tcPr>
          <w:p>
            <w:pPr>
              <w:spacing w:after="0"/>
              <w:rPr>
                <w:sz w:val="20"/>
                <w:szCs w:val="20"/>
                <w:color w:val="auto"/>
              </w:rPr>
            </w:pPr>
            <w:r>
              <w:rPr>
                <w:rFonts w:ascii="Arial" w:cs="Arial" w:eastAsia="Arial" w:hAnsi="Arial"/>
                <w:sz w:val="18"/>
                <w:szCs w:val="18"/>
                <w:color w:val="auto"/>
              </w:rPr>
              <w:t>Amortization of share-based incentive compensation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234,602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234,602</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234,602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(127,108)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(127,108)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(144,645)</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(277,064)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(277,064)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(277,064)</w:t>
            </w:r>
          </w:p>
        </w:tc>
      </w:tr>
      <w:tr>
        <w:trPr>
          <w:trHeight w:val="20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7"/>
              </w:rPr>
              <w:t>Delivery of Lazard Ltd Class A common stock in connection with</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incentive compensation</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(4,291)</w:t>
            </w: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Issuance of 14,582,750 common membership interests in the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w w:val="97"/>
              </w:rPr>
              <w:t>settlement of the purchase contracts forming part of the ESUs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437,500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437,500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437,500</w:t>
            </w: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(2,559)</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(2,559)</w:t>
            </w: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Common membership interests issued in connection with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business acquisitions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18,416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18,416</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18,416</w:t>
            </w: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related to business acquisitions and related amortization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w:t>
            </w: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2008(*)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227,036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(121,407)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105,629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20,881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126,510</w:t>
            </w:r>
          </w:p>
        </w:tc>
      </w:tr>
      <w:tr>
        <w:trPr>
          <w:trHeight w:val="37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CONSOLIDATED STATEMENTS OF CHANGES IN MEMBERS’ EQUITY FOR THE YEARS ENDED DECEMBER 31, 2010, 2009 AND 2008—(Continued)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Members’</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Lazard Group</w:t>
            </w: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Members’</w:t>
            </w: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Members’ Equity</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Interests</w:t>
            </w:r>
          </w:p>
        </w:tc>
        <w:tc>
          <w:tcPr>
            <w:tcW w:w="2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$227,036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 (121,407)</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$105,629</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$20,881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126,510</w:t>
            </w: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(216,547)</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(216,547)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(213,715)</w:t>
            </w: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62,992</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62,992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63,189</w:t>
            </w: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1,077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1,077</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Available-for-sale securities: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060"/>
              <w:spacing w:after="0"/>
              <w:rPr>
                <w:sz w:val="20"/>
                <w:szCs w:val="20"/>
                <w:color w:val="auto"/>
              </w:rPr>
            </w:pPr>
            <w:r>
              <w:rPr>
                <w:rFonts w:ascii="Arial" w:cs="Arial" w:eastAsia="Arial" w:hAnsi="Arial"/>
                <w:sz w:val="18"/>
                <w:szCs w:val="18"/>
                <w:color w:val="auto"/>
              </w:rPr>
              <w:t>Net unrealized gain</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27,612</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27,612</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27,614</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 for items reclassified to earnings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1,268</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r>
      <w:tr>
        <w:trPr>
          <w:trHeight w:val="216"/>
        </w:trPr>
        <w:tc>
          <w:tcPr>
            <w:tcW w:w="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Employee benefit plans: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Prior service costs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(15,152)</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(15,152)</w:t>
            </w:r>
          </w:p>
        </w:tc>
      </w:tr>
      <w:tr>
        <w:trPr>
          <w:trHeight w:val="216"/>
        </w:trPr>
        <w:tc>
          <w:tcPr>
            <w:tcW w:w="20" w:type="dxa"/>
            <w:vAlign w:val="bottom"/>
          </w:tcPr>
          <w:p>
            <w:pPr>
              <w:spacing w:after="0"/>
              <w:rPr>
                <w:sz w:val="18"/>
                <w:szCs w:val="18"/>
                <w:color w:val="auto"/>
              </w:rPr>
            </w:pPr>
          </w:p>
        </w:tc>
        <w:tc>
          <w:tcPr>
            <w:tcW w:w="5580" w:type="dxa"/>
            <w:vAlign w:val="bottom"/>
          </w:tcPr>
          <w:p>
            <w:pPr>
              <w:ind w:left="1060"/>
              <w:spacing w:after="0"/>
              <w:rPr>
                <w:sz w:val="20"/>
                <w:szCs w:val="20"/>
                <w:color w:val="auto"/>
              </w:rPr>
            </w:pPr>
            <w:r>
              <w:rPr>
                <w:rFonts w:ascii="Arial" w:cs="Arial" w:eastAsia="Arial" w:hAnsi="Arial"/>
                <w:sz w:val="18"/>
                <w:szCs w:val="18"/>
                <w:color w:val="auto"/>
              </w:rPr>
              <w:t>Net actuarial loss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(18,215)</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(18,215)</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(18,215)</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 for items reclassified to earnings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3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(153,932)</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3,031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(150,901)</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358,062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358,062</w:t>
            </w:r>
          </w:p>
        </w:tc>
        <w:tc>
          <w:tcPr>
            <w:tcW w:w="3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0"/>
              </w:rPr>
              <w:t>Acquisitions of and distributions to members and noncontrolling interests, net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(118,214)</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(118,214)</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101,505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(16,709)</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(50,479)</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(50,479)</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(50,479)</w:t>
            </w:r>
          </w:p>
        </w:tc>
      </w:tr>
      <w:tr>
        <w:trPr>
          <w:trHeight w:val="208"/>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0"/>
              </w:rPr>
              <w:t>Delivery of Lazard Ltd Class A common stock in connection with share-based</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incentive compensation</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(13,220)</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(13,220)</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(13,220)</w:t>
            </w: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9"/>
              </w:rPr>
              <w:t>Repurchase of common membership interests from LAZ-MD Holdings</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(13,285)</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(13,285)</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(13,285)</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88"/>
              </w:rPr>
              <w:t>Common membership interests issued in connection with business acquisitions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32,384</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32,384</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32,384</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related to noncontrolling interests</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(2,143)</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(2,143)</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Adjustments related to business acquisitions and related amortization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10,778</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10,778</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10,778</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2009(*)</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214,163</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$(58,792)</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$155,371</w:t>
            </w: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$127,560</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282,931</w:t>
            </w:r>
          </w:p>
        </w:tc>
        <w:tc>
          <w:tcPr>
            <w:tcW w:w="10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w w:val="89"/>
              </w:rPr>
              <w:t>77</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Accumulated Other</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Total Lazard</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Members’</w:t>
            </w: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Group Members’</w:t>
            </w: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Total Members’</w:t>
            </w:r>
          </w:p>
        </w:tc>
      </w:t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Equity</w:t>
            </w:r>
          </w:p>
        </w:tc>
        <w:tc>
          <w:tcPr>
            <w:tcW w:w="280" w:type="dxa"/>
            <w:vAlign w:val="bottom"/>
            <w:gridSpan w:val="2"/>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80" w:type="dxa"/>
            <w:vAlign w:val="bottom"/>
          </w:tcPr>
          <w:p>
            <w:pPr>
              <w:spacing w:after="0"/>
              <w:rPr>
                <w:sz w:val="14"/>
                <w:szCs w:val="14"/>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Interests</w:t>
            </w: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$214,163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$(58,792)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$155,371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$127,560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$282,931</w:t>
            </w:r>
          </w:p>
        </w:tc>
      </w:tr>
      <w:tr>
        <w:trPr>
          <w:trHeight w:val="222"/>
        </w:trPr>
        <w:tc>
          <w:tcPr>
            <w:tcW w:w="55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194,544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6,880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201,424</w:t>
            </w:r>
          </w:p>
        </w:tc>
      </w:tr>
      <w:tr>
        <w:trPr>
          <w:trHeight w:val="216"/>
        </w:trPr>
        <w:tc>
          <w:tcPr>
            <w:tcW w:w="55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(loss)-net of tax:</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(9,456)</w:t>
            </w:r>
          </w:p>
        </w:tc>
      </w:tr>
      <w:tr>
        <w:trPr>
          <w:trHeight w:val="216"/>
        </w:trPr>
        <w:tc>
          <w:tcPr>
            <w:tcW w:w="5540" w:type="dxa"/>
            <w:vAlign w:val="bottom"/>
            <w:gridSpan w:val="2"/>
          </w:tcPr>
          <w:p>
            <w:pPr>
              <w:ind w:left="44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1,163</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r>
      <w:tr>
        <w:trPr>
          <w:trHeight w:val="216"/>
        </w:trPr>
        <w:tc>
          <w:tcPr>
            <w:tcW w:w="5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ind w:left="660"/>
              <w:spacing w:after="0"/>
              <w:rPr>
                <w:sz w:val="20"/>
                <w:szCs w:val="20"/>
                <w:color w:val="auto"/>
              </w:rPr>
            </w:pPr>
            <w:r>
              <w:rPr>
                <w:rFonts w:ascii="Arial" w:cs="Arial" w:eastAsia="Arial" w:hAnsi="Arial"/>
                <w:sz w:val="18"/>
                <w:szCs w:val="18"/>
                <w:color w:val="auto"/>
              </w:rPr>
              <w:t>Net unrealized gain</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3,129</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3,129</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r>
      <w:tr>
        <w:trPr>
          <w:trHeight w:val="216"/>
        </w:trPr>
        <w:tc>
          <w:tcPr>
            <w:tcW w:w="5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9,501</w:t>
            </w:r>
          </w:p>
        </w:tc>
      </w:tr>
      <w:tr>
        <w:trPr>
          <w:trHeight w:val="216"/>
        </w:trPr>
        <w:tc>
          <w:tcPr>
            <w:tcW w:w="5540" w:type="dxa"/>
            <w:vAlign w:val="bottom"/>
            <w:gridSpan w:val="2"/>
          </w:tcPr>
          <w:p>
            <w:pPr>
              <w:ind w:left="440"/>
              <w:spacing w:after="0"/>
              <w:rPr>
                <w:sz w:val="20"/>
                <w:szCs w:val="20"/>
                <w:color w:val="auto"/>
              </w:rPr>
            </w:pPr>
            <w:r>
              <w:rPr>
                <w:rFonts w:ascii="Arial" w:cs="Arial" w:eastAsia="Arial" w:hAnsi="Arial"/>
                <w:sz w:val="18"/>
                <w:szCs w:val="18"/>
                <w:color w:val="auto"/>
              </w:rPr>
              <w:t>Employee benefit plans: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actuarial gain</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17,841</w:t>
            </w:r>
          </w:p>
        </w:tc>
      </w:tr>
      <w:tr>
        <w:trPr>
          <w:trHeight w:val="223"/>
        </w:trPr>
        <w:tc>
          <w:tcPr>
            <w:tcW w:w="5540" w:type="dxa"/>
            <w:vAlign w:val="bottom"/>
            <w:gridSpan w:val="2"/>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1,643</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2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r>
      <w:tr>
        <w:trPr>
          <w:trHeight w:val="216"/>
        </w:trPr>
        <w:tc>
          <w:tcPr>
            <w:tcW w:w="5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218,313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6,932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225,245</w:t>
            </w:r>
          </w:p>
        </w:tc>
      </w:tr>
      <w:tr>
        <w:trPr>
          <w:trHeight w:val="221"/>
        </w:trPr>
        <w:tc>
          <w:tcPr>
            <w:tcW w:w="5540" w:type="dxa"/>
            <w:vAlign w:val="bottom"/>
            <w:gridSpan w:val="2"/>
          </w:tcPr>
          <w:p>
            <w:pPr>
              <w:spacing w:after="0"/>
              <w:rPr>
                <w:sz w:val="20"/>
                <w:szCs w:val="20"/>
                <w:color w:val="auto"/>
              </w:rPr>
            </w:pPr>
            <w:r>
              <w:rPr>
                <w:rFonts w:ascii="Arial" w:cs="Arial" w:eastAsia="Arial" w:hAnsi="Arial"/>
                <w:sz w:val="18"/>
                <w:szCs w:val="18"/>
                <w:color w:val="auto"/>
              </w:rPr>
              <w:t>Amortization of share-based incentive compensation awards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305,303</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305,303</w:t>
            </w:r>
          </w:p>
        </w:tc>
        <w:tc>
          <w:tcPr>
            <w:tcW w:w="2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305,303</w:t>
            </w:r>
          </w:p>
        </w:tc>
        <w:tc>
          <w:tcPr>
            <w:tcW w:w="100" w:type="dxa"/>
            <w:vAlign w:val="bottom"/>
          </w:tcPr>
          <w:p>
            <w:pPr>
              <w:spacing w:after="0"/>
              <w:rPr>
                <w:sz w:val="19"/>
                <w:szCs w:val="19"/>
                <w:color w:val="auto"/>
              </w:rPr>
            </w:pPr>
          </w:p>
        </w:tc>
      </w:tr>
      <w:tr>
        <w:trPr>
          <w:trHeight w:val="218"/>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(122,000)</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(135,610)</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Purchase of Lazard Ltd Class A common stock</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(149,981)</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(149,981)</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(149,981)</w:t>
            </w:r>
          </w:p>
        </w:tc>
      </w:tr>
      <w:tr>
        <w:trPr>
          <w:trHeight w:val="208"/>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Delivery of Lazard Ltd Class A common stock in connection with share-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based incentive compensation</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(57,576)</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(57,576)</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(57,576)</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w w:val="99"/>
              </w:rPr>
              <w:t>Repurchase of common membership interests from LAZ-MD Holdings</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(7,248)</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(7,248)</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(7,248)</w:t>
            </w:r>
          </w:p>
        </w:tc>
      </w:tr>
      <w:tr>
        <w:trPr>
          <w:trHeight w:val="208"/>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membership interests issued in connection with business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20,804</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20,804</w:t>
            </w:r>
          </w:p>
        </w:tc>
      </w:tr>
      <w:tr>
        <w:trPr>
          <w:trHeight w:val="208"/>
        </w:trPr>
        <w:tc>
          <w:tcPr>
            <w:tcW w:w="5540" w:type="dxa"/>
            <w:vAlign w:val="bottom"/>
            <w:gridSpan w:val="2"/>
          </w:tcPr>
          <w:p>
            <w:pPr>
              <w:spacing w:after="0"/>
              <w:rPr>
                <w:sz w:val="20"/>
                <w:szCs w:val="20"/>
                <w:color w:val="auto"/>
              </w:rPr>
            </w:pPr>
            <w:r>
              <w:rPr>
                <w:rFonts w:ascii="Arial" w:cs="Arial" w:eastAsia="Arial" w:hAnsi="Arial"/>
                <w:sz w:val="18"/>
                <w:szCs w:val="18"/>
                <w:color w:val="auto"/>
                <w:w w:val="98"/>
              </w:rPr>
              <w:t>Lazard Ltd Class A common stock issued / issuable in connection with</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540" w:type="dxa"/>
            <w:vAlign w:val="bottom"/>
            <w:gridSpan w:val="2"/>
          </w:tcPr>
          <w:p>
            <w:pPr>
              <w:ind w:left="220"/>
              <w:spacing w:after="0"/>
              <w:rPr>
                <w:sz w:val="20"/>
                <w:szCs w:val="20"/>
                <w:color w:val="auto"/>
              </w:rPr>
            </w:pPr>
            <w:r>
              <w:rPr>
                <w:rFonts w:ascii="Arial" w:cs="Arial" w:eastAsia="Arial" w:hAnsi="Arial"/>
                <w:sz w:val="18"/>
                <w:szCs w:val="18"/>
                <w:color w:val="auto"/>
              </w:rPr>
              <w:t>business acquisitions and LAM Merger and related amortization</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6,701</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6,701</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6,701</w:t>
            </w:r>
          </w:p>
        </w:tc>
      </w:tr>
      <w:tr>
        <w:trPr>
          <w:trHeight w:val="218"/>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Balance–December 31, 2010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404,588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$(35,023)</w:t>
            </w: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$369,565</w:t>
            </w: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$120,882</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$490,447</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1160" w:type="dxa"/>
            <w:vAlign w:val="bottom"/>
            <w:tcBorders>
              <w:bottom w:val="single" w:sz="8" w:color="auto"/>
            </w:tcBorders>
          </w:tcPr>
          <w:p>
            <w:pPr>
              <w:spacing w:after="0"/>
              <w:rPr>
                <w:sz w:val="4"/>
                <w:szCs w:val="4"/>
                <w:color w:val="auto"/>
              </w:rPr>
            </w:pPr>
          </w:p>
        </w:tc>
        <w:tc>
          <w:tcPr>
            <w:tcW w:w="4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122,233,664, 123,686,338 and 127,350,561 common membership interests at December 31, 2008, 2009 and 2010,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7040" w:firstLine="8"/>
        <w:spacing w:after="0" w:line="328" w:lineRule="auto"/>
        <w:tabs>
          <w:tab w:leader="none" w:pos="446"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accompanying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2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Lazard Ltd, a Bermuda holding company, through its subsidiaries held approximately 94.0% and 74.5% of all outstanding Lazard Group common membership interests as of December 31, 2010 and 2009, respectively. Lazard Ltd, through its control of the managing members of Lazard Group, controls Lazard Group.</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LAZ-MD Holdings LLC (“LAZ-MD Holdings”), an entity owned by Lazard Group’s current and former managing directors, held approximately 6.0% and 25.5% of the outstanding Lazard Group common membership interests as of December 31, 2010 and 2009, respectively. Additionally, LAZ-MD Holdings was the sole owner of the one issued and outstanding share of Lazard Ltd’s Class B common stock (the “Class B common stock”) which provided LAZ-MD Holdings with approximately 6.0% and 25.5% of the voting power but no economic rights in the Company as of December 31, 2010 and 2009, respectively. Subject to certain limitations, LAZ-MD Holdings’ interests in Lazard Group are exchangeable for Lazard Ltd Class A common stock, par value $0.01 per share (“Class A common stock”).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77" w:lineRule="exact"/>
        <w:rPr>
          <w:sz w:val="20"/>
          <w:szCs w:val="20"/>
          <w:color w:val="auto"/>
        </w:rPr>
      </w:pPr>
    </w:p>
    <w:p>
      <w:pPr>
        <w:ind w:left="780" w:right="18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Asset Management, which includes the management of equity and fixed income securities, alternative investments and private equity funds.</w:t>
      </w:r>
    </w:p>
    <w:p>
      <w:pPr>
        <w:spacing w:after="0" w:line="20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consolidated financial statements are prepared in conformity with accounting principles generally accepted in the United States of America (“U.S. GAAP”). 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4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SIGNIFICANT ACCOUNTING POLICIES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accounting policies below relate to reported amounts on the consolidated financial statements.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Foreign Currency Translation—</w:t>
      </w:r>
      <w:r>
        <w:rPr>
          <w:rFonts w:ascii="Arial" w:cs="Arial" w:eastAsia="Arial" w:hAnsi="Arial"/>
          <w:sz w:val="16"/>
          <w:szCs w:val="16"/>
          <w:color w:val="auto"/>
        </w:rPr>
        <w:t>The consolidated financial statements are presented in U.S. dollars. Many of the Company’s non-U.S. subsidiaries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year-end exchange rates, while revenue and expenses are translated at average exchange rates during the year based on the daily closing exchange rates. Adjustments that result from translating amounts from a subsidiary’s functional currency to U.S. dollars are reported in “accumulated other comprehensive income (loss), net of tax” (“AOCI”). Foreign currency remeasurement gains and losses on transactions in non-functional currencies are included on the consolidated statements of operations. Net foreign currency remeasurement gains (losses) amounted to $(1,606), $5,713 and $14,654, respectively, for the years ended December 31, 2010, 2009 and 2008, and are included in “revenue-other” on the respective consolidated statements of operations.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In preparing the consolidated financial statements, management makes estimates and assumptions regarding:</w:t>
      </w:r>
    </w:p>
    <w:p>
      <w:pPr>
        <w:spacing w:after="0" w:line="77" w:lineRule="exact"/>
        <w:rPr>
          <w:sz w:val="20"/>
          <w:szCs w:val="20"/>
          <w:color w:val="auto"/>
        </w:rPr>
      </w:pPr>
    </w:p>
    <w:p>
      <w:pPr>
        <w:ind w:left="780" w:right="42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valuations of assets and liabilities requiring fair value estimates including, but not limited to, investments, derivatives and securities sold, not yet purchased;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adequacy of the allowance for doubtful accounts;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realization of deferred taxes and adequacy of tax reserves for uncertain tax positions;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outcome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carrying amount of goodwill and other intangible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amortization period of intangible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valuation of shares issued or issuable that contain transfer restrictions;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share-based compensation plan forfeitures;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matters that affect the reported amounts and disclosure of contingencies in the financial statements.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Estimates, by their nature, are based on judgment and available information. Therefore, actual results could differ from those estimates and could have a material impact on the consolidated financial statements.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defines cash equivalents as short-term, highly liquid securities and cash deposits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when purchased.</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Deposits with Banks</w:t>
      </w:r>
      <w:r>
        <w:rPr>
          <w:rFonts w:ascii="Arial" w:cs="Arial" w:eastAsia="Arial" w:hAnsi="Arial"/>
          <w:sz w:val="18"/>
          <w:szCs w:val="18"/>
          <w:color w:val="auto"/>
        </w:rPr>
        <w:t>—Represents LFB’s short-term deposits, principally with the Banque de France. The level of these deposits may be driven by the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LFB customer and bank-related interest-bearing time and demand deposits (which can fluctuate significantly on a daily basis) and by changes in asset allocation.</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Cash Deposited with Clearing Organizations and Other Segregated Cash—</w:t>
      </w:r>
      <w:r>
        <w:rPr>
          <w:rFonts w:ascii="Arial" w:cs="Arial" w:eastAsia="Arial" w:hAnsi="Arial"/>
          <w:sz w:val="18"/>
          <w:szCs w:val="18"/>
          <w:color w:val="auto"/>
        </w:rPr>
        <w:t>Primarily represents restricted cash deposits made by the Company,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to satisfy the requirements of clearing organizations.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color w:val="auto"/>
        </w:rPr>
        <w:t>We maintain an allowance for bad debts to provide for estimated losses relating to fees and customer receivables.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the adequacy of the allowance by estimating the probability of loss based on management’s analysis of the client’s creditworthiness and specifically reserve against exposures where we determine the receivables may be impaired, which may include situations where a fee is in dispute or litigation has commenced.</w:t>
      </w:r>
    </w:p>
    <w:p>
      <w:pPr>
        <w:spacing w:after="0" w:line="13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collectable.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of Notes to Consolidated Financial Statements for additional information regarding receivables.</w:t>
      </w:r>
    </w:p>
    <w:p>
      <w:pPr>
        <w:spacing w:after="0" w:line="152"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b w:val="1"/>
          <w:bCs w:val="1"/>
          <w:color w:val="auto"/>
        </w:rPr>
        <w:t>—</w:t>
      </w:r>
      <w:r>
        <w:rPr>
          <w:rFonts w:ascii="Arial" w:cs="Arial" w:eastAsia="Arial" w:hAnsi="Arial"/>
          <w:sz w:val="18"/>
          <w:szCs w:val="18"/>
          <w:color w:val="auto"/>
        </w:rPr>
        <w:t>Investments in debt and marketable equity securities held either directly or indirectly through asset management funds at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broker-dealer subsidiaries are accounted for at fair value, with any increase or decrease in fair value recorded in earnings in accordance with standard industry practices. Such amounts are reflected in “revenue-other” in the consolidated statements of operations.</w:t>
      </w:r>
    </w:p>
    <w:p>
      <w:pPr>
        <w:spacing w:after="0" w:line="1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Investments in debt and marketable equity securities held at the Company’s non broker-dealer subsidiaries may include “trading”, “available-for-sale” and “held-to-maturity” securities. Investments in debt and marketable equity securities considered “trading” securities are accounted for at fair value, with any increase or decrease in fair value reflected in “revenue-other” in the consolidated statements of operations. Investments in debt securities considered “available-for-sale” securities are accounted for at fair value, with any increase or decrease in fair value reported in AOCI, until such time they are realized and reclassified to earnings. Investments in debt securities considered “held-to-maturity” securities are accounted for at amortized cost. Declines in the fair value of “available-for-sale” and “held-to-maturity” securities that are determined to be other-than-temporary are charged to earnings, which, for periods beginning after April 1, 2009, may only include the credit loss component of such declines. At December 31, 2010, the Company had no “available-for-sale” or “held-to-maturity” debt or marketable equity securities.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Other investments include general partnership and limited partnership interests in alternative asset management funds and private equity investments accounted for at fair value, as well as investments accounted for under the equity method of accounting. Any increases or decreases in the carrying value of those investments accounted for at fair value and the Company’s share of net income or losses pertaining to its equity method investments are reflected in “revenue-other” in the consolidated statements of operations.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Dividend income is reflected in “revenue-other” on the consolidated statements of operations. Interest income includes accretion or amortization of any discount or premium arising at acquisition of the related debt security. Securities transactions and the related revenue and expenses are recorded on a “trade date” basis.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Notes 5 and 6 of Notes to Consolidated Financial Statements for additional information regarding the Company’s investments.</w:t>
      </w:r>
    </w:p>
    <w:p>
      <w:pPr>
        <w:spacing w:after="0" w:line="158"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b w:val="1"/>
          <w:bCs w:val="1"/>
          <w:i w:val="1"/>
          <w:iCs w:val="1"/>
          <w:color w:val="auto"/>
        </w:rPr>
        <w:t>Property-net—</w:t>
      </w:r>
      <w:r>
        <w:rPr>
          <w:rFonts w:ascii="Arial" w:cs="Arial" w:eastAsia="Arial" w:hAnsi="Arial"/>
          <w:sz w:val="15"/>
          <w:szCs w:val="15"/>
          <w:color w:val="auto"/>
        </w:rPr>
        <w:t>Buildings, leasehold improvements and furniture and equipment are stated at cost or, in the case of buildings under capital leases,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present value of the future minimum lease payments, less accumulated depreciation and amortization. Buildings represent owned property and amounts recorded pursuant to capital leases (see Notes 10 and 14 of Notes to Consolidated Financial Statements), with the related obligations recorded as capital lease obligations. Such buildings are depreciated on a straight-line basis over their estimated useful lives. Leasehold improvements are capitalized and are amortized over the lesser of the economic useful life of the improvement or the term of the lease. Depreciation of furniture and equipment, including computer hardware and software, is determined on a straight-line basis using estimated useful lives. Depreciation and amortization expense aggregating $22,712, $22,541 and $20,825 for the years ended December 31, 2010, 2009 and 2008, respectively, is included on the respective consolidated statements of operations in “occupancy and equipment” or “technology and information services”, depending on the nature of the underlying asset. Repairs and maintenance are expensed as incurred.</w:t>
      </w:r>
    </w:p>
    <w:p>
      <w:pPr>
        <w:spacing w:after="0" w:line="9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Goodwill and Other Intangible Assets—</w:t>
      </w:r>
      <w:r>
        <w:rPr>
          <w:rFonts w:ascii="Arial" w:cs="Arial" w:eastAsia="Arial" w:hAnsi="Arial"/>
          <w:sz w:val="16"/>
          <w:szCs w:val="16"/>
          <w:color w:val="auto"/>
        </w:rPr>
        <w:t>As goodwill has an indefinite life, it is required to be tested for impairment annually or more frequently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impairment may have occurred. The Company assesses whether any goodwill recorded by its applicable reporting units is impaired by comparing the fair value of each reporting unit with its respective carrying amount. In this process, Lazard uses its best judgment and information available to it at the time to perform this review and utilizes various valuation techniques in order to determine the applicable fair values.</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Intangible assets that are not deemed to have an indefinite life are amortized over their estimated useful lives and are reviewed for impairment whenever events or changes in circumstances indicate that the carrying amount of such assets may not be recoverable. This analysis is performed by comparing the carrying value of the intangible asset being reviewed for impairment to the current and expected future cash flows expected to be generated from such asset on an undiscounted basis, including eventual disposition. An impairment loss would be measured for the amount by which the carrying amount of the intangible asset exceeds its fair value.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11 of Notes to Consolidated Financial Statements with respect to goodwill and other intangible assets.</w:t>
      </w:r>
    </w:p>
    <w:p>
      <w:pPr>
        <w:spacing w:after="0" w:line="15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i w:val="1"/>
          <w:iCs w:val="1"/>
          <w:color w:val="auto"/>
        </w:rPr>
        <w:t>Derivative Instruments—</w:t>
      </w:r>
      <w:r>
        <w:rPr>
          <w:rFonts w:ascii="Arial" w:cs="Arial" w:eastAsia="Arial" w:hAnsi="Arial"/>
          <w:sz w:val="16"/>
          <w:szCs w:val="16"/>
          <w:color w:val="auto"/>
        </w:rPr>
        <w:t>A derivative is typically defined as an instrument whose value is “derived” from underlying assets, indices or reference rates,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a future, forward, swap, or option contract, or other financial instrument with similar characteristics. Derivative contracts often involve future commitments to exchange interest payment streams or currencies based on a notional or contractual amount (</w:t>
      </w:r>
      <w:r>
        <w:rPr>
          <w:rFonts w:ascii="Arial" w:cs="Arial" w:eastAsia="Arial" w:hAnsi="Arial"/>
          <w:sz w:val="16"/>
          <w:szCs w:val="16"/>
          <w:i w:val="1"/>
          <w:iCs w:val="1"/>
          <w:color w:val="auto"/>
        </w:rPr>
        <w:t>e.g.</w:t>
      </w:r>
      <w:r>
        <w:rPr>
          <w:rFonts w:ascii="Arial" w:cs="Arial" w:eastAsia="Arial" w:hAnsi="Arial"/>
          <w:sz w:val="16"/>
          <w:szCs w:val="16"/>
          <w:color w:val="auto"/>
        </w:rPr>
        <w:t>, interest rate swaps or currency forwards) or to purchase or sell other financial instruments at specified terms on a specified date (</w:t>
      </w:r>
      <w:r>
        <w:rPr>
          <w:rFonts w:ascii="Arial" w:cs="Arial" w:eastAsia="Arial" w:hAnsi="Arial"/>
          <w:sz w:val="16"/>
          <w:szCs w:val="16"/>
          <w:i w:val="1"/>
          <w:iCs w:val="1"/>
          <w:color w:val="auto"/>
        </w:rPr>
        <w:t>e.g.</w:t>
      </w:r>
      <w:r>
        <w:rPr>
          <w:rFonts w:ascii="Arial" w:cs="Arial" w:eastAsia="Arial" w:hAnsi="Arial"/>
          <w:sz w:val="16"/>
          <w:szCs w:val="16"/>
          <w:color w:val="auto"/>
        </w:rPr>
        <w:t>, options to buy or sell securities or currencies).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swaps and other derivative contracts to hedge exposures to fluctuations in currency exchange rates, interest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its then “available-for-sale” securities, the Company elected not to apply hedge accounting to its other derivative instruments held. Gains and losses on the Company’s derivatives not designated as hedging instruments, as well as gains and losses on derivatives accounted for as fair value hedges, are included in “interest income” and “interest expense”, respectively, or “revenue-other”, depending on the nature of the underlying item, on the consolidated statements of operations. Furthermore, with respect to derivatives designated as fair value hedges, the hedged item is required to be adjusted for changes in fair value of the risk being hedged, with such adjustment accounted for in the consolidated statements of operations.</w:t>
      </w:r>
    </w:p>
    <w:p>
      <w:pPr>
        <w:spacing w:after="0" w:line="100"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i w:val="1"/>
          <w:iCs w:val="1"/>
          <w:color w:val="auto"/>
        </w:rPr>
        <w:t>Deposits and Other Customer Payables</w:t>
      </w:r>
      <w:r>
        <w:rPr>
          <w:rFonts w:ascii="Arial" w:cs="Arial" w:eastAsia="Arial" w:hAnsi="Arial"/>
          <w:sz w:val="16"/>
          <w:szCs w:val="16"/>
          <w:b w:val="1"/>
          <w:bCs w:val="1"/>
          <w:color w:val="auto"/>
        </w:rPr>
        <w:t>—</w:t>
      </w:r>
      <w:r>
        <w:rPr>
          <w:rFonts w:ascii="Arial" w:cs="Arial" w:eastAsia="Arial" w:hAnsi="Arial"/>
          <w:sz w:val="16"/>
          <w:szCs w:val="16"/>
          <w:color w:val="auto"/>
        </w:rPr>
        <w:t>Principally relates to LFB customer-related interest-bearing time and demand deposits, short-term inter-bank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borrowing with banks and amounts due on collateralized borrowing activities. Collateralized borrowing activities amounted to $7,483 and $18,008 at December 31, 2010 and 2009, respectively, and were fully collateralized with pledged assets of equal or greater value at each such date.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Securities Sold, Not Yet Purchased—</w:t>
      </w:r>
      <w:r>
        <w:rPr>
          <w:rFonts w:ascii="Arial" w:cs="Arial" w:eastAsia="Arial" w:hAnsi="Arial"/>
          <w:sz w:val="18"/>
          <w:szCs w:val="18"/>
          <w:color w:val="auto"/>
        </w:rPr>
        <w:t>Securities sold, not yet purchased represents liabilities for securities sold for which payment has been received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obligations to deliver such securities are included within “other liabilities” in the consolidated statements of financial condition. These securities are accounted for at fair value, with any increase or decrease in fair value recorded in earnings in accordance with standard industry practices. Such gains and losses are reflected in “revenue-other” in the consolidated statements of operations.</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Fair Value of Financial Assets and Liabilities—</w:t>
      </w:r>
      <w:r>
        <w:rPr>
          <w:rFonts w:ascii="Arial" w:cs="Arial" w:eastAsia="Arial" w:hAnsi="Arial"/>
          <w:sz w:val="18"/>
          <w:szCs w:val="18"/>
          <w:color w:val="auto"/>
        </w:rPr>
        <w:t>The majority of the Company’s financial assets and liabilities are recorded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 fair value. Such assets and liabilities include cash and cash equivalents, deposits with banks, cash deposited with clearing organizations and other segregated cash, receivables, investments (excluding investments accounted for at amortized cost or using the equity method of accounting), derivative instruments and deposits and other customer payables. For information regarding the fair value of the Company’s senior and subordinated debt, see Note 13 of Notes to Consolidated Financial Statements.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Investment Banking and Other Advisory Fees—</w:t>
      </w:r>
      <w:r>
        <w:rPr>
          <w:rFonts w:ascii="Arial" w:cs="Arial" w:eastAsia="Arial" w:hAnsi="Arial"/>
          <w:sz w:val="18"/>
          <w:szCs w:val="18"/>
          <w:color w:val="auto"/>
        </w:rPr>
        <w:t>Fees for M&amp;A and strategic advisory services and restructuring advisory services are recorded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earned, which is generally the date the related transactions are consummated. Expenses that are directly related to such transactions and billable to clients are deferred to match revenue recognition. “Investment banking and other advisory fees” on the Company’s consolidated statements of operations are presented net of client reimbursements of expenses. The amount of expenses reimbursed by clients for the years ended December 31, 2010, 2009 and 2008 are $20,216, $21,673 and $18,124, respectively.</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Money Management and Incentive Fees—</w:t>
      </w:r>
      <w:r>
        <w:rPr>
          <w:rFonts w:ascii="Arial" w:cs="Arial" w:eastAsia="Arial" w:hAnsi="Arial"/>
          <w:sz w:val="18"/>
          <w:szCs w:val="18"/>
          <w:color w:val="auto"/>
        </w:rPr>
        <w:t>Money management fees are derived from fees for investment management and advisory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institutional and private clients. Revenue is recorded on an accrual basis primarily based on a percentage of client assets managed. Fees vary with the type of assets managed, with higher fees earned on equity assets, alternative investment (such as hedge funds) and private equity products, and lower fees earned on fixed income and money market products.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may earn performance-based incentive fees on various investment products, including alternative investment funds such as hedge funds, private equity funds, and traditional investment strategies. Incentive fees are calculated based on a specified percentage of a fund’s net appreciation, in some cases in excess of established benchmarks. Incentive fees on private equity funds also may be earned in the form of a carried interest if profits from investments exceed a specified threshold. These incentive fees are recorded when realized and are paid at the end of the measurement period. Incentive fees on hedge funds generally are subject to loss carry-forward provisions in which losses incurred by the funds in any year are applied against certain future period net appreciation before any incentive fees can be earned.</w:t>
      </w:r>
    </w:p>
    <w:p>
      <w:pPr>
        <w:spacing w:after="0" w:line="13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records incentive fees at the end of the relevant performance measurement period, when potential uncertainties regarding the ultimate realizable amounts have been determined. The performance fee measurement period is generally an annual period, unless an account terminates during the year. These incentive fees received at the end of the measurement period are not subject to reversal or payback.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Receivables relating to money management and incentive fees are reported in “fees receivable” on the consolidated statements of financial condition.</w:t>
      </w:r>
    </w:p>
    <w:p>
      <w:pPr>
        <w:spacing w:after="0" w:line="175"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i w:val="1"/>
          <w:iCs w:val="1"/>
          <w:color w:val="auto"/>
        </w:rPr>
        <w:t>Soft Dollar Arrangements</w:t>
      </w:r>
      <w:r>
        <w:rPr>
          <w:rFonts w:ascii="Arial" w:cs="Arial" w:eastAsia="Arial" w:hAnsi="Arial"/>
          <w:sz w:val="16"/>
          <w:szCs w:val="16"/>
          <w:b w:val="1"/>
          <w:bCs w:val="1"/>
          <w:color w:val="auto"/>
        </w:rPr>
        <w:t>—</w:t>
      </w:r>
      <w:r>
        <w:rPr>
          <w:rFonts w:ascii="Arial" w:cs="Arial" w:eastAsia="Arial" w:hAnsi="Arial"/>
          <w:sz w:val="16"/>
          <w:szCs w:val="16"/>
          <w:color w:val="auto"/>
        </w:rPr>
        <w:t>The Company’s Asset Management business obtains research and other services through “soft dollar” arrangements.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the “soft dollar” safe harbor established by Section 28(e) of the Securities Exchange Act of 1934, as amended (the “Exchange Act”), the Asset Management business does not have any contractual obligation or arrangement requiring it to pay for research and other services obtained through soft dollar arrangements with brokers. Instead, the provider is obligated to pay for the services. Consequently, the Company does not incur any liability and does not accrue any expenses in connection with any research or other services obtained by the Asset Management business pursuant to such soft dollar arrangements. If the use of soft dollars is limited or prohibited in the future by regulation, we may have to bear the costs of such research and other services.</w:t>
      </w:r>
    </w:p>
    <w:p>
      <w:pPr>
        <w:spacing w:after="0" w:line="103"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b w:val="1"/>
          <w:bCs w:val="1"/>
          <w:i w:val="1"/>
          <w:iCs w:val="1"/>
          <w:color w:val="auto"/>
        </w:rPr>
        <w:t>Share-Based Incentive Compensation Awards—</w:t>
      </w:r>
      <w:r>
        <w:rPr>
          <w:rFonts w:ascii="Arial" w:cs="Arial" w:eastAsia="Arial" w:hAnsi="Arial"/>
          <w:sz w:val="18"/>
          <w:szCs w:val="18"/>
          <w:color w:val="auto"/>
        </w:rPr>
        <w:t>Share-based incentive compensation awards that do not require future service are expensed immediately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that require future service are amortized over the applicable vesting periods or requisite service periods. Expense relating to share-based incentive compensation awards is based on the fair value of the Company’s Class A common stock on the date of grant, and is recognized in “compensation and benefits” (and, as applicable, in “restructuring” expense, with respect to the expense associated with the acceleration of unrecognized expense pertaining to awards granted previously to individuals who were terminated by the Company in the restructuring programs described in Note 18 of Notes to Consolidated Financial Statements).</w:t>
      </w:r>
    </w:p>
    <w:p>
      <w:pPr>
        <w:spacing w:after="0" w:line="13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Deferred income taxes reflect the net tax effects of temporary differences between the financial reporting and tax basis of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are measured using the enacted tax rates and laws that will be in effect when such differences are expected to reverse. Such temporary differences are reflected as deferred tax assets and liabilities and are included in “other assets” and “other liabilities”, respectively, on the consolidated statements of financial condition.</w:t>
      </w:r>
    </w:p>
    <w:p>
      <w:pPr>
        <w:spacing w:after="0" w:line="13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Furthermore, management applies the “more likely than not” criteria prior to the recognition of a financial statement benefit of a tax position taken or expected to be taken in a tax return with respect to uncertainty in income taxes.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recognizes interest and/or penalties related to income tax matters in “income tax expense”.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19 of Notes to Consolidated Financial Statements for additional information relating to income taxes.</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—On January 1, 2009, the Company adopted, on a prospective basis, the provisions of new accounting guidance issued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Accounting Standards Board (the “FASB”) on fair value measurements for all nonfinancial assets and nonfinancial liabilities, except those that are recognized or disclosed at fair value in the financial statements on a recurring basis (at least annually). These nonfinancial items included, for example, reporting units required to be measured at fair value for annual goodwill impairment testing purposes and nonfinancial assets acquired and liabilities assumed in a business combination. Such guidance, among other things, defined fair value, established a framework for measuring fair value and enhanced disclosure requirements about fair value measurements. The adoption did not have a material impact on the Company’s consolidated financial statements.</w:t>
      </w:r>
    </w:p>
    <w:p>
      <w:pPr>
        <w:spacing w:after="0" w:line="10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On April 1, 2009, the Company adopted, on a prospective basis, additional accounting guidance issued by the FASB on fair value measurements. The additional accounting guidance assists in the determination of fair value for securities or other financial assets when the volume and level of activity for such items have significantly decreased when compared with normal market activity and there is no longer sufficient frequency or volume to provide pricing information on an ongoing basis. The additional accounting guidance also assists in determining whether or not a transaction is orderly and whether or not a transaction or quoted price can be considered in the determination of fair value. Accordingly, the additional accounting guidance does not apply to quoted prices for identical assets or liabilities in active markets categorized as Level 1 in the fair value measurement hierarchy. The adoption of additional guidance regarding fair value measurements did not materially impact the Company’s consolidated financial statements.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January 21, 2010, the FASB amended its fair value measurement disclosure guidance to require disclosure of significant transfers into and out of the Level 1 and Level 2 categories in the fair value measurement hierarchy, as well as separate disclosures about purchases, sales, issuances and settlements relating to Level 3 fair value measurements. In addition, the FASB also clarified its existing fair value measurement disclosure guidance regarding the level of disaggregation required and disclosures about inputs and valuation techniques used to measure fair value. The new disclosure requirements and clarifications of existing fair value measurement disclosure guidance became effective for interim and annual reporting periods beginning after December 15, 2009, except for the requirement to provide disclosures about purchases, sales, issuances and settlements on a gross basis in the roll forward of activities in Level 3 fair value measurements, which became effective for interim and annual reporting periods beginning after December 15, 2010. On January 1, 2010, the Company adopted, on a prospective basis, the applicable new disclosure requirements and clarifications of existing fair value measurement disclosure guidance, which did not have a material impact on the Company’s consolidated financial statements. The Company does not anticipate that the adoption of the remaining new disclosure requirements that are effective for interim and annual reporting periods beginning after December 15, 2010 will have a material impact on its consolidated financial statements.</w:t>
      </w:r>
    </w:p>
    <w:p>
      <w:pPr>
        <w:spacing w:after="0" w:line="11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Business Combinations</w:t>
      </w:r>
      <w:r>
        <w:rPr>
          <w:rFonts w:ascii="Arial" w:cs="Arial" w:eastAsia="Arial" w:hAnsi="Arial"/>
          <w:sz w:val="16"/>
          <w:szCs w:val="16"/>
          <w:color w:val="auto"/>
        </w:rPr>
        <w:t>—On January 1, 2009, the Company adopted, on a prospective basis, new accounting guidance issued by the FASB on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combinations. The new accounting guidance supersedes or amends other related authoritative literature although it retains the fundamental requirements that the acquisition method of accounting (previously referred to as the “purchase method”) be used for all business combinations and that an acquirer be identified for each business combination. The new guidance also establishes principles and requirements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how the acquirer (a) recognizes and measures in its financial statements the identifiable assets acquired, the liabilities assumed and any noncontrolling interest in an acquiree; (b) recognizes and measures the goodwill acquired in a business combination or a gain from a bargain purchase; (c) recognizes and measures contingent consideration arrangements, and (d) determines what information to disclose to enable users of the financial statements to evaluate the nature and financial effects of a business combination. The new guidance also requires the acquirer to expense, as incurred, costs relating to any acquisitions. The adoption of the new accounting guidance did not materially impact the Company’s consolidated financial statements. Prospectively, all acquisitions conform to the new accounting guidance.</w:t>
      </w:r>
    </w:p>
    <w:p>
      <w:pPr>
        <w:spacing w:after="0" w:line="13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April 1, 2009, the Company adopted amended accounting guidance issued by the FASB for business combinations. The amended guidance clarifies the initial recognition and measurement, subsequent measurement and accounting and disclosure of assets and liabilities arising from contingencies in a business combination. The adoption of the amended guidance did not materially impact the Company’s consolidated financial statements.</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—On January 1, 2009, the Company adopted, on a prospective basis, new disclosure guidance issued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FASB regarding derivative instruments and hedging activities. The new guidance enhances the current disclosure framework for derivative instruments and hedging activities, including how and why an entity uses derivative instruments, how derivative instruments and related hedged items are accounted for and how derivative instruments and related hedged items affect an entity’s financial position, financial performance and cash flows. See Note 7 of Notes to Consolidated Financial Statements for the additional disclosures provided pursuant to the new guidance. The adoption of the new disclosure guidance did not materially impact the Company’s consolidated financial statements.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Other-Than-Temporary Impairments of Debt Securities</w:t>
      </w:r>
      <w:r>
        <w:rPr>
          <w:rFonts w:ascii="Arial" w:cs="Arial" w:eastAsia="Arial" w:hAnsi="Arial"/>
          <w:sz w:val="16"/>
          <w:szCs w:val="16"/>
          <w:color w:val="auto"/>
        </w:rPr>
        <w:t>—On April 1, 2009, the Company adopted, on a prospective basis, new accounting guidance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FASB with respect to the recognition and presentation of other-than-temporary impairments pertaining to debt securities. The new accounting guidance requires greater clarity about the credit and non-credit components of debt securities that are not expected to be sold and whose fair value is below amortized cost, and also requires increased disclosures regarding expected cash flows, credit losses and an aging of securities with unrealized losses. The adoption of the new accounting guidance did not materially impact the Company’s consolidated financial statements. See Note 5 of Notes to Consolidated Financial Statements.</w:t>
      </w:r>
    </w:p>
    <w:p>
      <w:pPr>
        <w:spacing w:after="0" w:line="10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VIEs</w:t>
      </w:r>
      <w:r>
        <w:rPr>
          <w:rFonts w:ascii="Arial" w:cs="Arial" w:eastAsia="Arial" w:hAnsi="Arial"/>
          <w:sz w:val="16"/>
          <w:szCs w:val="16"/>
          <w:color w:val="auto"/>
        </w:rPr>
        <w:t>—In June 2009, the FASB amended its guidance on VIEs, which changes how a company determines whether an entity in which it is involved with is</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insufficiently capitalized or is not controlled through voting (or similar rights) and whether or not such entity should be consolidated. It also requires a company to provide additional disclosures about its involvement with VIEs and any significant changes in risk exposure due to that involvement. The requirements of the amended accounting guidance were to be effective for interim and annual periods beginning after November 15, 2009. On January 27, 2010, the FASB voted to defer the application of its guidance on consolidation of a reporting enterprise’s interest in an entity when certain conditions are met. This deferral, which affects interests in mutual funds, hedge funds, private equity funds and other types of funds, is effective for interim and annual periods beginning after November 15, 2009. The adoption of the amended guidance for which the deferral provisions do not apply and related disclosures did not have a material impact on the Company’s consolidated financial statements.</w:t>
      </w:r>
    </w:p>
    <w:p>
      <w:pPr>
        <w:spacing w:after="0" w:line="10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 - NET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collateralized lending activities of LFB, the Company typically receives a pledge of specifically identified securities of equal or greater value than the amount of the cash loaned. Collateralized customer loan receivables, which amounted to $4,009 and $2,305 at December 31, 2010 and 2009, respectively, were collateralized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securities of equal or greater value at each such date. Securities owned by customers and pledged to collateralize secured loan receivables are not reflected on the consolidated statements of financial condition.</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Customers and other receivables at December 31, 2010 and 2009 include $2,121 and $4,466, respectively, of loans by LFB to managing directors and employees in France that are made in the ordinary course of business at market terms.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Receivables are stated net of an estimated allowance for doubtful accounts of $15,017 and $11,575 at December 31, 2010 and 2009, respectively, for past due amounts and for specific accounts deemed uncollectible, which may include situations where a fee is in dispute. The Company recorded bad debt expense of $8,392, $4,509 and $5,388 for the years ended December 31, 2010, 2009 and 2008, respectively. In addition, the Company recorded charge-offs, foreign currency translation and other adjustments, which resulted in a net decrease to the allowance for doubtful accounts of $4,950, $8,817 and $2,795 for the years ended December 31, 2010, 2009 and 2008, respectively. At December 31, 2010 and 2009, the Company had receivables deemed past due or uncollectible of $17,101 and $14,150, respectively.</w:t>
      </w:r>
    </w:p>
    <w:p>
      <w:pPr>
        <w:spacing w:after="0" w:line="131"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December 31, 2010 and 2009: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4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Corporate and other debt</w:t>
            </w:r>
          </w:p>
        </w:tc>
        <w:tc>
          <w:tcPr>
            <w:tcW w:w="4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29,693</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313,342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 securities</w:t>
            </w:r>
          </w:p>
        </w:tc>
        <w:tc>
          <w:tcPr>
            <w:tcW w:w="4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66,272</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460,849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Equities</w:t>
            </w: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88,437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Partner (“GP”) interests owned</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w w:val="90"/>
              </w:rPr>
              <w:t>GP interests consolidated, but owned by noncontrolling interests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Investments owned</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96,276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Investments consolidated, but owned by noncontrolling interests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Equity method investments</w:t>
            </w:r>
          </w:p>
        </w:tc>
        <w:tc>
          <w:tcPr>
            <w:tcW w:w="4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233,429</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264,402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6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388,138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807,693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Debt at amortized cost</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136,630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4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4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376,847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608,505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0"/>
              </w:rPr>
              <w:t>Securities sold, not yet purchased, at fair value (included in “other liabilities”)</w:t>
            </w:r>
          </w:p>
        </w:tc>
        <w:tc>
          <w:tcPr>
            <w:tcW w:w="4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0" w:type="dxa"/>
            <w:vAlign w:val="bottom"/>
            <w:vMerge w:val="restart"/>
          </w:tcPr>
          <w:p>
            <w:pPr>
              <w:jc w:val="right"/>
              <w:ind w:right="3672"/>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investments at December 31, 2010 and 2009 were categorized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1780" w:type="dxa"/>
            <w:vAlign w:val="bottom"/>
            <w:gridSpan w:val="5"/>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9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9"/>
                <w:szCs w:val="19"/>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40" w:type="dxa"/>
            <w:vAlign w:val="bottom"/>
          </w:tcPr>
          <w:p>
            <w:pPr>
              <w:ind w:left="440"/>
              <w:spacing w:after="0"/>
              <w:rPr>
                <w:sz w:val="20"/>
                <w:szCs w:val="20"/>
                <w:color w:val="auto"/>
              </w:rPr>
            </w:pPr>
            <w:r>
              <w:rPr>
                <w:rFonts w:ascii="Arial" w:cs="Arial" w:eastAsia="Arial" w:hAnsi="Arial"/>
                <w:sz w:val="18"/>
                <w:szCs w:val="18"/>
                <w:color w:val="auto"/>
              </w:rPr>
              <w:t>U.S. Government and agencies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$31,900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21,094</w:t>
            </w:r>
          </w:p>
        </w:tc>
        <w:tc>
          <w:tcPr>
            <w:tcW w:w="100" w:type="dxa"/>
            <w:vAlign w:val="bottom"/>
          </w:tcPr>
          <w:p>
            <w:pPr>
              <w:spacing w:after="0"/>
              <w:rPr>
                <w:sz w:val="18"/>
                <w:szCs w:val="18"/>
                <w:color w:val="auto"/>
              </w:rPr>
            </w:pPr>
          </w:p>
        </w:tc>
      </w:tr>
      <w:tr>
        <w:trPr>
          <w:trHeight w:val="230"/>
        </w:trPr>
        <w:tc>
          <w:tcPr>
            <w:tcW w:w="9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 funds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9640" w:type="dxa"/>
            <w:vAlign w:val="bottom"/>
          </w:tcPr>
          <w:p>
            <w:pPr>
              <w:ind w:left="440"/>
              <w:spacing w:after="0"/>
              <w:rPr>
                <w:sz w:val="20"/>
                <w:szCs w:val="20"/>
                <w:color w:val="auto"/>
              </w:rPr>
            </w:pPr>
            <w:r>
              <w:rPr>
                <w:rFonts w:ascii="Arial" w:cs="Arial" w:eastAsia="Arial" w:hAnsi="Arial"/>
                <w:sz w:val="18"/>
                <w:szCs w:val="18"/>
                <w:color w:val="auto"/>
              </w:rPr>
              <w:t>Corporate and other debt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49,462</w:t>
            </w:r>
          </w:p>
        </w:tc>
        <w:tc>
          <w:tcPr>
            <w:tcW w:w="10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70,556</w:t>
            </w:r>
          </w:p>
        </w:tc>
        <w:tc>
          <w:tcPr>
            <w:tcW w:w="100" w:type="dxa"/>
            <w:vAlign w:val="bottom"/>
            <w:shd w:val="clear" w:color="auto" w:fill="CCEEFF"/>
          </w:tcPr>
          <w:p>
            <w:pPr>
              <w:spacing w:after="0"/>
              <w:rPr>
                <w:sz w:val="18"/>
                <w:szCs w:val="18"/>
                <w:color w:val="auto"/>
              </w:rPr>
            </w:pPr>
          </w:p>
        </w:tc>
      </w:tr>
      <w:tr>
        <w:trPr>
          <w:trHeight w:val="222"/>
        </w:trPr>
        <w:tc>
          <w:tcPr>
            <w:tcW w:w="96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and other debt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253,663</w:t>
            </w:r>
          </w:p>
        </w:tc>
        <w:tc>
          <w:tcPr>
            <w:tcW w:w="100" w:type="dxa"/>
            <w:vAlign w:val="bottom"/>
            <w:shd w:val="clear" w:color="auto" w:fill="CCEEFF"/>
          </w:tcPr>
          <w:p>
            <w:pPr>
              <w:spacing w:after="0"/>
              <w:rPr>
                <w:sz w:val="18"/>
                <w:szCs w:val="18"/>
                <w:color w:val="auto"/>
              </w:rPr>
            </w:pPr>
          </w:p>
        </w:tc>
      </w:tr>
      <w:tr>
        <w:trPr>
          <w:trHeight w:val="290"/>
        </w:trPr>
        <w:tc>
          <w:tcPr>
            <w:tcW w:w="9640" w:type="dxa"/>
            <w:vAlign w:val="bottom"/>
          </w:tcPr>
          <w:p>
            <w:pPr>
              <w:spacing w:after="0"/>
              <w:rPr>
                <w:sz w:val="20"/>
                <w:szCs w:val="20"/>
                <w:color w:val="auto"/>
              </w:rPr>
            </w:pPr>
            <w:r>
              <w:rPr>
                <w:rFonts w:ascii="Arial" w:cs="Arial" w:eastAsia="Arial" w:hAnsi="Arial"/>
                <w:sz w:val="18"/>
                <w:szCs w:val="18"/>
                <w:color w:val="auto"/>
              </w:rPr>
              <w:t>Held-to-maturity securities:</w:t>
            </w:r>
          </w:p>
        </w:tc>
        <w:tc>
          <w:tcPr>
            <w:tcW w:w="5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and agencies</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126,413</w:t>
            </w:r>
          </w:p>
        </w:tc>
        <w:tc>
          <w:tcPr>
            <w:tcW w:w="100" w:type="dxa"/>
            <w:vAlign w:val="bottom"/>
            <w:shd w:val="clear" w:color="auto" w:fill="CCEEFF"/>
          </w:tcPr>
          <w:p>
            <w:pPr>
              <w:spacing w:after="0"/>
              <w:rPr>
                <w:sz w:val="18"/>
                <w:szCs w:val="18"/>
                <w:color w:val="auto"/>
              </w:rPr>
            </w:pPr>
          </w:p>
        </w:tc>
      </w:tr>
      <w:tr>
        <w:trPr>
          <w:trHeight w:val="223"/>
        </w:trPr>
        <w:tc>
          <w:tcPr>
            <w:tcW w:w="9640" w:type="dxa"/>
            <w:vAlign w:val="bottom"/>
          </w:tcPr>
          <w:p>
            <w:pPr>
              <w:ind w:left="440"/>
              <w:spacing w:after="0"/>
              <w:rPr>
                <w:sz w:val="20"/>
                <w:szCs w:val="20"/>
                <w:color w:val="auto"/>
              </w:rPr>
            </w:pPr>
            <w:r>
              <w:rPr>
                <w:rFonts w:ascii="Arial" w:cs="Arial" w:eastAsia="Arial" w:hAnsi="Arial"/>
                <w:sz w:val="18"/>
                <w:szCs w:val="18"/>
                <w:color w:val="auto"/>
              </w:rPr>
              <w:t>Corporate and other debt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136,630</w:t>
            </w:r>
          </w:p>
        </w:tc>
        <w:tc>
          <w:tcPr>
            <w:tcW w:w="100" w:type="dxa"/>
            <w:vAlign w:val="bottom"/>
            <w:shd w:val="clear" w:color="auto" w:fill="CCEEFF"/>
          </w:tcPr>
          <w:p>
            <w:pPr>
              <w:spacing w:after="0"/>
              <w:rPr>
                <w:sz w:val="18"/>
                <w:szCs w:val="18"/>
                <w:color w:val="auto"/>
              </w:rPr>
            </w:pPr>
          </w:p>
        </w:tc>
      </w:tr>
      <w:tr>
        <w:trPr>
          <w:trHeight w:val="222"/>
        </w:trPr>
        <w:tc>
          <w:tcPr>
            <w:tcW w:w="9640" w:type="dxa"/>
            <w:vAlign w:val="bottom"/>
          </w:tcPr>
          <w:p>
            <w:pPr>
              <w:spacing w:after="0"/>
              <w:rPr>
                <w:sz w:val="20"/>
                <w:szCs w:val="20"/>
                <w:color w:val="auto"/>
              </w:rPr>
            </w:pPr>
            <w:r>
              <w:rPr>
                <w:rFonts w:ascii="Arial" w:cs="Arial" w:eastAsia="Arial" w:hAnsi="Arial"/>
                <w:sz w:val="18"/>
                <w:szCs w:val="18"/>
                <w:color w:val="auto"/>
              </w:rPr>
              <w:t>Total debt securities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66,272</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460,849</w:t>
            </w:r>
          </w:p>
        </w:tc>
        <w:tc>
          <w:tcPr>
            <w:tcW w:w="10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Corporate and other debt securities primarily consist of United Kingdom (the “U.K.”) government and U.S. state and municipal debt securities, and, at December 31, 2009, fixed and floating rate European corporate and French government debt securities held by LFB.</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Effective July 1, 2008, certain debt securities held by LFB with a carrying value of $236,999 on that date, which were previously designated as “trading” securities, were redesignated as “available-for-sale” securities. Such re-designation represented a non-cash transaction between “trading” and “available-for-sale” securities.</w:t>
      </w:r>
    </w:p>
    <w:p>
      <w:pPr>
        <w:spacing w:after="0" w:line="12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During the year ended December 31, 2010, the Company sold “available-for-sale” corporate debt securities for $214,540, which equaled its then carrying value, and sold “held-to-maturity” U.S. government and agency debt securities for $132,209, which had a carrying value of $126,573.</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securities classified as “available-for-sale” at December 31, 2009 that were in an unrealized loss position consisted of securities that were in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continuous loss position for 12 months or longer. The aggregate fair value and unrealized loss pertaining to such debt securities amounted to $166,094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$21,381, respectively. During the year ended December 31, 2009, an other-than-temporary impairment charge of $1,825 was recognized in “other-revenue” 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operations, representing the credit loss component of debt securities whose fair value was below amortized cost. There were no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than-temporary impairment charges recognized during the years ended December 31, 2010 and 2008.</w:t>
      </w:r>
    </w:p>
    <w:p>
      <w:pPr>
        <w:spacing w:after="0" w:line="15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2008, LFNY was a party to a Prime Brokerage Agreement with Lehman Brothers Inc. (“LBI”) for certain accounts involving investment strategies managed by LAM. On September 9, 2008, LAM requested a transfer of such accounts, of which $11,368 was not received. On September 15, 2008, Lehman Brothers Holdings, Inc., the ultimate parent company in the Lehman Group, filed for protection under Chapter 11 of the United States Bankruptcy Code and a number of Lehman Group entities in the U.K. entered into administration proceedings under the Insolvency Act 1986. In addition, the Securities Investor Protection Corporation (“SIPC”) commenced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liquidation proceedings on September 19, 2008 pursuant to the Securities Investor Protection Act of 1970, as amended, with respect to LBI. The Chapter 11 filing, Insolvency Act Administration and SIPC proceedings exposed Lazard to possible loss due to counterparty credit and other risk. During 2008, the Company provided for the entire amount of such possible loss, and, through December 31, 2010, $947 has been recovered by the Company. We continue to actively seek recovery of all amounts.</w:t>
      </w:r>
    </w:p>
    <w:p>
      <w:pPr>
        <w:spacing w:after="0" w:line="13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“members’ equity” on the consolidated statements of financial condition (see Note 15 of Notes to Consolidated Financial Statements).</w:t>
      </w:r>
    </w:p>
    <w:p>
      <w:pPr>
        <w:spacing w:after="0" w:line="10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 See Note 9 of Notes to Consolidated Financial Statements.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Equity method investments at December 31, 2009 primarily consisted of our investment in Sapphire Industrials Corp. (“Sapphire”). On January 24, 2008, Sapphire, a then newly-organized special purpose acquisition company formed by the Company, completed an initial public offering (the “Sapphire IPO”).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w:t>
      </w:r>
    </w:p>
    <w:p>
      <w:pPr>
        <w:spacing w:after="0" w:line="131"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On January 6, 2010, Sapphire announced that it had not completed the Business Combination and it would dissolve and distribute the funds in the Trust Account to all its public shareholders, to the extent they were holders of shares issued in the Sapphire IPO. Pursuant to such dissolution, on January 26, 2010, Sapphire made an initial distribution to the Company aggregating $50,319. All Sapphire warrants expired without value. During the fourth quarter of 2009, the Company recognized a loss of approximately $13,000 principally related to its investment in warrants of Sapphire, with such loss being recorded in “revenue-other” in the accompanying consolidated statement of operations.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recognized gross investment gains and losses for the years ended December 31, 2010, 2009 and 2008, including a gain of $5,636 from the sale of “held-to-maturity” securities during the fourth quarter of 2010, in “revenue-other” on its consolidated statements of operations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5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42"/>
        </w:trPr>
        <w:tc>
          <w:tcPr>
            <w:tcW w:w="818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gains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$45,503</w:t>
            </w:r>
          </w:p>
        </w:tc>
        <w:tc>
          <w:tcPr>
            <w:tcW w:w="1000" w:type="dxa"/>
            <w:vAlign w:val="bottom"/>
            <w:gridSpan w:val="2"/>
            <w:shd w:val="clear" w:color="auto" w:fill="CCEEFF"/>
          </w:tcPr>
          <w:p>
            <w:pPr>
              <w:jc w:val="center"/>
              <w:ind w:left="339"/>
              <w:spacing w:after="0"/>
              <w:rPr>
                <w:sz w:val="20"/>
                <w:szCs w:val="20"/>
                <w:color w:val="auto"/>
              </w:rPr>
            </w:pPr>
            <w:r>
              <w:rPr>
                <w:rFonts w:ascii="Arial" w:cs="Arial" w:eastAsia="Arial" w:hAnsi="Arial"/>
                <w:sz w:val="18"/>
                <w:szCs w:val="18"/>
                <w:color w:val="auto"/>
                <w:w w:val="89"/>
              </w:rPr>
              <w:t>$53,319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52,748</w:t>
            </w:r>
          </w:p>
        </w:tc>
      </w:tr>
      <w:tr>
        <w:trPr>
          <w:trHeight w:val="222"/>
        </w:trPr>
        <w:tc>
          <w:tcPr>
            <w:tcW w:w="818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$19,703</w:t>
            </w:r>
          </w:p>
        </w:tc>
        <w:tc>
          <w:tcPr>
            <w:tcW w:w="1000" w:type="dxa"/>
            <w:vAlign w:val="bottom"/>
            <w:gridSpan w:val="2"/>
          </w:tcPr>
          <w:p>
            <w:pPr>
              <w:jc w:val="center"/>
              <w:ind w:left="339"/>
              <w:spacing w:after="0"/>
              <w:rPr>
                <w:sz w:val="20"/>
                <w:szCs w:val="20"/>
                <w:color w:val="auto"/>
              </w:rPr>
            </w:pPr>
            <w:r>
              <w:rPr>
                <w:rFonts w:ascii="Arial" w:cs="Arial" w:eastAsia="Arial" w:hAnsi="Arial"/>
                <w:sz w:val="18"/>
                <w:szCs w:val="18"/>
                <w:color w:val="auto"/>
                <w:w w:val="89"/>
              </w:rPr>
              <w:t>$19,740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164,135</w:t>
            </w: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5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42"/>
        </w:trPr>
        <w:tc>
          <w:tcPr>
            <w:tcW w:w="8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2009</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3,723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18,672</w:t>
            </w:r>
          </w:p>
        </w:tc>
      </w:tr>
      <w:tr>
        <w:trPr>
          <w:trHeight w:val="222"/>
        </w:trPr>
        <w:tc>
          <w:tcPr>
            <w:tcW w:w="818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9,125</w:t>
            </w:r>
          </w:p>
        </w:tc>
      </w:tr>
    </w:tbl>
    <w:p>
      <w:pPr>
        <w:spacing w:after="0" w:line="13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Within AOCI, the Company recorded a reduction (increase) in net unrealized losses of $17,923, $46,273 and ($62,347) during the years ended December 31, 2010, 2009 and 2008, respectively, pertaining to “available-for-sale” debt securities. The reduction in net unrealized losses during the year ended December 31, 2010 includes the reclassification to earnings of realized gains of $1,755 and realized losses of $16,245 from the sale of the “available-for-sale” portfolio. With respect to adjustments for items reclassified to earnings, the average cost basis is utilized for purposes of calculating realized investment gains and losses.</w:t>
      </w:r>
    </w:p>
    <w:p>
      <w:pPr>
        <w:spacing w:after="0" w:line="12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At December 31, 2010, the Company’s investments in U.S. Government and agency debt securities as well as its corporate and other debt securities were considered Level 1 assets with the respective fair values based on unadjusted quoted prices in active markets. The Company’s investments in fixed income funds were considered Level 2 assets with its fair values primarily based on broker quotes as provided by external pricing services.</w:t>
      </w:r>
    </w:p>
    <w:p>
      <w:pPr>
        <w:spacing w:after="0" w:line="9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December 31, 2009, most of the Company’s investments in corporate and other debt securities were considered Level 2 assets with the respective fair values based on observable data, principally broker quotes,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provided by external pricing services. The Company’s other debt securities, at fair value, including U.S Government and agency debt securities, were considered Level 1 assets, with the respective fair values based on unadjusted quoted prices in active markets.</w:t>
      </w:r>
    </w:p>
    <w:p>
      <w:pPr>
        <w:spacing w:after="0" w:line="118"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and 2009 into a three-level fair value hierarchy in accordance with fair value measurement disclosure requirements: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3"/>
              </w:rPr>
              <w:t>As of December 31, 2010</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12"/>
                <w:szCs w:val="12"/>
                <w:color w:val="auto"/>
              </w:rPr>
            </w:pPr>
          </w:p>
        </w:tc>
        <w:tc>
          <w:tcPr>
            <w:tcW w:w="58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31,900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3"/>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31,900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16"/>
        </w:trPr>
        <w:tc>
          <w:tcPr>
            <w:tcW w:w="652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29,693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29,693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66,269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21,852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316</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88,437</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300"/>
              <w:spacing w:after="0"/>
              <w:rPr>
                <w:sz w:val="20"/>
                <w:szCs w:val="20"/>
                <w:color w:val="auto"/>
              </w:rPr>
            </w:pPr>
            <w:r>
              <w:rPr>
                <w:rFonts w:ascii="Arial" w:cs="Arial" w:eastAsia="Arial" w:hAnsi="Arial"/>
                <w:sz w:val="18"/>
                <w:szCs w:val="18"/>
                <w:color w:val="auto"/>
              </w:rPr>
              <w:t>GP interests owned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50,437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50,437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consolidated, but owned by noncontrolling interests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8,219</w:t>
            </w:r>
          </w:p>
        </w:tc>
        <w:tc>
          <w:tcPr>
            <w:tcW w:w="0" w:type="dxa"/>
            <w:vAlign w:val="bottom"/>
          </w:tcPr>
          <w:p>
            <w:pPr>
              <w:spacing w:after="0"/>
              <w:rPr>
                <w:sz w:val="1"/>
                <w:szCs w:val="1"/>
                <w:color w:val="auto"/>
              </w:rPr>
            </w:pPr>
          </w:p>
        </w:tc>
      </w:tr>
      <w:tr>
        <w:trPr>
          <w:trHeight w:val="216"/>
        </w:trPr>
        <w:tc>
          <w:tcPr>
            <w:tcW w:w="652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owned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3"/>
              </w:rPr>
              <w:t>96,276</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96,276</w:t>
            </w:r>
          </w:p>
        </w:tc>
        <w:tc>
          <w:tcPr>
            <w:tcW w:w="0" w:type="dxa"/>
            <w:vAlign w:val="bottom"/>
          </w:tcPr>
          <w:p>
            <w:pPr>
              <w:spacing w:after="0"/>
              <w:rPr>
                <w:sz w:val="1"/>
                <w:szCs w:val="1"/>
                <w:color w:val="auto"/>
              </w:rPr>
            </w:pPr>
          </w:p>
        </w:tc>
      </w:tr>
      <w:tr>
        <w:trPr>
          <w:trHeight w:val="216"/>
        </w:trPr>
        <w:tc>
          <w:tcPr>
            <w:tcW w:w="6520" w:type="dxa"/>
            <w:vAlign w:val="bottom"/>
          </w:tcPr>
          <w:p>
            <w:pPr>
              <w:ind w:left="1300"/>
              <w:spacing w:after="0"/>
              <w:rPr>
                <w:sz w:val="20"/>
                <w:szCs w:val="20"/>
                <w:color w:val="auto"/>
              </w:rPr>
            </w:pPr>
            <w:r>
              <w:rPr>
                <w:rFonts w:ascii="Arial" w:cs="Arial" w:eastAsia="Arial" w:hAnsi="Arial"/>
                <w:sz w:val="18"/>
                <w:szCs w:val="18"/>
                <w:color w:val="auto"/>
              </w:rPr>
              <w:t>Investments consolidated, but owned by noncontrolling interests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w w:val="83"/>
              </w:rPr>
              <w:t>67,206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67,206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w w:val="86"/>
              </w:rPr>
              <w:t>127,862</w:t>
            </w: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87,061</w:t>
            </w:r>
          </w:p>
        </w:tc>
        <w:tc>
          <w:tcPr>
            <w:tcW w:w="1100" w:type="dxa"/>
            <w:vAlign w:val="bottom"/>
            <w:gridSpan w:val="5"/>
          </w:tcPr>
          <w:p>
            <w:pPr>
              <w:ind w:left="4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163,798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378,721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2,897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3"/>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2,897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3,230</w:t>
            </w:r>
          </w:p>
        </w:tc>
        <w:tc>
          <w:tcPr>
            <w:tcW w:w="540" w:type="dxa"/>
            <w:vAlign w:val="bottom"/>
            <w:gridSpan w:val="3"/>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9"/>
              </w:rPr>
              <w:t>As of December 31, 2009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780" w:type="dxa"/>
            <w:vAlign w:val="bottom"/>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securities at amortized cost):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21,094</w:t>
            </w:r>
          </w:p>
        </w:tc>
        <w:tc>
          <w:tcPr>
            <w:tcW w:w="24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21,094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Corporate and other debt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49,462</w:t>
            </w: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253,663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303,125</w:t>
            </w: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65,932</w:t>
            </w:r>
          </w:p>
        </w:tc>
        <w:tc>
          <w:tcPr>
            <w:tcW w:w="2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16,205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305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82,442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50,080</w:t>
            </w:r>
          </w:p>
        </w:tc>
        <w:tc>
          <w:tcPr>
            <w:tcW w:w="0" w:type="dxa"/>
            <w:vAlign w:val="bottom"/>
          </w:tcPr>
          <w:p>
            <w:pPr>
              <w:spacing w:after="0"/>
              <w:rPr>
                <w:sz w:val="1"/>
                <w:szCs w:val="1"/>
                <w:color w:val="auto"/>
              </w:rPr>
            </w:pPr>
          </w:p>
        </w:tc>
      </w:tr>
      <w:tr>
        <w:trPr>
          <w:trHeight w:val="216"/>
        </w:trPr>
        <w:tc>
          <w:tcPr>
            <w:tcW w:w="6520" w:type="dxa"/>
            <w:vAlign w:val="bottom"/>
          </w:tcPr>
          <w:p>
            <w:pPr>
              <w:ind w:left="1300"/>
              <w:spacing w:after="0"/>
              <w:rPr>
                <w:sz w:val="20"/>
                <w:szCs w:val="20"/>
                <w:color w:val="auto"/>
              </w:rPr>
            </w:pPr>
            <w:r>
              <w:rPr>
                <w:rFonts w:ascii="Arial" w:cs="Arial" w:eastAsia="Arial" w:hAnsi="Arial"/>
                <w:sz w:val="18"/>
                <w:szCs w:val="18"/>
                <w:color w:val="auto"/>
              </w:rPr>
              <w:t>GP interests consolidated, but owned by noncontrolling interests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13,038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300"/>
              <w:spacing w:after="0"/>
              <w:rPr>
                <w:sz w:val="20"/>
                <w:szCs w:val="20"/>
                <w:color w:val="auto"/>
              </w:rPr>
            </w:pPr>
            <w:r>
              <w:rPr>
                <w:rFonts w:ascii="Arial" w:cs="Arial" w:eastAsia="Arial" w:hAnsi="Arial"/>
                <w:sz w:val="18"/>
                <w:szCs w:val="18"/>
                <w:color w:val="auto"/>
              </w:rPr>
              <w:t>Investments owned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2,812</w:t>
            </w:r>
          </w:p>
        </w:tc>
        <w:tc>
          <w:tcPr>
            <w:tcW w:w="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100,171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102,983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consolidated, but owned by noncontrolling interests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35,743</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Derivatives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5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$ 136,493</w:t>
            </w: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$ 336,714</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87"/>
              </w:rPr>
              <w:t>$ 136,219</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609,426</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5,179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Derivatives</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17,383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5,179</w:t>
            </w: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17,383</w:t>
            </w: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22,562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5620"/>
              <w:spacing w:after="0"/>
              <w:rPr>
                <w:sz w:val="20"/>
                <w:szCs w:val="20"/>
                <w:color w:val="auto"/>
              </w:rPr>
            </w:pPr>
            <w:r>
              <w:rPr>
                <w:rFonts w:ascii="Arial" w:cs="Arial" w:eastAsia="Arial" w:hAnsi="Arial"/>
                <w:sz w:val="18"/>
                <w:szCs w:val="18"/>
                <w:color w:val="auto"/>
              </w:rPr>
              <w:t>92</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There were no transfers between any of the Level 1, 2 and 3 categories in the fair value measurement hierarchy during the year ended December 31, 2010.</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years ended December 31, 2010, 2009 and 2008: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0"/>
              </w:rPr>
              <w:t>Year Ended December 31, 2010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Net Unrealized/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Purchases,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Issuances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Gains (Losses)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12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5"/>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Beginning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Settlements/</w:t>
            </w:r>
          </w:p>
        </w:tc>
        <w:tc>
          <w:tcPr>
            <w:tcW w:w="40" w:type="dxa"/>
            <w:vAlign w:val="bottom"/>
          </w:tcPr>
          <w:p>
            <w:pPr>
              <w:spacing w:after="0"/>
              <w:rPr>
                <w:sz w:val="12"/>
                <w:szCs w:val="12"/>
                <w:color w:val="auto"/>
              </w:rPr>
            </w:pPr>
          </w:p>
        </w:tc>
        <w:tc>
          <w:tcPr>
            <w:tcW w:w="12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Revenue-Other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3"/>
              </w:rPr>
              <w:t>Acquisitions</w:t>
            </w:r>
          </w:p>
        </w:tc>
        <w:tc>
          <w:tcPr>
            <w:tcW w:w="40" w:type="dxa"/>
            <w:vAlign w:val="bottom"/>
          </w:tcPr>
          <w:p>
            <w:pPr>
              <w:spacing w:after="0"/>
              <w:rPr>
                <w:sz w:val="14"/>
                <w:szCs w:val="14"/>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5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100,171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1,418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(1,932)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96,276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owned by noncontrolling</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7,228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24,235</w:t>
            </w:r>
          </w:p>
        </w:tc>
        <w:tc>
          <w:tcPr>
            <w:tcW w:w="46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67,206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136,219</w:t>
            </w:r>
          </w:p>
        </w:tc>
        <w:tc>
          <w:tcPr>
            <w:tcW w:w="80" w:type="dxa"/>
            <w:vAlign w:val="bottom"/>
          </w:tcPr>
          <w:p>
            <w:pPr>
              <w:spacing w:after="0"/>
              <w:rPr>
                <w:sz w:val="19"/>
                <w:szCs w:val="19"/>
                <w:color w:val="auto"/>
              </w:rPr>
            </w:pPr>
          </w:p>
        </w:tc>
        <w:tc>
          <w:tcPr>
            <w:tcW w:w="5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8,652</w:t>
            </w:r>
          </w:p>
        </w:tc>
        <w:tc>
          <w:tcPr>
            <w:tcW w:w="2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22,317</w:t>
            </w:r>
          </w:p>
        </w:tc>
        <w:tc>
          <w:tcPr>
            <w:tcW w:w="4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(3,390)</w:t>
            </w: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163,798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3"/>
              </w:rPr>
              <w:t>Year Ended December 31, 2009</w:t>
            </w:r>
          </w:p>
        </w:tc>
        <w:tc>
          <w:tcPr>
            <w:tcW w:w="6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Net Unrealized/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Purchases,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79"/>
              </w:rPr>
              <w:t>Issuances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40" w:type="dxa"/>
            <w:vAlign w:val="bottom"/>
          </w:tcPr>
          <w:p>
            <w:pPr>
              <w:spacing w:after="0"/>
              <w:rPr>
                <w:sz w:val="12"/>
                <w:szCs w:val="12"/>
                <w:color w:val="auto"/>
              </w:rPr>
            </w:pPr>
          </w:p>
        </w:tc>
        <w:tc>
          <w:tcPr>
            <w:tcW w:w="12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Revenue-Other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3"/>
              </w:rPr>
              <w:t>Acquisitions</w:t>
            </w:r>
          </w:p>
        </w:tc>
        <w:tc>
          <w:tcPr>
            <w:tcW w:w="40" w:type="dxa"/>
            <w:vAlign w:val="bottom"/>
          </w:tcPr>
          <w:p>
            <w:pPr>
              <w:spacing w:after="0"/>
              <w:rPr>
                <w:sz w:val="14"/>
                <w:szCs w:val="14"/>
                <w:color w:val="auto"/>
              </w:rPr>
            </w:pPr>
          </w:p>
        </w:tc>
        <w:tc>
          <w:tcPr>
            <w:tcW w:w="12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2,453</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(97)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(2,051)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83,931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11,932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center"/>
              <w:ind w:left="158"/>
              <w:spacing w:after="0"/>
              <w:rPr>
                <w:sz w:val="20"/>
                <w:szCs w:val="20"/>
                <w:color w:val="auto"/>
              </w:rPr>
            </w:pPr>
            <w:r>
              <w:rPr>
                <w:rFonts w:ascii="Arial" w:cs="Arial" w:eastAsia="Arial" w:hAnsi="Arial"/>
                <w:sz w:val="18"/>
                <w:szCs w:val="18"/>
                <w:color w:val="auto"/>
                <w:w w:val="88"/>
              </w:rPr>
              <w:t>1,539</w:t>
            </w:r>
          </w:p>
        </w:tc>
        <w:tc>
          <w:tcPr>
            <w:tcW w:w="5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100,171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8"/>
              </w:rPr>
              <w:t>Investments consolidated, but owned by noncontrolling interests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31,919</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38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380" w:type="dxa"/>
            <w:vAlign w:val="bottom"/>
            <w:gridSpan w:val="2"/>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2"/>
              </w:rPr>
              <w:t>$ 86,384</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6,496</w:t>
            </w:r>
          </w:p>
        </w:tc>
        <w:tc>
          <w:tcPr>
            <w:tcW w:w="2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41,800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center"/>
              <w:ind w:left="158"/>
              <w:spacing w:after="0"/>
              <w:rPr>
                <w:sz w:val="20"/>
                <w:szCs w:val="20"/>
                <w:color w:val="auto"/>
              </w:rPr>
            </w:pPr>
            <w:r>
              <w:rPr>
                <w:rFonts w:ascii="Arial" w:cs="Arial" w:eastAsia="Arial" w:hAnsi="Arial"/>
                <w:sz w:val="18"/>
                <w:szCs w:val="18"/>
                <w:color w:val="auto"/>
                <w:w w:val="88"/>
              </w:rPr>
              <w:t>1,539</w:t>
            </w:r>
          </w:p>
        </w:tc>
        <w:tc>
          <w:tcPr>
            <w:tcW w:w="5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136,219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4"/>
                <w:szCs w:val="14"/>
                <w:b w:val="1"/>
                <w:bCs w:val="1"/>
                <w:color w:val="auto"/>
              </w:rPr>
              <w:t>Year Ended December 31, 2008</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800"/>
              <w:spacing w:after="0" w:line="129" w:lineRule="exact"/>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140" w:type="dxa"/>
            <w:vAlign w:val="bottom"/>
          </w:tcPr>
          <w:p>
            <w:pPr>
              <w:spacing w:after="0"/>
              <w:rPr>
                <w:sz w:val="12"/>
                <w:szCs w:val="12"/>
                <w:color w:val="auto"/>
              </w:rPr>
            </w:pPr>
          </w:p>
        </w:tc>
        <w:tc>
          <w:tcPr>
            <w:tcW w:w="130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Purchases,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5"/>
          </w:tcPr>
          <w:p>
            <w:pPr>
              <w:jc w:val="center"/>
              <w:ind w:right="660"/>
              <w:spacing w:after="0" w:line="149" w:lineRule="exact"/>
              <w:rPr>
                <w:sz w:val="20"/>
                <w:szCs w:val="20"/>
                <w:color w:val="auto"/>
              </w:rPr>
            </w:pPr>
            <w:r>
              <w:rPr>
                <w:rFonts w:ascii="Arial" w:cs="Arial" w:eastAsia="Arial" w:hAnsi="Arial"/>
                <w:sz w:val="14"/>
                <w:szCs w:val="14"/>
                <w:b w:val="1"/>
                <w:bCs w:val="1"/>
                <w:color w:val="auto"/>
                <w:w w:val="77"/>
              </w:rPr>
              <w:t>Realized</w:t>
            </w:r>
          </w:p>
        </w:tc>
        <w:tc>
          <w:tcPr>
            <w:tcW w:w="140" w:type="dxa"/>
            <w:vAlign w:val="bottom"/>
          </w:tcPr>
          <w:p>
            <w:pPr>
              <w:spacing w:after="0"/>
              <w:rPr>
                <w:sz w:val="12"/>
                <w:szCs w:val="12"/>
                <w:color w:val="auto"/>
              </w:rPr>
            </w:pPr>
          </w:p>
        </w:tc>
        <w:tc>
          <w:tcPr>
            <w:tcW w:w="130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Issuances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980" w:type="dxa"/>
            <w:vAlign w:val="bottom"/>
            <w:gridSpan w:val="6"/>
          </w:tcPr>
          <w:p>
            <w:pPr>
              <w:jc w:val="right"/>
              <w:ind w:right="380"/>
              <w:spacing w:after="0" w:line="149" w:lineRule="exact"/>
              <w:rPr>
                <w:sz w:val="20"/>
                <w:szCs w:val="20"/>
                <w:color w:val="auto"/>
              </w:rPr>
            </w:pPr>
            <w:r>
              <w:rPr>
                <w:rFonts w:ascii="Arial" w:cs="Arial" w:eastAsia="Arial" w:hAnsi="Arial"/>
                <w:sz w:val="14"/>
                <w:szCs w:val="14"/>
                <w:b w:val="1"/>
                <w:bCs w:val="1"/>
                <w:color w:val="auto"/>
                <w:w w:val="84"/>
              </w:rPr>
              <w:t>Beginning</w:t>
            </w:r>
          </w:p>
        </w:tc>
        <w:tc>
          <w:tcPr>
            <w:tcW w:w="200" w:type="dxa"/>
            <w:vAlign w:val="bottom"/>
          </w:tcPr>
          <w:p>
            <w:pPr>
              <w:spacing w:after="0"/>
              <w:rPr>
                <w:sz w:val="12"/>
                <w:szCs w:val="12"/>
                <w:color w:val="auto"/>
              </w:rPr>
            </w:pPr>
          </w:p>
        </w:tc>
        <w:tc>
          <w:tcPr>
            <w:tcW w:w="1360" w:type="dxa"/>
            <w:vAlign w:val="bottom"/>
            <w:gridSpan w:val="6"/>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40" w:type="dxa"/>
            <w:vAlign w:val="bottom"/>
          </w:tcPr>
          <w:p>
            <w:pPr>
              <w:spacing w:after="0"/>
              <w:rPr>
                <w:sz w:val="12"/>
                <w:szCs w:val="12"/>
                <w:color w:val="auto"/>
              </w:rPr>
            </w:pPr>
          </w:p>
        </w:tc>
        <w:tc>
          <w:tcPr>
            <w:tcW w:w="130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40" w:type="dxa"/>
            <w:vAlign w:val="bottom"/>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9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136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9"/>
              </w:rPr>
              <w:t>Revenue-Other</w:t>
            </w:r>
          </w:p>
        </w:tc>
        <w:tc>
          <w:tcPr>
            <w:tcW w:w="140" w:type="dxa"/>
            <w:vAlign w:val="bottom"/>
          </w:tcPr>
          <w:p>
            <w:pPr>
              <w:spacing w:after="0"/>
              <w:rPr>
                <w:sz w:val="14"/>
                <w:szCs w:val="14"/>
                <w:color w:val="auto"/>
              </w:rPr>
            </w:pPr>
          </w:p>
        </w:tc>
        <w:tc>
          <w:tcPr>
            <w:tcW w:w="13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5"/>
              </w:rPr>
              <w:t>Acquisitions</w:t>
            </w:r>
          </w:p>
        </w:tc>
        <w:tc>
          <w:tcPr>
            <w:tcW w:w="12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  4,469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(1,944)</w:t>
            </w:r>
          </w:p>
        </w:tc>
        <w:tc>
          <w:tcPr>
            <w:tcW w:w="4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investments owned</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74,051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6"/>
              </w:rPr>
              <w:t>(12,391)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25,733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0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2"/>
              </w:rPr>
              <w:t>$ 78,520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w w:val="86"/>
              </w:rPr>
              <w:t>(12,179)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23,789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(3,746)</w:t>
            </w: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86,384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There were net realized gains (losses) of $353, $(682) and $1,810 included in earnings during the years ended December 31, 2010, 2009 and 2008, respectively, with respect to Level 3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represents the fair values of the Company’s derivative assets and liabilities reported within “other assets” and “other liabilities” on the accompanying consolidated statements of financial condition as of December 31, 2010 and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Designated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Not Designated</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as Hedging Instruments</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as Hedging Instruments</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Total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jc w:val="right"/>
              <w:ind w:right="294"/>
              <w:spacing w:after="0" w:line="142"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December 31,</w:t>
            </w:r>
          </w:p>
        </w:tc>
        <w:tc>
          <w:tcPr>
            <w:tcW w:w="320" w:type="dxa"/>
            <w:vAlign w:val="bottom"/>
          </w:tcPr>
          <w:p>
            <w:pPr>
              <w:spacing w:after="0"/>
              <w:rPr>
                <w:sz w:val="12"/>
                <w:szCs w:val="12"/>
                <w:color w:val="auto"/>
              </w:rPr>
            </w:pPr>
          </w:p>
        </w:tc>
        <w:tc>
          <w:tcPr>
            <w:tcW w:w="152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1,432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$ 1,432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440"/>
              <w:spacing w:after="0"/>
              <w:rPr>
                <w:sz w:val="20"/>
                <w:szCs w:val="20"/>
                <w:color w:val="auto"/>
              </w:rPr>
            </w:pPr>
            <w:r>
              <w:rPr>
                <w:rFonts w:ascii="Arial" w:cs="Arial" w:eastAsia="Arial" w:hAnsi="Arial"/>
                <w:sz w:val="18"/>
                <w:szCs w:val="18"/>
                <w:color w:val="auto"/>
              </w:rPr>
              <w:t>Equity swaps and other</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14,147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swaps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3,230</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3,236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$ 3,230</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Gains (losses) with respect to derivatives not designated as hedging instruments on the accompanying consolidated statements of operations for the years ended December 31, 2010 and 2009 (predominantly reflected in “revenue-other”), by type of derivative,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9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9"/>
              </w:rPr>
              <w:t>$ 2,291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Interest rate swaps</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Equity swaps and other</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(6,415)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(13,810)</w:t>
            </w:r>
          </w:p>
        </w:tc>
      </w:tr>
      <w:tr>
        <w:trPr>
          <w:trHeight w:val="20"/>
        </w:trPr>
        <w:tc>
          <w:tcPr>
            <w:tcW w:w="9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56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(4,418)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(9,874)</w:t>
            </w:r>
          </w:p>
        </w:tc>
      </w:tr>
      <w:tr>
        <w:trPr>
          <w:trHeight w:val="20"/>
        </w:trPr>
        <w:tc>
          <w:tcPr>
            <w:tcW w:w="9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Derivatives designated as hedging instruments relate to interest rate swaps that hedged “available-for-sale” securities and had been accounted for as fair value hedges. For the years ended December 31, 2010 and 2009, the Company recognized pre-tax losses pertaining to interest rate swaps of $2,844 and $1,263, respectively. These losses were substantially offset by gains recognized on the hedged risk portion of such “available-for-sale” securities.</w:t>
      </w:r>
    </w:p>
    <w:p>
      <w:pPr>
        <w:spacing w:after="0" w:line="93"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a certain specified fundamental transactions occur, were held by present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and former employees of LAM. Following the LAM Merger, all equity interests of LAM are owned directly or indirectly by LFNY. As a consequence of the LAM Merger, during the three month period ended September 30, 2008 the Company recorded compensation and benefits expense of $197,550 related to the equity interests of LAM held by present and former employees of LAM and $2,000 of non-compensation related transaction costs (together aggregating to a reduction of operating income of $199,550).</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Lazard Ltd or a sale of LAM, any and all of the Transaction Consideration will be payable as of the date of such change in control. The related liabilities for the present value of the unpaid cash consideration have been recorded in the accompanying consolidated statements of financial condition in “accrued compensation and benefits” and “other liabilities”, and amounted to $15,152 and $71,394, respectively, as of December 31, 2010, and $14,252 and $65,308, respectively, as of December 31, 2009.</w:t>
      </w:r>
    </w:p>
    <w:p>
      <w:pPr>
        <w:spacing w:after="0" w:line="10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LAM Merger, Lazard Group recorded a related party payable to subsidiaries of Lazard Ltd of $64,305 at both December 31, 2010 and 2009 (see Note 20 of Notes to Consolidated Financial Statements). Such amount will become members’ equity as the related shares of Class A common stock are issued.</w:t>
      </w:r>
    </w:p>
    <w:p>
      <w:pPr>
        <w:spacing w:after="0" w:line="127"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 AND JOINT VENTURE INVESTMENT</w:t>
      </w:r>
    </w:p>
    <w:p>
      <w:pPr>
        <w:spacing w:after="0" w:line="77"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middle market funds (the “underlying funds”). The acquisition was structured as a purchase by Lazard Group of interests in a holding company that in turn owns interests in the general partner and management company entities of the current Edgewater private equity funds.</w:t>
      </w:r>
    </w:p>
    <w:p>
      <w:pPr>
        <w:spacing w:after="0" w:line="9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transfer restrictions and forfeiture provisions that lapse only upon the achievement of certain performance thresholds for the next Edgewater fund that must be met by July 15, 2011. The Earnout Shares will be issued only if certain performance thresholds for the next two Edgewater funds are met.</w:t>
      </w:r>
    </w:p>
    <w:p>
      <w:pPr>
        <w:spacing w:after="0" w:line="102"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Edgewater Acquisition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intangible assets and goodwill of $53,635 (consisting primarily of Edgewater’s investments in the underlying funds and cash), $56,200 and $61,630, respectively, which include amounts for Edgewater’s noncontrolling interests held (whose economic interests approximate 50%) aggregating $109,841. Goodwill pertaining to this acquisition is deductible for income tax purposes. See Note 11 of Notes to Consolidated Financial Statements for additional information relating to goodwill and other intangible assets. The operating results relating to Edgewater are included in the Company’s Asset Management segment.</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2007, the Company acquired Goldsmith, Agio, Helms &amp; Lynner, LLC (“GAHL”), a Minneapolis-based investment bank specializing in financial advisory services to mid-sized private companies, and Carnegie, Wylie &amp; Company (Holdings) PTY LTD (“CWC”), an Australia-based financial advisory firm.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December 31, 2010 and 2009, 1,295,029 and 662,015 shares of Class A common stock were issuable on a non-contingent basis, respectively. Additionally, at December 31, 2010 and 2009, 4,862 and 7,293 shares of Series A preferred stock, respectively, were convertible into Class A common shares on a non-contingent basis, with the number of Class A common shares dependent, in part, upon future prices of the Class A common stock. Depending upon the future performance of GAHL and CWC, at December 31, 2009, 948,631 shares of Class A common stock were contingently issuable and, at December 31, 2010 and 2009, 17,159 and 19,590 shares of Series A preferred stock, respectively, were contingently convertible into shares of Class A common stock. The Class A common stock described above related to the GAHL and CWC acquisitions is issuable over multi-year periods.</w:t>
      </w:r>
    </w:p>
    <w:p>
      <w:pPr>
        <w:spacing w:after="0" w:line="109"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connection with Lazard Group’s acquisitions of GAHL and Edgewater’s management vehicles, as well as Lazard Ltd’s acquisition of CWC and subsequent contribution of CWC to Lazard Group, Lazard Group recorded related party payables of $60,190 and $39,820 at December 31, 2010 and 2009, respectively, to subsidiaries of Lazard Ltd (see Note 20 of Notes to the Consolidated Financial Statements). Such amounts will become members’ equity as the related shares of Class A common stock are issued.</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January 31, 2008, Lazard Group acquired a 50% interest in Merchant Bankers Asociados (“MBA”). The Company accounts for the investment in MBA using the equity method of accounting.</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10.</w:t>
      </w:r>
      <w:r>
        <w:rPr>
          <w:sz w:val="20"/>
          <w:szCs w:val="20"/>
          <w:color w:val="auto"/>
        </w:rPr>
        <w:tab/>
      </w:r>
      <w:r>
        <w:rPr>
          <w:rFonts w:ascii="Arial" w:cs="Arial" w:eastAsia="Arial" w:hAnsi="Arial"/>
          <w:sz w:val="16"/>
          <w:szCs w:val="16"/>
          <w:b w:val="1"/>
          <w:bCs w:val="1"/>
          <w:i w:val="1"/>
          <w:iCs w:val="1"/>
          <w:color w:val="auto"/>
        </w:rPr>
        <w:t>PROPERTY-NET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2010 and 2009 property-net consists of the following:</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600" w:type="dxa"/>
            <w:vAlign w:val="bottom"/>
          </w:tcPr>
          <w:p>
            <w:pPr>
              <w:spacing w:after="0"/>
              <w:rPr>
                <w:sz w:val="14"/>
                <w:szCs w:val="14"/>
                <w:color w:val="auto"/>
              </w:rPr>
            </w:pPr>
          </w:p>
        </w:tc>
        <w:tc>
          <w:tcPr>
            <w:tcW w:w="216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0"/>
        </w:trPr>
        <w:tc>
          <w:tcPr>
            <w:tcW w:w="38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Depreciable</w:t>
            </w:r>
          </w:p>
        </w:tc>
        <w:tc>
          <w:tcPr>
            <w:tcW w:w="600" w:type="dxa"/>
            <w:vAlign w:val="bottom"/>
          </w:tcPr>
          <w:p>
            <w:pPr>
              <w:spacing w:after="0"/>
              <w:rPr>
                <w:sz w:val="6"/>
                <w:szCs w:val="6"/>
                <w:color w:val="auto"/>
              </w:rPr>
            </w:pPr>
          </w:p>
        </w:tc>
        <w:tc>
          <w:tcPr>
            <w:tcW w:w="21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38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in Years</w:t>
            </w:r>
          </w:p>
        </w:tc>
        <w:tc>
          <w:tcPr>
            <w:tcW w:w="600" w:type="dxa"/>
            <w:vAlign w:val="bottom"/>
          </w:tcPr>
          <w:p>
            <w:pPr>
              <w:spacing w:after="0"/>
              <w:rPr>
                <w:sz w:val="14"/>
                <w:szCs w:val="14"/>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$ 168,711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$ 181,679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1660" w:type="dxa"/>
            <w:vAlign w:val="bottom"/>
            <w:gridSpan w:val="3"/>
          </w:tcPr>
          <w:p>
            <w:pPr>
              <w:jc w:val="right"/>
              <w:ind w:right="340"/>
              <w:spacing w:after="0"/>
              <w:rPr>
                <w:sz w:val="20"/>
                <w:szCs w:val="20"/>
                <w:color w:val="auto"/>
              </w:rPr>
            </w:pPr>
            <w:r>
              <w:rPr>
                <w:rFonts w:ascii="Arial" w:cs="Arial" w:eastAsia="Arial" w:hAnsi="Arial"/>
                <w:sz w:val="18"/>
                <w:szCs w:val="18"/>
                <w:color w:val="auto"/>
              </w:rPr>
              <w:t>156,250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157,335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76,461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67,502</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401,422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406,516</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 Accumulated depreciation and amortization</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(250,898)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(239,603)</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Property-net</w:t>
            </w: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60" w:type="dxa"/>
            <w:vAlign w:val="bottom"/>
            <w:gridSpan w:val="3"/>
          </w:tcPr>
          <w:p>
            <w:pPr>
              <w:jc w:val="right"/>
              <w:ind w:right="340"/>
              <w:spacing w:after="0"/>
              <w:rPr>
                <w:sz w:val="20"/>
                <w:szCs w:val="20"/>
                <w:color w:val="auto"/>
              </w:rPr>
            </w:pPr>
            <w:r>
              <w:rPr>
                <w:rFonts w:ascii="Arial" w:cs="Arial" w:eastAsia="Arial" w:hAnsi="Arial"/>
                <w:sz w:val="18"/>
                <w:szCs w:val="18"/>
                <w:color w:val="auto"/>
              </w:rPr>
              <w:t>$ 150,524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$ 166,913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80" w:type="dxa"/>
            <w:vAlign w:val="bottom"/>
            <w:vMerge w:val="restart"/>
          </w:tcPr>
          <w:p>
            <w:pPr>
              <w:jc w:val="right"/>
              <w:ind w:right="592"/>
              <w:spacing w:after="0"/>
              <w:rPr>
                <w:sz w:val="20"/>
                <w:szCs w:val="20"/>
                <w:color w:val="auto"/>
              </w:rPr>
            </w:pPr>
            <w:r>
              <w:rPr>
                <w:rFonts w:ascii="Arial" w:cs="Arial" w:eastAsia="Arial" w:hAnsi="Arial"/>
                <w:sz w:val="18"/>
                <w:szCs w:val="18"/>
                <w:color w:val="auto"/>
              </w:rPr>
              <w:t>96</w:t>
            </w: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goodwill and other intangible assets at December 31, 2010 and 2009 are presented below:</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$313,229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$261,703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48,210</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361,439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317,780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December 31, 2010 and 2009, goodwill of $251,599 and $200,073, respectively, was attributable to the Company’s Financial Advisory segment and, at each such date, $61,630 of goodwill was attributable to the Company’s Asset Management segment.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years ended December 31, 2010, 2009 and 2008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$261,703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Business acquisitions, including additional contingent consideration earned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41,174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70,965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(17,451)</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313,229</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261,703</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performs a goodwill impairment test annually or more frequently if circumstances indicate that impairment may have occurred. The Company has selected December 31 as the date to perform its annual impairment test. Pursuant to the Company’s goodwill impairment review for the years ended December 31, 2010, 2009 and 2008, the Company compared the fair value of each of its applicable reporting units to their corresponding carrying amounts, including goodwill, and determined that no impairment existed.</w:t>
      </w:r>
    </w:p>
    <w:p>
      <w:pPr>
        <w:spacing w:after="0" w:line="13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December 31, 2010 and 2009,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2010</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December 31, 2009</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Success/performance fees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$30,740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$29,850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$30,740</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32,477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14,117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18,360</w:t>
            </w:r>
          </w:p>
        </w:tc>
        <w:tc>
          <w:tcPr>
            <w:tcW w:w="3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7,140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63,217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48,210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63,217</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56,077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vMerge w:val="restart"/>
          </w:tcPr>
          <w:p>
            <w:pPr>
              <w:jc w:val="right"/>
              <w:ind w:right="12"/>
              <w:spacing w:after="0"/>
              <w:rPr>
                <w:sz w:val="20"/>
                <w:szCs w:val="20"/>
                <w:color w:val="auto"/>
              </w:rPr>
            </w:pPr>
            <w:r>
              <w:rPr>
                <w:rFonts w:ascii="Arial" w:cs="Arial" w:eastAsia="Arial" w:hAnsi="Arial"/>
                <w:sz w:val="18"/>
                <w:szCs w:val="18"/>
                <w:color w:val="auto"/>
              </w:rPr>
              <w:t>97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Amortization expense of intangible assets for the years ended December 31, 2010, 2009 and 2008 was $7,867, $4,990 and $4,596, respectively. Estimated future amortization expense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Expense (a)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740" w:type="dxa"/>
            <w:vAlign w:val="bottom"/>
            <w:tcBorders>
              <w:top w:val="single" w:sz="8" w:color="auto"/>
            </w:tcBorders>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2012</w:t>
            </w:r>
          </w:p>
        </w:tc>
        <w:tc>
          <w:tcPr>
            <w:tcW w:w="7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6,302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12,800</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9,861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6,242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1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48,210</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2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w w:val="81"/>
              </w:rPr>
              <w:t>(a)</w:t>
            </w:r>
          </w:p>
        </w:tc>
        <w:tc>
          <w:tcPr>
            <w:tcW w:w="4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w w:val="95"/>
              </w:rPr>
              <w:t>Approximately 48% of intangible asset amortization is attributable to a noncontrolling interest.</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58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12.  OTHER ASSETS AND OTHER LIABILITIES</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580" w:type="dxa"/>
            <w:vAlign w:val="bottom"/>
            <w:gridSpan w:val="7"/>
          </w:tcPr>
          <w:p>
            <w:pPr>
              <w:ind w:left="460"/>
              <w:spacing w:after="0"/>
              <w:rPr>
                <w:sz w:val="20"/>
                <w:szCs w:val="20"/>
                <w:color w:val="auto"/>
              </w:rPr>
            </w:pPr>
            <w:r>
              <w:rPr>
                <w:rFonts w:ascii="Arial" w:cs="Arial" w:eastAsia="Arial" w:hAnsi="Arial"/>
                <w:sz w:val="18"/>
                <w:szCs w:val="18"/>
                <w:color w:val="auto"/>
                <w:w w:val="98"/>
              </w:rPr>
              <w:t>The following table sets forth the Company’s other assets, by type, as of December 31, 2010 and 2009:</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Current and deferred income taxes receivable (net of valuation allowance) and other taxes</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$ 73,704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gridSpan w:val="6"/>
          </w:tcPr>
          <w:p>
            <w:pPr>
              <w:spacing w:after="0"/>
              <w:rPr>
                <w:sz w:val="20"/>
                <w:szCs w:val="20"/>
                <w:color w:val="auto"/>
              </w:rPr>
            </w:pPr>
            <w:r>
              <w:rPr>
                <w:rFonts w:ascii="Arial" w:cs="Arial" w:eastAsia="Arial" w:hAnsi="Arial"/>
                <w:sz w:val="18"/>
                <w:szCs w:val="18"/>
                <w:color w:val="auto"/>
              </w:rPr>
              <w:t>Advances and prepayments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94,967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65,311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Deferred debt issuance costs</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38,930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215,195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201,553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7"/>
            <w:vMerge w:val="restart"/>
          </w:tcPr>
          <w:p>
            <w:pPr>
              <w:ind w:left="460"/>
              <w:spacing w:after="0"/>
              <w:rPr>
                <w:sz w:val="20"/>
                <w:szCs w:val="20"/>
                <w:color w:val="auto"/>
              </w:rPr>
            </w:pPr>
            <w:r>
              <w:rPr>
                <w:rFonts w:ascii="Arial" w:cs="Arial" w:eastAsia="Arial" w:hAnsi="Arial"/>
                <w:sz w:val="18"/>
                <w:szCs w:val="18"/>
                <w:color w:val="auto"/>
                <w:w w:val="96"/>
              </w:rPr>
              <w:t>The following table sets forth the Company’s other liabilities, by type, as of December 31, 2010 and 2009:</w:t>
            </w: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580" w:type="dxa"/>
            <w:vAlign w:val="bottom"/>
            <w:gridSpan w:val="7"/>
            <w:vMerge w:val="continue"/>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$136,209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131,671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gridSpan w:val="6"/>
          </w:tcPr>
          <w:p>
            <w:pPr>
              <w:spacing w:after="0"/>
              <w:rPr>
                <w:sz w:val="20"/>
                <w:szCs w:val="20"/>
                <w:color w:val="auto"/>
              </w:rPr>
            </w:pPr>
            <w:r>
              <w:rPr>
                <w:rFonts w:ascii="Arial" w:cs="Arial" w:eastAsia="Arial" w:hAnsi="Arial"/>
                <w:sz w:val="18"/>
                <w:szCs w:val="18"/>
                <w:color w:val="auto"/>
              </w:rPr>
              <w:t>Current and deferred income taxes and other taxes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91,665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105,094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Employee benefit-related liabilities</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67,779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gridSpan w:val="6"/>
          </w:tcPr>
          <w:p>
            <w:pPr>
              <w:spacing w:after="0"/>
              <w:rPr>
                <w:sz w:val="20"/>
                <w:szCs w:val="20"/>
                <w:color w:val="auto"/>
              </w:rPr>
            </w:pPr>
            <w:r>
              <w:rPr>
                <w:rFonts w:ascii="Arial" w:cs="Arial" w:eastAsia="Arial" w:hAnsi="Arial"/>
                <w:sz w:val="18"/>
                <w:szCs w:val="18"/>
                <w:color w:val="auto"/>
              </w:rPr>
              <w:t>LAM Merger (present value of unpaid cash consideration)</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71,394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65,308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Unclaimed funds at LFB</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gridSpan w:val="6"/>
          </w:tcPr>
          <w:p>
            <w:pPr>
              <w:spacing w:after="0"/>
              <w:rPr>
                <w:sz w:val="20"/>
                <w:szCs w:val="20"/>
                <w:color w:val="auto"/>
              </w:rPr>
            </w:pPr>
            <w:r>
              <w:rPr>
                <w:rFonts w:ascii="Arial" w:cs="Arial" w:eastAsia="Arial" w:hAnsi="Arial"/>
                <w:sz w:val="18"/>
                <w:szCs w:val="18"/>
                <w:color w:val="auto"/>
              </w:rPr>
              <w:t>Abandoned leased space (principally in the U.K.)</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8,203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85,285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66,441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491,458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491,221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60" w:type="dxa"/>
            <w:vAlign w:val="bottom"/>
            <w:gridSpan w:val="4"/>
            <w:vMerge w:val="restart"/>
          </w:tcPr>
          <w:p>
            <w:pPr>
              <w:jc w:val="right"/>
              <w:ind w:right="2780"/>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6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color w:val="auto"/>
        </w:rPr>
        <w:t>—Senior debt is comprised of the following as of December 31, 2010 and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Annual</w:t>
            </w:r>
          </w:p>
        </w:tc>
        <w:tc>
          <w:tcPr>
            <w:tcW w:w="100" w:type="dxa"/>
            <w:vAlign w:val="bottom"/>
          </w:tcPr>
          <w:p>
            <w:pPr>
              <w:spacing w:after="0"/>
              <w:rPr>
                <w:sz w:val="14"/>
                <w:szCs w:val="14"/>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Outstanding As Of</w:t>
            </w:r>
          </w:p>
        </w:tc>
      </w:tr>
      <w:tr>
        <w:trPr>
          <w:trHeight w:val="161"/>
        </w:trPr>
        <w:tc>
          <w:tcPr>
            <w:tcW w:w="11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2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Maturity</w:t>
            </w:r>
          </w:p>
        </w:tc>
        <w:tc>
          <w:tcPr>
            <w:tcW w:w="11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4"/>
                <w:szCs w:val="14"/>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Amount</w:t>
            </w:r>
          </w:p>
        </w:tc>
        <w:tc>
          <w:tcPr>
            <w:tcW w:w="42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Date</w:t>
            </w:r>
          </w:p>
        </w:tc>
        <w:tc>
          <w:tcPr>
            <w:tcW w:w="44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Rate</w:t>
            </w: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7.125% Senior Notes (a)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$550,000</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5/15/15</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7.125%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Lazard Group 6.85% Senior Notes (b)</w:t>
            </w:r>
          </w:p>
        </w:tc>
        <w:tc>
          <w:tcPr>
            <w:tcW w:w="680" w:type="dxa"/>
            <w:vAlign w:val="bottom"/>
          </w:tcPr>
          <w:p>
            <w:pPr>
              <w:jc w:val="right"/>
              <w:spacing w:after="0"/>
              <w:rPr>
                <w:sz w:val="20"/>
                <w:szCs w:val="20"/>
                <w:color w:val="auto"/>
              </w:rPr>
            </w:pPr>
            <w:r>
              <w:rPr>
                <w:rFonts w:ascii="Arial" w:cs="Arial" w:eastAsia="Arial" w:hAnsi="Arial"/>
                <w:sz w:val="18"/>
                <w:szCs w:val="18"/>
                <w:color w:val="auto"/>
              </w:rPr>
              <w:t>600,000</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6/15/17</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 (c)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4/29/13</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1,086,850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91"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the years ended December 31, 2010 and 2008, the Company repurchased $10,000 and $11,500 principal amount of the 7.125% Senior Notes, respectively, at a cost, excluding accrued interest, of $10,375 and $7,974, respectively, and, after the write-off of applicable unamortized debt issuance costs of $49 and $75 in the respective years, the Company recognized a pre-tax gain (loss) of $(424) and $3,451, respectively. In connection with the issuance of the 7.125% Senior Notes, on April 1, 2005, Lazard Group entered into an interest rate forward agreement. On May 9, 2005, Lazard Group settled the interest rate forward agreement, of which $11,003 was deemed to be the effective portion of the hedge and recorded within AOCI, and is being amortized as a charge to interest expense over the ten-year term of the 7.125% Senior Notes.</w:t>
      </w:r>
    </w:p>
    <w:p>
      <w:pPr>
        <w:spacing w:after="0" w:line="25" w:lineRule="exact"/>
        <w:rPr>
          <w:rFonts w:ascii="Arial" w:cs="Arial" w:eastAsia="Arial" w:hAnsi="Arial"/>
          <w:sz w:val="16"/>
          <w:szCs w:val="16"/>
          <w:color w:val="auto"/>
        </w:rPr>
      </w:pPr>
    </w:p>
    <w:p>
      <w:pPr>
        <w:ind w:left="460" w:right="200" w:hanging="452"/>
        <w:spacing w:after="0" w:line="306"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the years ended December 31, 2009 and 2008, the Company repurchased $900 and $50,750 principal amount of the 6.85% Senior Notes, respectively, at a cost, excluding accrued interest, of $635 and $33,463, respectively, and, after the write-off of unamortized debt issuance costs of $7 and $485 in the respective years, the Company recognized pre-tax gains of $258 and $16,802, respectively.</w:t>
      </w:r>
    </w:p>
    <w:p>
      <w:pPr>
        <w:spacing w:after="0" w:line="12" w:lineRule="exact"/>
        <w:rPr>
          <w:rFonts w:ascii="Arial" w:cs="Arial" w:eastAsia="Arial" w:hAnsi="Arial"/>
          <w:sz w:val="16"/>
          <w:szCs w:val="16"/>
          <w:color w:val="auto"/>
        </w:rPr>
      </w:pPr>
    </w:p>
    <w:p>
      <w:pPr>
        <w:ind w:left="460" w:right="140" w:hanging="452"/>
        <w:spacing w:after="0" w:line="294"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April 29, 2010, Lazard Group entered into a $150,000, three-year senior revolving credit facility with a group of lenders (the “Credit Facility”). The Credit Facility, as amended, replaced the prior revolving credit facility, which was terminated as a condition to effectiveness of the Credit Facility. Interest rates under the Credit Facility vary and are based on either a Federal Funds rate or a Eurodollar rate, in each case plus an applicable margin. As of December 31, 2010, the annual interest rate for a loan accruing interest (based on the Federal Funds overnight rate), including the applicable margin, was 2.25%. At December 31, 2010 and 2009, no amounts were outstanding under the Credit Facility or the prior revolving Credit Facility.</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December 31, 2010 and 2009 amounted to $150,000 at each date and represents a note which is convertible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maximum of 2,631,570 shares of Class A common stock at an effective conversion price of $57 per share. The note matures on September 30, 2016, and has a fixed interest rate of 3.25% per annum. One-third in principal amount became convertible on and after each of July 1, 2008, July 1, 2009 and July 1, 2010, and no principal amount is convertible after June 30, 2011. As of December 31, 2010, there have been no conversions of the note.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maturities relating to senior and subordinated borrowings outstanding at December 31, 2010 for each of the five years in the period ending December 31, 2015, and thereafter, are set forth in the table below. For purposes of this table, it was assumed that the $150,000 subordinated convertible note remains outstanding in accordance with its stated terms.</w:t>
      </w:r>
    </w:p>
    <w:p>
      <w:pPr>
        <w:spacing w:after="0" w:line="11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Subordinated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20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Senior Debt</w:t>
            </w: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Debt</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2011-2014</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2015</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528,500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528,500</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2"/>
              </w:rPr>
              <w:t>150,000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698,350</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660" w:type="dxa"/>
            <w:vAlign w:val="bottom"/>
            <w:vMerge w:val="continue"/>
          </w:tcPr>
          <w:p>
            <w:pPr>
              <w:spacing w:after="0"/>
              <w:rPr>
                <w:sz w:val="19"/>
                <w:szCs w:val="19"/>
                <w:color w:val="auto"/>
              </w:rPr>
            </w:pPr>
          </w:p>
        </w:tc>
        <w:tc>
          <w:tcPr>
            <w:tcW w:w="3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ind w:left="100"/>
              <w:spacing w:after="0"/>
              <w:rPr>
                <w:sz w:val="20"/>
                <w:szCs w:val="20"/>
                <w:color w:val="auto"/>
              </w:rPr>
            </w:pPr>
            <w:r>
              <w:rPr>
                <w:rFonts w:ascii="Arial" w:cs="Arial" w:eastAsia="Arial" w:hAnsi="Arial"/>
                <w:sz w:val="18"/>
                <w:szCs w:val="18"/>
                <w:color w:val="auto"/>
                <w:w w:val="82"/>
              </w:rPr>
              <w:t>150,000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1,226,850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December 31, 2010, the Company was in compliance with all of these provisions. All of the Company’s senior and subordinated debt obligations are unsecured.</w:t>
      </w:r>
    </w:p>
    <w:p>
      <w:pPr>
        <w:spacing w:after="0" w:line="129"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of December 31, 2010, the Company had approximately $300,000 in unused lines of credit available to it, including the Credit Facility, and approximately $102,000 and $27,000 of unused lines of credit available to LFB and Edgewater, respectively. In addition, LFB has access to the Eurosystem Covered Bond Purchase Program of the Banque de France.</w:t>
      </w:r>
    </w:p>
    <w:p>
      <w:pPr>
        <w:spacing w:after="0" w:line="127"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Company’s senior and subordinated debt are recorded at historical amounts. At December 31, 2010 and 2009, the fair value of the Company’s senior and subordinated debt was $1,271,360 and $1,255,254, respectively, and exceeded the aggregate carrying value by $44,510 and $18,404,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14.</w:t>
      </w:r>
      <w:r>
        <w:rPr>
          <w:sz w:val="20"/>
          <w:szCs w:val="20"/>
          <w:color w:val="auto"/>
        </w:rPr>
        <w:tab/>
      </w:r>
      <w:r>
        <w:rPr>
          <w:rFonts w:ascii="Arial" w:cs="Arial" w:eastAsia="Arial" w:hAnsi="Arial"/>
          <w:sz w:val="16"/>
          <w:szCs w:val="16"/>
          <w:b w:val="1"/>
          <w:bCs w:val="1"/>
          <w:i w:val="1"/>
          <w:iCs w:val="1"/>
          <w:color w:val="auto"/>
        </w:rPr>
        <w:t>COMMITMENTS AND CONTINGENCIES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leases office space and equipment under non-cancelable lease agreements, which expire on various dates through 2022 or,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effectiveness of the Lease Amendment (as defined below), 2033.</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Operating lease agreements, in addition to base rentals, generally are subject to escalation provisions based on certain costs incurred by the landlord. For the years ended December 31, 2010, 2009 and 2008, aggregate rental expense relating to operating leases amounted to $66,342, $69,404 and $74,550, respectively, and is included in “occupancy and equipment” or “technology and information services” on the consolidated statements of operations, depending on the nature of the underlying asset. The Company subleases office space under agreements, which expire on various dates through 2022. Sublease income from such agreements was $10,478, $11,327 and $11,531 for the years ended December 31, 2010, 2009 and 2008, respectively.</w:t>
      </w:r>
    </w:p>
    <w:p>
      <w:pPr>
        <w:spacing w:after="0" w:line="10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Capital lease obligations recorded under sale/leaseback transactions are payable through 2017 at a weighted average interest rate of approximately 6.63%. Such obligations are collateralized by certain buildings with a net book value of approximately $25,004 and $27,364 at December 31, 2010 and 2009, respectively. The net book value of all assets recorded under capital leases aggregated $27,767 and $28,728 at December 31, 2010 and 2009,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2010, minimum rental commitments under non-cancelable leases, net of sublease income, are approximately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42"/>
        </w:trPr>
        <w:tc>
          <w:tcPr>
            <w:tcW w:w="468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Capital</w:t>
            </w: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3"/>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3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11,625</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28,680</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capital lease commitments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22,903</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Sublease proceeds</w:t>
            </w: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94,405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80" w:type="dxa"/>
            <w:vAlign w:val="bottom"/>
            <w:gridSpan w:val="3"/>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Company has agreed to enter into an amendment (the “Lease Amendment”) of the leases relating to its offices in Rockefeller Center, New York, New York (the “Leased Premises”). The effectiveness of the Lease Amendment is conditioned upon receipt of customary documentation evidencing, among other things, the consent of the lender holding a mortgage covering the Leased Premises. The Lease Amendment provides that the term of the lease will be extended until 2033, and would commit the Company for approximately $600,000 of aggregate incremental rentals over the amounts included in the table above.</w:t>
      </w:r>
    </w:p>
    <w:p>
      <w:pPr>
        <w:spacing w:after="0" w:line="8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With respect to abandoned leased facilities in the U.K., at December 31, 2010 and 2009, the Company has recognized liabilities of $7,194 and $9,991, respectively, which are included in “other liabilities” on the consolidated statements of financial condition. Payments toward the liabilities continue through the remaining term of the leases. Such liabilities are based on the discounted future commitment, net of expected sublease income.</w:t>
      </w:r>
    </w:p>
    <w:p>
      <w:pPr>
        <w:spacing w:after="0" w:line="9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December 31, 2010, LFB had $5,125 of such indemnifications and held $3,694 of collateral/counter-guarantees to secure these commitments. The Company believes the likelihood of loss with respect to these indemnities is remote. Accordingly, no liability is recorded in the consolidated statement of financial condition.</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Private Equity Funding Commitments</w:t>
      </w:r>
      <w:r>
        <w:rPr>
          <w:rFonts w:ascii="Arial" w:cs="Arial" w:eastAsia="Arial" w:hAnsi="Arial"/>
          <w:sz w:val="18"/>
          <w:szCs w:val="18"/>
          <w:color w:val="auto"/>
        </w:rPr>
        <w:t>—At December 31, 2010, the principal unfunded commitments by the Company for capital contributions to private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investment funds related to CP II, is an amount not to exceed $5,290 for potential “follow-on investments” and/or for CP II expenses through the earlier of (i) February 25, 2017 or (ii) the liquidation of the fund.</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commitments at December 31, 2010 were $15,493. Such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See Notes 8, 9 and 17 of Notes to Consolidated Financial Statements for information regarding commitments relating to the LAM Merger, business acquisitions and obligations to fund our pension plans, respectively.</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the opinion of management, the consummation of such commitments will not have a material adverse effect on the 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Company’s businesses, as well as the financial services industry generally, are subject to extensive regulation throughout the world.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 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0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Issuance of Class A Common Shares</w:t>
      </w:r>
      <w:r>
        <w:rPr>
          <w:rFonts w:ascii="Arial" w:cs="Arial" w:eastAsia="Arial" w:hAnsi="Arial"/>
          <w:sz w:val="16"/>
          <w:szCs w:val="16"/>
          <w:color w:val="auto"/>
        </w:rPr>
        <w:t>—During the year ended December 31, 2010, 3,000,000 shares of Class A common stock were newly issued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Lazard Ltd to Lazard Group in connection with the settlement of vested restricted stock unit grants denominated in shares of Class A common stock (“RSUs”). Such shares were authorized as part of the 25,000,000 shares of Class A common stock that may be issued under the Lazard Ltd 2005 Equity Incentive Plan (the “2005 Plan”). In addition, during 2010, Lazard Ltd issued an aggregate of 888,605 shares of Class A common stock in connection with the GAHL and CWC acquisitions, which includes 572,988 shares of Class A common stock issued upon conversion of 4,862 shares of Lazard Ltd Series A preferred stock (see Note 9 of Notes to Consolidated Financial Statements).</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Secondary Offerings</w:t>
      </w:r>
      <w:r>
        <w:rPr>
          <w:rFonts w:ascii="Arial" w:cs="Arial" w:eastAsia="Arial" w:hAnsi="Arial"/>
          <w:sz w:val="18"/>
          <w:szCs w:val="18"/>
          <w:color w:val="auto"/>
        </w:rPr>
        <w:t>—Pursuant to the applicable Prospectus Supplements during 2008, 2009 and 2010, certain selling shareholders of Lazard Ltd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current and former managing directors of Lazard (and, from time to time, certain of our directors, executive officers or former executive officers) and their permitted transferees (collectively, the “Selling Shareholders”), who hold LAZ-MD Holdings exchangeable interests and/or Class A common stock) offered to sell shares of Class A common stock pursuant to applicable underwriting agreements and pricing agreements. Secondary offerings during the years ended December 31, 2008, 2009 and 2010 are described below.</w:t>
      </w:r>
    </w:p>
    <w:p>
      <w:pPr>
        <w:spacing w:after="0" w:line="12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u w:val="single" w:color="auto"/>
          <w:color w:val="auto"/>
        </w:rPr>
        <w:t>2008</w:t>
      </w:r>
      <w:r>
        <w:rPr>
          <w:rFonts w:ascii="Arial" w:cs="Arial" w:eastAsia="Arial" w:hAnsi="Arial"/>
          <w:sz w:val="16"/>
          <w:szCs w:val="16"/>
          <w:b w:val="1"/>
          <w:bCs w:val="1"/>
          <w:color w:val="auto"/>
        </w:rPr>
        <w:t xml:space="preserve"> </w:t>
      </w:r>
      <w:r>
        <w:rPr>
          <w:rFonts w:ascii="Arial" w:cs="Arial" w:eastAsia="Arial" w:hAnsi="Arial"/>
          <w:sz w:val="16"/>
          <w:szCs w:val="16"/>
          <w:color w:val="auto"/>
        </w:rPr>
        <w:t>– In September 2008, certain Selling Shareholders offered to sell 6,442,721 shares of Class A common stock. The underwriters had the option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up to an additional 715,858 shares of Class A common stock (together with the offering of 6,442,721 shares of Class A common stock (the “2008 Secondary Offering”)) from the Selling Shareholders (the “2008 Selling Shareholders”). To the extent that this option was not exercised in full, Lazard Group agreed to separately purchase from the 2008 Selling Shareholders, at the public offering price less the underwriting discount, all of those shares covered by the option and not purchased pursuant to the option. Pursuant to that separate purchase agreement, Lazard Group purchased 68,238 shares of Class A common stock for an aggregate cost of $2,430 ($35.61 per share). In addition, pursuant to the underwriting agreement, Lazard Group also separately purchased 715,858 shares of Class A common stock from the 2008 Selling Shareholders for an aggregate cost of $25,493 ($35.61 per share). The shares of Class A common stock described in this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paragraph purchased by Lazard Group were purchased as part of the share repurchase program described below. In the aggregate, the 2008 Selling Shareholders sold a total of 7,874,437 shares of Class A common stock (including 1,472,906 shares of Class A common stock previously exchanged for LAZ-MD Holdings exchangeable interests and 6,401,531 shares of Class A common stock exchanged for LAZ-MD Holdings interests simultaneously with the 2008 Secondary Offering).</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 Capital Markets LLC (“LCM”), a wholly-owned subsidiary of LFCM Holdings LLC (“LFCM Holdings”), was a member of the underwriting group for the 2008 Secondary Offering, and, in such capacity, earned revenue, net of estimated underwriting expenses, of approximately $1,852. The business alliance agreement entered into on May 10, 2005 by and among LAZ-MD Holdings, LFCM Holdings and Lazard Group (the “business alliance agreement”) provides for Lazard Group to receive a referral fee equal to approximately one-half of the net revenue obtained by LCM in respect of any underwriting or distribution opportunity referred to it by Lazard Group. In that connection, Lazard Group recognized $926 of income in “revenue-other.” See Note 20 of Notes to Consolidated Financial Statements for additional information regarding the business alliance agreement.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2009</w:t>
      </w:r>
      <w:r>
        <w:rPr>
          <w:rFonts w:ascii="Arial" w:cs="Arial" w:eastAsia="Arial" w:hAnsi="Arial"/>
          <w:sz w:val="16"/>
          <w:szCs w:val="16"/>
          <w:b w:val="1"/>
          <w:bCs w:val="1"/>
          <w:color w:val="auto"/>
        </w:rPr>
        <w:t xml:space="preserve"> </w:t>
      </w:r>
      <w:r>
        <w:rPr>
          <w:rFonts w:ascii="Arial" w:cs="Arial" w:eastAsia="Arial" w:hAnsi="Arial"/>
          <w:sz w:val="16"/>
          <w:szCs w:val="16"/>
          <w:color w:val="auto"/>
        </w:rPr>
        <w:t>– In June 2009, certain Selling Shareholders (the “June 2009 Selling Shareholders”) sold 4,000,000 shares of Class A common stock at a price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$26.00 per share (the “June 2009 Secondary Offering”). Separately, in connection with the June 2009 Secondary Offering, Lazard Group agreed to purchase from</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June 2009 Selling Shareholders 1,700,000 shares of Class A common stock for an aggregate cost of $44,200 ($26.00 per share), with such purchase being part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the share repurchase program in effect during 2009. In the aggregate, the June 2009 Selling Shareholders sold a total of 5,700,000 shares of Class A common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stock (including 2,110,754 shares of Class A common stock previously received upon the exchange of a like number of LAZ-MD Holdings exchangeable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interests and 3,589,246 shares of Class A common stock received upon a simultaneous exchange of a like number of LAZ-MD Holdings exchangeable interests).</w:t>
      </w:r>
    </w:p>
    <w:p>
      <w:pPr>
        <w:spacing w:after="0" w:line="18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September 2009, certain Selling Shareholders (the “September 2009 Selling Shareholders”) sold 5,215,921 shares of Class A common stock (including 2,411,001 shares of Class A common stock previously received upon the exchange of a like number of LAZ-MD Holdings exchangeable interests and 2,804,920 shares of Class A common stock received upon a simultaneous exchange of a like number of LAZ-MD Holdings exchangeable interests) at a price of $37.00 per share (the “September 2009 Secondary Offering”, and together with the June 2009 Secondary Offering, the “2009 Secondary Offerings”).</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u w:val="single" w:color="auto"/>
          <w:color w:val="auto"/>
        </w:rPr>
        <w:t>2010</w:t>
      </w:r>
      <w:r>
        <w:rPr>
          <w:rFonts w:ascii="Arial" w:cs="Arial" w:eastAsia="Arial" w:hAnsi="Arial"/>
          <w:sz w:val="18"/>
          <w:szCs w:val="18"/>
          <w:b w:val="1"/>
          <w:bCs w:val="1"/>
          <w:color w:val="auto"/>
        </w:rPr>
        <w:t xml:space="preserve"> – </w:t>
      </w:r>
      <w:r>
        <w:rPr>
          <w:rFonts w:ascii="Arial" w:cs="Arial" w:eastAsia="Arial" w:hAnsi="Arial"/>
          <w:sz w:val="18"/>
          <w:szCs w:val="18"/>
          <w:color w:val="auto"/>
        </w:rPr>
        <w:t>In March 2010, certain Selling Shareholders sold 7,869,311 shares of Class A common stock (including (i) 7,262 shares of Class A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“March 2010 Secondary Offering”).</w:t>
      </w:r>
    </w:p>
    <w:p>
      <w:pPr>
        <w:spacing w:after="0" w:line="13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August 2010, certain Selling Shareholders (the “August 2010 Selling Shareholders”) sold 7,397,837 shares of Class A common stock at a price of</w:t>
      </w:r>
    </w:p>
    <w:p>
      <w:pPr>
        <w:spacing w:after="0" w:line="3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$30.32 per share (the “August 2010 Secondary Offering”). Separately, in connection with the August 2010 Secondary Offering, Lazard Group agreed to purchase from the August 2010 Selling Shareholders 2,500,000 shares of Class A common stock for an aggregate cost of $75,800 ($30.32 per share), with such purchase being part of the share repurchase program in effect during 2010. In the aggregate, the August 2010 Selling Shareholders sold a total of 9,897,837 shares of Class A common stock (including 7,194,144 shares of Class A common stock previously received upon the exchange of a like number of LAZ-MD Holdings exchangeable interests and 2,703,693 shares of Class A common stock received upon a simultaneous exchange of a like number of LAZ-MD Holdings exchangeable interests).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In November 2010, certain Selling Shareholders (the “November 2010 Selling Shareholders”) sold 3,000,000 shares of Class A common stock at a price of $35.77 per share (the “November 2010 Secondary Offering”, and together with the March 2010 Secondary Offering and the August 2010 Secondary Offering, the “2010 Secondary Offerings”). Separately, in connection with the November 2010 Secondary Offering, Lazard Group agreed to purchase from the November 2010 Selling Shareholders 1,220,714 shares of Class A common stock for an aggregate cost of $43,665 ($35.77 per share), with such purchase being part of the share repurchase program in effect during 2010. In the aggregate, the November 2010 Selling Shareholders sold a total of 4,220,714 shares of Class A common stock (including 1,543,245 shares of Class A common stock previously received upon the exchange of a like number of LAZ-MD Holdings exchangeable interests and 2,677,469 shares of Class A common stock received upon a simultaneous exchange of a like number of LAZ-MD Holdings exchangeable interests).</w:t>
      </w:r>
    </w:p>
    <w:p>
      <w:pPr>
        <w:spacing w:after="0" w:line="9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Lazard Ltd did not receive any net proceeds from the sales of Class A common stock from the 2008 Secondary Offering, the 2009 Secondary Offerings and the 2010 Secondary Offerings (collectively, the “2008, 2009 and 2010 Secondary Offerings”).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years ended December 31, 2010, 2009 and 2008,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2010</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Tax distributions: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9,480</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$25,316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$39,205</w:t>
            </w: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52,135</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100" w:type="dxa"/>
            <w:vAlign w:val="bottom"/>
            <w:shd w:val="clear" w:color="auto" w:fill="CCEEFF"/>
          </w:tcPr>
          <w:p>
            <w:pPr>
              <w:spacing w:after="0"/>
              <w:rPr>
                <w:sz w:val="18"/>
                <w:szCs w:val="18"/>
                <w:color w:val="auto"/>
              </w:rPr>
            </w:pPr>
          </w:p>
        </w:tc>
      </w:tr>
      <w:tr>
        <w:trPr>
          <w:trHeight w:val="222"/>
        </w:trPr>
        <w:tc>
          <w:tcPr>
            <w:tcW w:w="8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61,615</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67,360</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83,358</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distributions: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ind w:left="440"/>
              <w:spacing w:after="0"/>
              <w:rPr>
                <w:sz w:val="20"/>
                <w:szCs w:val="20"/>
                <w:color w:val="auto"/>
              </w:rPr>
            </w:pPr>
            <w:r>
              <w:rPr>
                <w:rFonts w:ascii="Arial" w:cs="Arial" w:eastAsia="Arial" w:hAnsi="Arial"/>
                <w:sz w:val="18"/>
                <w:szCs w:val="18"/>
                <w:color w:val="auto"/>
              </w:rPr>
              <w:t>LAZ-MD Holdings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9,804</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$17,403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$20,694</w:t>
            </w: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Subsidiaries of Lazard Ltd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50,581</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100" w:type="dxa"/>
            <w:vAlign w:val="bottom"/>
            <w:shd w:val="clear" w:color="auto" w:fill="CCEEFF"/>
          </w:tcPr>
          <w:p>
            <w:pPr>
              <w:spacing w:after="0"/>
              <w:rPr>
                <w:sz w:val="18"/>
                <w:szCs w:val="18"/>
                <w:color w:val="auto"/>
              </w:rPr>
            </w:pPr>
          </w:p>
        </w:tc>
      </w:tr>
      <w:tr>
        <w:trPr>
          <w:trHeight w:val="222"/>
        </w:trPr>
        <w:tc>
          <w:tcPr>
            <w:tcW w:w="8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60,385</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50,854</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43,750</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7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—In addition to the simultaneous exchanges that occurred in connection with the 2008,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2010 Secondary Offerings, during the years ended 2008, 2009 and 2010, Lazard Ltd issued 2,910,657, 7,523,236 and 12,081,618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On January 27, 2010, the Board of Directors of Lazard Ltd authorized, on a cumulative basis, the repurchase of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$200,000 in aggregate cost of its Class A common stock and Lazard Group common membership interests through December 31, 2011. The Company expects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that the share repurchase program, with respect to the Class A common stock, will continue to be used primarily to offset a portion of the shares that have been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will be issued under the 2005 Plan and the Lazard Ltd 2008 Incentive Compensation Plan (the “2008 Plan”). The Company’s prior share repurchase program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expired on December 31, 2009, with $62,542 of the initial $500,000 repurchase authorization unused. Pursuant to such authorizations, purchases have been made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the open market or through privately negotiated transactions, and since inception of the program in February 2006 through December 31, 2010, purchases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Lazard Group with respect to such program consisted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8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8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8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84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84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84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8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Purchases of Class A common stock</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16,773,659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100" w:type="dxa"/>
            <w:vAlign w:val="bottom"/>
            <w:shd w:val="clear" w:color="auto" w:fill="CCEEFF"/>
          </w:tcPr>
          <w:p>
            <w:pPr>
              <w:spacing w:after="0"/>
              <w:rPr>
                <w:sz w:val="18"/>
                <w:szCs w:val="18"/>
                <w:color w:val="auto"/>
              </w:rPr>
            </w:pP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Purchases of Lazard Group common membership interests</w:t>
            </w:r>
          </w:p>
        </w:tc>
        <w:tc>
          <w:tcPr>
            <w:tcW w:w="1160" w:type="dxa"/>
            <w:vAlign w:val="bottom"/>
          </w:tcPr>
          <w:p>
            <w:pPr>
              <w:jc w:val="right"/>
              <w:spacing w:after="0"/>
              <w:rPr>
                <w:sz w:val="20"/>
                <w:szCs w:val="20"/>
                <w:color w:val="auto"/>
              </w:rPr>
            </w:pPr>
            <w:r>
              <w:rPr>
                <w:rFonts w:ascii="Arial" w:cs="Arial" w:eastAsia="Arial" w:hAnsi="Arial"/>
                <w:sz w:val="18"/>
                <w:szCs w:val="18"/>
                <w:color w:val="auto"/>
              </w:rPr>
              <w:t>1,381,057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a result of (i) Lazard Group’s delivery of shares of Class A common stock for the settlement of vested RSUs and deferred stock unit grants (“DSUs”) during the four year period ended December 31, 2010, (ii) the incentive plan share award of shares of restricted Class A common stock granted during the year ended December 31, 2010, and (iii) the issuance of shares of restricted Class A common stock in exchange for RSUs during the year ended December 31, 2010, there were 6,847,508 and 5,850,775 shares of Class A common stock held by Lazard Group at December 31, 2010 and 2009, respectively. Such Class A common shares are reported, at cost, as a reduction of members’ equity within the consolidated statements of financial condition.</w:t>
      </w:r>
    </w:p>
    <w:p>
      <w:pPr>
        <w:spacing w:after="0" w:line="10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of December 31, 2010, $42,771 of the $200,000 share repurchase authorization remained available under the share repurchase program. In addition, under the terms of the 2005 Plan and the 2008 Plan, upon the vesting of RSUs, shares of Class A common stock may be withheld by the Company to cover estimated income taxes. During the year ended December 31, 2010, the Company satisfied certain employees’ tax obligations in lieu of issuing 1,674,261 shares of Class A common stock upon the vesting of 8,248,654 RSUs (see Note 16 of Notes to Consolidated Financial Statements). In February 2011, the Board of Directors of Lazard Ltd authorized the repurchase of up to an additional $250,000 in aggregate cost of Lazard Ltd Class A common stock and Lazard Group common membership interests through December 31, 2012.</w:t>
      </w:r>
    </w:p>
    <w:p>
      <w:pPr>
        <w:spacing w:after="0" w:line="10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b w:val="1"/>
          <w:bCs w:val="1"/>
          <w:i w:val="1"/>
          <w:iCs w:val="1"/>
          <w:color w:val="auto"/>
        </w:rPr>
        <w:t>ESU Settlement</w:t>
      </w:r>
      <w:r>
        <w:rPr>
          <w:rFonts w:ascii="Arial" w:cs="Arial" w:eastAsia="Arial" w:hAnsi="Arial"/>
          <w:sz w:val="16"/>
          <w:szCs w:val="16"/>
          <w:color w:val="auto"/>
        </w:rPr>
        <w:t>—Concurrent with Lazard Ltd’s equity public offering on May 10, 2005, Lazard Ltd consummated an initial offering of equity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(the “ESUs”) in an aggregate offering amount of $287,500, and issued an additional $150,000 aggregate principal amount of ESUs in a private placement. Each ESU was issued for $25 and consisted of (i) a purchase contract (the “purchase contract”) which obligated holders to purchase, and Lazard Ltd to sell, on May 15, 2008, a number of newly issued shares of Class A common stock equal to a defined settlement rate and (ii) a 1/40, or 2.5%, ownership interest in a 6.12% senior note due 2035 of Lazard Group (the “6.12% Senior Notes”).</w:t>
      </w:r>
    </w:p>
    <w:p>
      <w:pPr>
        <w:spacing w:after="0" w:line="10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terms of the ESUs provided for a remarketing of the 6.12% Senior Notes, which commenced on May 2, 2008 (the “remarketing”). In connection with the remarketing, on May 15, 2008 (i) the stated maturity of the 6.12% Senior Notes was reset to May 15, 2010, (ii) the interest rate on the 6.12% Senior Notes was reset to 4.00% per annum and (iii) $437,488 aggregate principal amount of the 6.12% Senior Notes was purchased by Lazard Group. The $12 aggregate principal amount of the 6.12% Senior Notes remaining outstanding at December 31, 2009 was included in “other liabilities” on the consolidated statements of financial condition. Such amount was settled during the year ended December 31, 2010.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On May 15, 2008, Lazard Ltd settled the purchase contracts with respect to its then outstanding aggregate principal amount of ESUs at the settlement rate and, in connection therewith, Lazard Ltd issued 14,582,750 common membership interests. This resulted in an increase in members’ equity of $437,500.</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Accumulated Other Comprehensive Income (Loss), Net of Tax—</w:t>
      </w:r>
      <w:r>
        <w:rPr>
          <w:rFonts w:ascii="Arial" w:cs="Arial" w:eastAsia="Arial" w:hAnsi="Arial"/>
          <w:sz w:val="16"/>
          <w:szCs w:val="16"/>
          <w:color w:val="auto"/>
        </w:rPr>
        <w:t>The components of AOCI at December 31, 2010 and 2009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rate hedge</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(4,611)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Employee benefit plans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(56,595)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(76,079)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AOCI</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(34,772)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(58,593)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Lazard Group AOCI</w:t>
            </w: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(35,023)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(58,792)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 and (ii) various LAM-related GP interests.</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tables below summarize net income (loss) attributable to noncontrolling interests for the years ended December 31, 2010, 2009 and 2008 and noncontrolling interests as of December 31, 2010 and 2009 in the Company’s consolidated financial statements: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Net Income (Loss)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840" w:type="dxa"/>
            <w:vAlign w:val="bottom"/>
            <w:gridSpan w:val="10"/>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Interests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Edgewater</w:t>
            </w:r>
          </w:p>
        </w:tc>
        <w:tc>
          <w:tcPr>
            <w:tcW w:w="5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$6,690</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LAM GPs</w:t>
            </w:r>
          </w:p>
        </w:tc>
        <w:tc>
          <w:tcPr>
            <w:tcW w:w="5980" w:type="dxa"/>
            <w:vAlign w:val="bottom"/>
            <w:gridSpan w:val="3"/>
          </w:tcPr>
          <w:p>
            <w:pPr>
              <w:jc w:val="right"/>
              <w:ind w:right="80"/>
              <w:spacing w:after="0"/>
              <w:rPr>
                <w:sz w:val="20"/>
                <w:szCs w:val="20"/>
                <w:color w:val="auto"/>
              </w:rPr>
            </w:pPr>
            <w:r>
              <w:rPr>
                <w:rFonts w:ascii="Arial" w:cs="Arial" w:eastAsia="Arial" w:hAnsi="Arial"/>
                <w:sz w:val="18"/>
                <w:szCs w:val="18"/>
                <w:color w:val="auto"/>
              </w:rPr>
              <w:t>856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266</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(13,348)</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w:t>
            </w:r>
          </w:p>
        </w:tc>
        <w:tc>
          <w:tcPr>
            <w:tcW w:w="14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vMerge w:val="continue"/>
          </w:tcPr>
          <w:p>
            <w:pPr>
              <w:spacing w:after="0"/>
              <w:rPr>
                <w:sz w:val="19"/>
                <w:szCs w:val="19"/>
                <w:color w:val="auto"/>
              </w:rPr>
            </w:pPr>
          </w:p>
        </w:tc>
        <w:tc>
          <w:tcPr>
            <w:tcW w:w="54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6,880</w:t>
            </w: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2,832</w:t>
            </w:r>
          </w:p>
        </w:tc>
        <w:tc>
          <w:tcPr>
            <w:tcW w:w="4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(13,333)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86"/>
              </w:rPr>
              <w:t>Noncontrolling Interests</w:t>
            </w:r>
          </w:p>
        </w:tc>
        <w:tc>
          <w:tcPr>
            <w:tcW w:w="0" w:type="dxa"/>
            <w:vAlign w:val="bottom"/>
          </w:tcPr>
          <w:p>
            <w:pPr>
              <w:spacing w:after="0"/>
              <w:rPr>
                <w:sz w:val="1"/>
                <w:szCs w:val="1"/>
                <w:color w:val="auto"/>
              </w:rPr>
            </w:pPr>
          </w:p>
        </w:tc>
      </w:tr>
      <w:tr>
        <w:trPr>
          <w:trHeight w:val="161"/>
        </w:trPr>
        <w:tc>
          <w:tcPr>
            <w:tcW w:w="31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Edgewater</w:t>
            </w:r>
          </w:p>
        </w:tc>
        <w:tc>
          <w:tcPr>
            <w:tcW w:w="5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$ 111,289</w:t>
            </w:r>
          </w:p>
        </w:tc>
        <w:tc>
          <w:tcPr>
            <w:tcW w:w="4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7"/>
              </w:rPr>
              <w:t>$ 112,158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LAM GPs</w:t>
            </w:r>
          </w:p>
        </w:tc>
        <w:tc>
          <w:tcPr>
            <w:tcW w:w="5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8,219</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13,409</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4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5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$ 120,882</w:t>
            </w:r>
          </w:p>
        </w:tc>
        <w:tc>
          <w:tcPr>
            <w:tcW w:w="480" w:type="dxa"/>
            <w:vAlign w:val="bottom"/>
          </w:tcPr>
          <w:p>
            <w:pPr>
              <w:spacing w:after="0"/>
              <w:rPr>
                <w:sz w:val="19"/>
                <w:szCs w:val="19"/>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$ 127,560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5400" w:type="dxa"/>
            <w:vAlign w:val="bottom"/>
            <w:vMerge w:val="restart"/>
          </w:tcPr>
          <w:p>
            <w:pPr>
              <w:jc w:val="right"/>
              <w:ind w:right="2652"/>
              <w:spacing w:after="0"/>
              <w:rPr>
                <w:sz w:val="20"/>
                <w:szCs w:val="20"/>
                <w:color w:val="auto"/>
              </w:rPr>
            </w:pPr>
            <w:r>
              <w:rPr>
                <w:rFonts w:ascii="Arial" w:cs="Arial" w:eastAsia="Arial" w:hAnsi="Arial"/>
                <w:sz w:val="18"/>
                <w:szCs w:val="18"/>
                <w:color w:val="auto"/>
              </w:rPr>
              <w:t>106</w:t>
            </w: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years ended December 31, 2010, 2009 and 2008,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Expense relating to RSUs was as follows within the Company’s consolidated statements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880" w:type="dxa"/>
            <w:vAlign w:val="bottom"/>
            <w:gridSpan w:val="6"/>
          </w:tcPr>
          <w:p>
            <w:pPr>
              <w:ind w:left="640"/>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116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9"/>
                <w:szCs w:val="19"/>
                <w:color w:val="auto"/>
              </w:rPr>
            </w:pPr>
          </w:p>
        </w:tc>
      </w:tr>
      <w:tr>
        <w:trPr>
          <w:trHeight w:val="210"/>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$ 256,214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$ 333,823</w:t>
            </w:r>
          </w:p>
        </w:tc>
        <w:tc>
          <w:tcPr>
            <w:tcW w:w="114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2"/>
              </w:rPr>
              <w:t>$ 234,602</w:t>
            </w: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24,239</w:t>
            </w:r>
          </w:p>
        </w:tc>
        <w:tc>
          <w:tcPr>
            <w:tcW w:w="300" w:type="dxa"/>
            <w:vAlign w:val="bottom"/>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$ 303,094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$ 358,062</w:t>
            </w:r>
          </w:p>
        </w:tc>
        <w:tc>
          <w:tcPr>
            <w:tcW w:w="114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2"/>
              </w:rPr>
              <w:t>$ 234,602</w:t>
            </w:r>
          </w:p>
        </w:tc>
      </w:tr>
      <w:tr>
        <w:trPr>
          <w:trHeight w:val="20"/>
        </w:trPr>
        <w:tc>
          <w:tcPr>
            <w:tcW w:w="1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right="40" w:hanging="452"/>
        <w:spacing w:after="0" w:line="25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during the year ended December 31, 2010, $24,860 relating to the amendment of the Company’s retirement policy (described below) and, during the year ended December 31, 2009, $86,514 of accelerated amortization expense relating to awards held by Lazard’s former Chairman and Chief Executive Officer as a result of his death.</w:t>
      </w:r>
    </w:p>
    <w:p>
      <w:pPr>
        <w:spacing w:after="0" w:line="12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years ended December 31, 2010, 2009 and 2008, dividend participation rights required the issuance of 318,025, 331,642 and 208,596 RSUs, respectively.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Non-executive members of the Board of Directors of Lazard Group (who are also the same Non-Executive Directors of Lazard Ltd) receive approximately 55% of their annual compensation for service on the Board of Directors and its committees in the form of DSUs which resulted in 31,588, 36,627 and 28,090 DSUs granted during the years ended December 31, 2010, 2009 and 2008,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years ended December 31, 2010, 2009 and 2008. DSU awards are expensed at their fair value on their date of grant, which, inclusive of amounts related to the Directors’ Fee Deferral Unit Plan, totaled $615, $658 and $666 during the years ended December 31, 2010, 2009 and 2008, respectively.</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years ended December 31, 2010, 2009 and 2008, 7,438, 8,899 and 7,694 DSUs, respectively, had been granted pursuant to such Plan.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three-year period ended December 31, 2010:</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89"/>
              </w:rPr>
              <w:t>Grant Date</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9,507,935</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35,310</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8"/>
              </w:rPr>
              <w:t>43.16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1"/>
              </w:rPr>
              <w:t>Granted (including 208,596 RSUs relating to dividend participation)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14,032,621</w:t>
            </w:r>
          </w:p>
        </w:tc>
        <w:tc>
          <w:tcPr>
            <w:tcW w:w="30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35,784</w:t>
            </w:r>
          </w:p>
        </w:tc>
        <w:tc>
          <w:tcPr>
            <w:tcW w:w="3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94"/>
              <w:spacing w:after="0"/>
              <w:rPr>
                <w:sz w:val="20"/>
                <w:szCs w:val="20"/>
                <w:color w:val="auto"/>
              </w:rPr>
            </w:pPr>
            <w:r>
              <w:rPr>
                <w:rFonts w:ascii="Arial" w:cs="Arial" w:eastAsia="Arial" w:hAnsi="Arial"/>
                <w:sz w:val="18"/>
                <w:szCs w:val="18"/>
                <w:color w:val="auto"/>
                <w:w w:val="88"/>
              </w:rPr>
              <w:t>37.19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(635,753)</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Vested/Converted</w:t>
            </w:r>
          </w:p>
        </w:tc>
        <w:tc>
          <w:tcPr>
            <w:tcW w:w="1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(763,335)</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37.90</w:t>
            </w:r>
          </w:p>
        </w:tc>
        <w:tc>
          <w:tcPr>
            <w:tcW w:w="1420" w:type="dxa"/>
            <w:vAlign w:val="bottom"/>
            <w:gridSpan w:val="3"/>
          </w:tcPr>
          <w:p>
            <w:pPr>
              <w:jc w:val="right"/>
              <w:ind w:right="252"/>
              <w:spacing w:after="0"/>
              <w:rPr>
                <w:sz w:val="20"/>
                <w:szCs w:val="20"/>
                <w:color w:val="auto"/>
              </w:rPr>
            </w:pPr>
            <w:r>
              <w:rPr>
                <w:rFonts w:ascii="Arial" w:cs="Arial" w:eastAsia="Arial" w:hAnsi="Arial"/>
                <w:sz w:val="18"/>
                <w:szCs w:val="18"/>
                <w:color w:val="auto"/>
              </w:rPr>
              <w:t>(5,838)</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94"/>
              <w:spacing w:after="0"/>
              <w:rPr>
                <w:sz w:val="20"/>
                <w:szCs w:val="20"/>
                <w:color w:val="auto"/>
              </w:rPr>
            </w:pPr>
            <w:r>
              <w:rPr>
                <w:rFonts w:ascii="Arial" w:cs="Arial" w:eastAsia="Arial" w:hAnsi="Arial"/>
                <w:sz w:val="18"/>
                <w:szCs w:val="18"/>
                <w:color w:val="auto"/>
                <w:w w:val="88"/>
              </w:rPr>
              <w:t>38.28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1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22,141,468</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8"/>
              </w:rPr>
              <w:t>40.32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1"/>
              </w:rPr>
              <w:t>Granted (including 331,642 RSUs relating to dividend participation)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8,006,287</w:t>
            </w:r>
          </w:p>
        </w:tc>
        <w:tc>
          <w:tcPr>
            <w:tcW w:w="30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45,526</w:t>
            </w:r>
          </w:p>
        </w:tc>
        <w:tc>
          <w:tcPr>
            <w:tcW w:w="3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94"/>
              <w:spacing w:after="0"/>
              <w:rPr>
                <w:sz w:val="20"/>
                <w:szCs w:val="20"/>
                <w:color w:val="auto"/>
              </w:rPr>
            </w:pPr>
            <w:r>
              <w:rPr>
                <w:rFonts w:ascii="Arial" w:cs="Arial" w:eastAsia="Arial" w:hAnsi="Arial"/>
                <w:sz w:val="18"/>
                <w:szCs w:val="18"/>
                <w:color w:val="auto"/>
                <w:w w:val="88"/>
              </w:rPr>
              <w:t>28.92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(831,022)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Vested/Converted</w:t>
            </w:r>
          </w:p>
        </w:tc>
        <w:tc>
          <w:tcPr>
            <w:tcW w:w="1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(5,948,920)</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37.64</w:t>
            </w:r>
          </w:p>
        </w:tc>
        <w:tc>
          <w:tcPr>
            <w:tcW w:w="1420" w:type="dxa"/>
            <w:vAlign w:val="bottom"/>
            <w:gridSpan w:val="3"/>
          </w:tcPr>
          <w:p>
            <w:pPr>
              <w:jc w:val="right"/>
              <w:ind w:right="252"/>
              <w:spacing w:after="0"/>
              <w:rPr>
                <w:sz w:val="20"/>
                <w:szCs w:val="20"/>
                <w:color w:val="auto"/>
              </w:rPr>
            </w:pPr>
            <w:r>
              <w:rPr>
                <w:rFonts w:ascii="Arial" w:cs="Arial" w:eastAsia="Arial" w:hAnsi="Arial"/>
                <w:sz w:val="18"/>
                <w:szCs w:val="18"/>
                <w:color w:val="auto"/>
              </w:rPr>
              <w:t>(7,636)</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94"/>
              <w:spacing w:after="0"/>
              <w:rPr>
                <w:sz w:val="20"/>
                <w:szCs w:val="20"/>
                <w:color w:val="auto"/>
              </w:rPr>
            </w:pPr>
            <w:r>
              <w:rPr>
                <w:rFonts w:ascii="Arial" w:cs="Arial" w:eastAsia="Arial" w:hAnsi="Arial"/>
                <w:sz w:val="18"/>
                <w:szCs w:val="18"/>
                <w:color w:val="auto"/>
                <w:w w:val="88"/>
              </w:rPr>
              <w:t>34.05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1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23,367,813</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103,146</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8"/>
              </w:rPr>
              <w:t>35.75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1"/>
              </w:rPr>
              <w:t>Granted (including 318,025 RSUs relating to dividend participation)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7,890,127</w:t>
            </w:r>
          </w:p>
        </w:tc>
        <w:tc>
          <w:tcPr>
            <w:tcW w:w="30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39,026</w:t>
            </w:r>
          </w:p>
        </w:tc>
        <w:tc>
          <w:tcPr>
            <w:tcW w:w="3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94"/>
              <w:spacing w:after="0"/>
              <w:rPr>
                <w:sz w:val="20"/>
                <w:szCs w:val="20"/>
                <w:color w:val="auto"/>
              </w:rPr>
            </w:pPr>
            <w:r>
              <w:rPr>
                <w:rFonts w:ascii="Arial" w:cs="Arial" w:eastAsia="Arial" w:hAnsi="Arial"/>
                <w:sz w:val="18"/>
                <w:szCs w:val="18"/>
                <w:color w:val="auto"/>
                <w:w w:val="88"/>
              </w:rPr>
              <w:t>31.51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(859,756)</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Vested/Converted/Exchanged</w:t>
            </w:r>
          </w:p>
        </w:tc>
        <w:tc>
          <w:tcPr>
            <w:tcW w:w="1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(8,289,549)</w:t>
            </w:r>
          </w:p>
        </w:tc>
        <w:tc>
          <w:tcPr>
            <w:tcW w:w="300" w:type="dxa"/>
            <w:vAlign w:val="bottom"/>
          </w:tcPr>
          <w:p>
            <w:pPr>
              <w:spacing w:after="0"/>
              <w:rPr>
                <w:sz w:val="19"/>
                <w:szCs w:val="19"/>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39.42</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(20,435)</w:t>
            </w:r>
          </w:p>
        </w:tc>
        <w:tc>
          <w:tcPr>
            <w:tcW w:w="38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94"/>
              <w:spacing w:after="0"/>
              <w:rPr>
                <w:sz w:val="20"/>
                <w:szCs w:val="20"/>
                <w:color w:val="auto"/>
              </w:rPr>
            </w:pPr>
            <w:r>
              <w:rPr>
                <w:rFonts w:ascii="Arial" w:cs="Arial" w:eastAsia="Arial" w:hAnsi="Arial"/>
                <w:sz w:val="18"/>
                <w:szCs w:val="18"/>
                <w:color w:val="auto"/>
                <w:w w:val="88"/>
              </w:rPr>
              <w:t>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22,108,635</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121,737</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8"/>
              </w:rPr>
              <w:t>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60" w:type="dxa"/>
            <w:vAlign w:val="bottom"/>
            <w:vMerge w:val="restart"/>
          </w:tcPr>
          <w:p>
            <w:pPr>
              <w:jc w:val="right"/>
              <w:ind w:right="812"/>
              <w:spacing w:after="0"/>
              <w:rPr>
                <w:sz w:val="20"/>
                <w:szCs w:val="20"/>
                <w:color w:val="auto"/>
              </w:rPr>
            </w:pPr>
            <w:r>
              <w:rPr>
                <w:rFonts w:ascii="Arial" w:cs="Arial" w:eastAsia="Arial" w:hAnsi="Arial"/>
                <w:sz w:val="18"/>
                <w:szCs w:val="18"/>
                <w:color w:val="auto"/>
              </w:rPr>
              <w:t>108</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years ended December 31, 2010, 2009 and 2008, 8,248,654 RSUs, 5,948,920 RSUs (including the acceleration of 4,406,440 RSUs held by Lazard’s former Chairman and Chief Executive Officer as a result of his death) and 763,335 RSUs vested, respectively, and during the year ended December 31, 2010, 40,895 RSUs were exchanged for 40,895 shares of restricted Class A common stock. In connection with such vested RSUs, the Company satisfied certain employees’ tax obligations in lieu of issuing 1,674,261, 446,172 and 124,319 shares of Class A common stock in the years ended December 31, 2010, 2009 and 2008, respectively. Accordingly, 6,574,393, 5,502,748 and 639,016 shares of Class A common stock held by Lazard Group were delivered during the years ended December 31, 2010, 2009 and 2008, respectively.</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2010, unrecognized RSU compensation expense, adjusted for estimated forfeitures, was approximately $242,000, with such unrecognized compensation expense expected to be recognized over a weighted average period of approximately 1.4 years subsequent to December 31, 2010.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the year ended December 31, 2010, 54,437 shares of restricted Class A common stock were awarded under the 2008 Plan at a grant date fair value of $38.78 per share. Such award will vest and will no longer be subject to any restrictions on August 31, 2012. The aggregate grant date fair value of the award is being amortized over the vesting period.</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the year ended December 31, 2010, 40,895 shares of restricted Class A common stock were issued in exchange for 40,895 RSUs previously granted during the year at a grant date fair value of $36.10 per share. The vesting terms of such restricted Class A common stock issued are the same as that of the original award exchanged. There was no incremental compensation cost incurred as a result of the exchange.</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Expense relating to restricted stock awards is charged to “compensation and benefits” expense within the Company’s consolidated statements of operations, and amounted to $979 for the year ended December 31, 2010. The awards include a cash dividend participation right equivalent to any ordinary quarterly dividends paid on Class A common stock during the period, which will vest concurrently with the underlying restricted stock award. At December 31, 2010, unrecognized restricted stock expense was approximately $2,200, with such expense to be recognized over a weighted average period of approximately 1.7 years subsequent to December 31, 2010.</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Incentive Awards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portion of the incentive awards granted in February 2009 included a deferred cash component, which was originally scheduled to vest over a maximum period of four years. During the fourth quarter of 2009, in connection with a review of the Company’s compensation policy, the Company accelerated the vesting of the then unamortized portion of such previously awarded deferred cash incentive awards which resulted in a pre-tax charge to “compensation and benefits” expense of $60,512.</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Awards Granted In February 2011</w:t>
      </w:r>
    </w:p>
    <w:p>
      <w:pPr>
        <w:spacing w:after="0" w:line="77"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In February 2011, the Company granted to eligible employees (i) approximately 5,775,000 RSUs, that, in accordance with U.S. GAAP, were measured at the grant date fair value of $45.26 per RSU, or an aggregate of approximately $261,000, and (ii) actual or notional interests in several Lazard investment funds (“Lazard Fund Interests”) which had an aggregate fair value on the date of grant of approximately $26,000, with such aggregate fair values excluding potential forfeitures.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RSUs and Lazard Fund Interests granted each provide for one-third vesting on March 1, 2013 and the remaining two-thirds vesting on March 3, 2014. Compensation expense with respect such incentive awards will be recognized over the vesting period (and, with respect to the Lazard Fund Interests, with an offset recorded as an incentive compensation liability, the ultimate value of which will vary based on the then vested value of the underlying Lazard Fund Interests), with such compensation expense to be recognized over a weighted average period of 2.7 years with respect to both the RSUs and Lazard Fund Interests.</w:t>
      </w:r>
    </w:p>
    <w:p>
      <w:pPr>
        <w:spacing w:after="0" w:line="12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January 31, 2005, the Company’s U.S. defined benefit pension plans were amended to cease future benefit accruals and future participation. As a result of such amendment, active participants continue to receive credit for service completed after January 31, 2005 for purposes of vesting; however, future service is not taken into consideration for purposes of future benefit accruals under these plans. Vested benefits for active participants as of January 31, 2005 have been retained.</w:t>
      </w:r>
    </w:p>
    <w:p>
      <w:pPr>
        <w:spacing w:after="0" w:line="13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Effective March 31, 2006, certain of the Company’s non-U.S. pension plans were amended to cease future accruals. As a result of such amendment, future service and compensation increases will not be taken into account for purposes of future benefit accruals under these plans. Vested benefits for active participants as of March 31, 2006 were retained.</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Company also offers a partially funded contributory post-retirement medical plan covering qualifying U.S. employees (the “Medical Plan”). The Medical Plan pays a stated percentage of most necessary medical expenses incurred by retirees, after subtracting payments by Medicare or other providers and after stated deductibles have been met. Participants become eligible for benefits if they retire from the Company after meeting certain age and service requirements. Effective January 1, 2005, post-retirement health care benefits are no longer offered to those managing directors and employees hired on or after January 1, 2005 and for those managing directors and employees hired before January 1, 2005 who did not attain the age of 40 before December 31, 2005. In addition, effective January 1, 2006, the cost sharing policy changed for those who qualify for the benefit. The plan was amended effective January 1, 2008, such that previously ineligible managing directors and employees who meet the Medical Plan’s age and service requirements have the ability, upon retirement, to elect to purchase medical coverage through the Medical Plan at no cost to the Company. The Company will continue to contribute towards the cost of retiree medical premiums for those employees hired before January 1, 2005 who were age 55 or older on or before December 31, 2005.</w:t>
      </w:r>
    </w:p>
    <w:p>
      <w:pPr>
        <w:spacing w:after="0" w:line="10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For the U.S. pension plans, there were no minimum required cash contributions and no voluntary cash contributions for the year ended December 31, 2010.</w:t>
      </w:r>
    </w:p>
    <w:p>
      <w:pPr>
        <w:spacing w:after="0" w:line="9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accordance with agreements reached with the Trustees of certain non-U.S. pension plans in 2005, the Company is obligated to make further contributions to such pension plans based upon the cumulative performance of the plans’ assets against specific benchmarks as measured on June 1, 2009 (the “measurement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date”) and subsequently remeasured on June 1, 2010 (the “remeasurement date”).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9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addition, on June 30, 2009 the Company and Trustees concluded the December 31, 2007 triennial valuation of the non-U.S. pension plans discussed above, pursuant to which: (i) the Company agreed to contribute, in addition to amounts to cover administrative expenses under the plans, 2.3 million British pounds ($3,570 at December 31, 2010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 12.5 million British pounds, with a final redemption date of December 31, 2018. This amount is subject to adjustment based on the results of the December 31, 2010 triennial valuation and subsequent triennial valuations. The aggregate escrow balance has been recorded in “cash deposited with clearing organizations and other segregated cash” and “investments” respectively, on the accompanying consolidated statements of financial condition. Income on the escrow balance accretes to the Company and is recorded in interest income.</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year ended December 31, 2010, contributions were made to other non-U.S. pension plans amounting to approximately $4,600. The Company is expected to contribute the same amount in the year ending December 31, 2011.</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The following table summarizes the changes in the benefit obligations, the fair value of the assets, the funded status and amounts recognized in the consolidated statements of financial condition for the U.S. defined benefit pension plan and post-retirement Medical Plan and plans outside the U.S. The Company uses December 31 as the measurement date for its employee benefit plans.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Post-Retirement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0"/>
              </w:rPr>
              <w:t>Plans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525,458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367,789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5,358</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Amendments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Actuarial (gain) loss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2"/>
              </w:rPr>
              <w:t>(21,826)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(22,201)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Foreign currency translation and other adjustments</w:t>
            </w:r>
          </w:p>
        </w:tc>
        <w:tc>
          <w:tcPr>
            <w:tcW w:w="100" w:type="dxa"/>
            <w:vAlign w:val="bottom"/>
          </w:tcPr>
          <w:p>
            <w:pPr>
              <w:spacing w:after="0"/>
              <w:rPr>
                <w:sz w:val="19"/>
                <w:szCs w:val="19"/>
                <w:color w:val="auto"/>
              </w:rPr>
            </w:pPr>
          </w:p>
        </w:tc>
        <w:tc>
          <w:tcPr>
            <w:tcW w:w="900" w:type="dxa"/>
            <w:vAlign w:val="bottom"/>
            <w:gridSpan w:val="2"/>
          </w:tcPr>
          <w:p>
            <w:pPr>
              <w:jc w:val="right"/>
              <w:ind w:right="192"/>
              <w:spacing w:after="0"/>
              <w:rPr>
                <w:sz w:val="20"/>
                <w:szCs w:val="20"/>
                <w:color w:val="auto"/>
              </w:rPr>
            </w:pPr>
            <w:r>
              <w:rPr>
                <w:rFonts w:ascii="Arial" w:cs="Arial" w:eastAsia="Arial" w:hAnsi="Arial"/>
                <w:sz w:val="18"/>
                <w:szCs w:val="18"/>
                <w:color w:val="auto"/>
                <w:w w:val="92"/>
              </w:rPr>
              <w:t>(23,438)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105,723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519,779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525,458</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Change in plan assets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524,656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400,364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900" w:type="dxa"/>
            <w:vAlign w:val="bottom"/>
            <w:gridSpan w:val="2"/>
          </w:tcPr>
          <w:p>
            <w:pPr>
              <w:jc w:val="right"/>
              <w:ind w:right="192"/>
              <w:spacing w:after="0"/>
              <w:rPr>
                <w:sz w:val="20"/>
                <w:szCs w:val="20"/>
                <w:color w:val="auto"/>
              </w:rPr>
            </w:pPr>
            <w:r>
              <w:rPr>
                <w:rFonts w:ascii="Arial" w:cs="Arial" w:eastAsia="Arial" w:hAnsi="Arial"/>
                <w:sz w:val="18"/>
                <w:szCs w:val="18"/>
                <w:color w:val="auto"/>
                <w:w w:val="92"/>
              </w:rPr>
              <w:t>(21,826)</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(22,201)</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adjustments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2"/>
              </w:rPr>
              <w:t>(22,578)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Fair value of plan assets at end of year</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554,988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524,656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Funded surplus (deficit)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(5,799)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(5,358)</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w w:val="93"/>
              </w:rPr>
              <w:t>Amounts recognized in the consolidated statements of financial condition at December 31, 2010 and 2009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consist of:</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pension asset (included in “other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Accrued benefit liability (included in “other liabilities”)</w:t>
            </w:r>
          </w:p>
        </w:tc>
        <w:tc>
          <w:tcPr>
            <w:tcW w:w="100" w:type="dxa"/>
            <w:vAlign w:val="bottom"/>
          </w:tcPr>
          <w:p>
            <w:pPr>
              <w:spacing w:after="0"/>
              <w:rPr>
                <w:sz w:val="18"/>
                <w:szCs w:val="18"/>
                <w:color w:val="auto"/>
              </w:rPr>
            </w:pPr>
          </w:p>
        </w:tc>
        <w:tc>
          <w:tcPr>
            <w:tcW w:w="900" w:type="dxa"/>
            <w:vAlign w:val="bottom"/>
            <w:gridSpan w:val="2"/>
          </w:tcPr>
          <w:p>
            <w:pPr>
              <w:jc w:val="right"/>
              <w:ind w:right="192"/>
              <w:spacing w:after="0"/>
              <w:rPr>
                <w:sz w:val="20"/>
                <w:szCs w:val="20"/>
                <w:color w:val="auto"/>
              </w:rPr>
            </w:pPr>
            <w:r>
              <w:rPr>
                <w:rFonts w:ascii="Arial" w:cs="Arial" w:eastAsia="Arial" w:hAnsi="Arial"/>
                <w:sz w:val="18"/>
                <w:szCs w:val="18"/>
                <w:color w:val="auto"/>
                <w:w w:val="92"/>
              </w:rPr>
              <w:t>(26,363)</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(28,188)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(5,799)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(5,799)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(5,358)</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w w:val="95"/>
              </w:rPr>
              <w:t>Amounts recognized in AOCI (excluding tax benefits of $2,689 and $10,219 at December 31, 2010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2009, respectively) consist of:</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net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Prior service cost (credit)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the fair value of plan assets, the accumulated benefit obligation and the projected benefit obligation at December 31, 2010 and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U.S. Pension Plans</w:t>
            </w:r>
          </w:p>
        </w:tc>
        <w:tc>
          <w:tcPr>
            <w:tcW w:w="1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Non-U.S. Pension Plans</w:t>
            </w:r>
          </w:p>
        </w:tc>
        <w:tc>
          <w:tcPr>
            <w:tcW w:w="1080" w:type="dxa"/>
            <w:vAlign w:val="bottom"/>
            <w:gridSpan w:val="3"/>
          </w:tcPr>
          <w:p>
            <w:pPr>
              <w:jc w:val="center"/>
              <w:ind w:left="622"/>
              <w:spacing w:after="0"/>
              <w:rPr>
                <w:sz w:val="20"/>
                <w:szCs w:val="20"/>
                <w:color w:val="auto"/>
              </w:rPr>
            </w:pPr>
            <w:r>
              <w:rPr>
                <w:rFonts w:ascii="Arial" w:cs="Arial" w:eastAsia="Arial" w:hAnsi="Arial"/>
                <w:sz w:val="14"/>
                <w:szCs w:val="14"/>
                <w:b w:val="1"/>
                <w:bCs w:val="1"/>
                <w:color w:val="auto"/>
                <w:w w:val="89"/>
              </w:rPr>
              <w:t>Total</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9"/>
              </w:rPr>
              <w:t>As Of December 31,</w:t>
            </w:r>
          </w:p>
        </w:tc>
        <w:tc>
          <w:tcPr>
            <w:tcW w:w="1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As Of December 31,</w:t>
            </w:r>
          </w:p>
        </w:tc>
        <w:tc>
          <w:tcPr>
            <w:tcW w:w="1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As Of December 31,</w:t>
            </w:r>
          </w:p>
        </w:tc>
      </w:tr>
      <w:tr>
        <w:trPr>
          <w:trHeight w:val="142"/>
        </w:trPr>
        <w:tc>
          <w:tcPr>
            <w:tcW w:w="39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$23,471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$22,325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$531,517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$502,331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$524,656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800" w:type="dxa"/>
            <w:vAlign w:val="bottom"/>
            <w:gridSpan w:val="3"/>
          </w:tcPr>
          <w:p>
            <w:pPr>
              <w:jc w:val="right"/>
              <w:ind w:right="200"/>
              <w:spacing w:after="0"/>
              <w:rPr>
                <w:sz w:val="20"/>
                <w:szCs w:val="20"/>
                <w:color w:val="auto"/>
              </w:rPr>
            </w:pPr>
            <w:r>
              <w:rPr>
                <w:rFonts w:ascii="Arial" w:cs="Arial" w:eastAsia="Arial" w:hAnsi="Arial"/>
                <w:sz w:val="18"/>
                <w:szCs w:val="18"/>
                <w:color w:val="auto"/>
              </w:rPr>
              <w:t>$26,644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$26,263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$493,135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$499,195</w:t>
            </w:r>
          </w:p>
        </w:tc>
        <w:tc>
          <w:tcPr>
            <w:tcW w:w="780" w:type="dxa"/>
            <w:vAlign w:val="bottom"/>
          </w:tcPr>
          <w:p>
            <w:pPr>
              <w:jc w:val="right"/>
              <w:spacing w:after="0"/>
              <w:rPr>
                <w:sz w:val="20"/>
                <w:szCs w:val="20"/>
                <w:color w:val="auto"/>
              </w:rPr>
            </w:pPr>
            <w:r>
              <w:rPr>
                <w:rFonts w:ascii="Arial" w:cs="Arial" w:eastAsia="Arial" w:hAnsi="Arial"/>
                <w:sz w:val="18"/>
                <w:szCs w:val="18"/>
                <w:color w:val="auto"/>
              </w:rPr>
              <w:t>$519,779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$525,458</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$26,644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$26,263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$493,135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$499,195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$525,458</w:t>
            </w:r>
          </w:p>
        </w:tc>
      </w:tr>
      <w:tr>
        <w:trPr>
          <w:trHeight w:val="363"/>
        </w:trPr>
        <w:tc>
          <w:tcPr>
            <w:tcW w:w="3900" w:type="dxa"/>
            <w:vAlign w:val="bottom"/>
          </w:tcPr>
          <w:p>
            <w:pPr>
              <w:spacing w:after="0"/>
              <w:rPr>
                <w:sz w:val="24"/>
                <w:szCs w:val="24"/>
                <w:color w:val="auto"/>
              </w:rPr>
            </w:pPr>
          </w:p>
        </w:tc>
        <w:tc>
          <w:tcPr>
            <w:tcW w:w="2600" w:type="dxa"/>
            <w:vAlign w:val="bottom"/>
            <w:gridSpan w:val="2"/>
          </w:tcPr>
          <w:p>
            <w:pPr>
              <w:jc w:val="right"/>
              <w:ind w:right="592"/>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following table summarizes the components of benefit cost (credit), the return on plan assets, benefits paid, contributions and other amounts recognized in AOCI for the years ended December 31, 2010, 2009 and 2008:</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3"/>
              </w:rPr>
              <w:t>Pension Plans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8"/>
              </w:rPr>
              <w:t>Post-Retirement Medical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For The Years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8"/>
          </w:tcPr>
          <w:p>
            <w:pPr>
              <w:jc w:val="center"/>
              <w:ind w:left="277"/>
              <w:spacing w:after="0" w:line="149" w:lineRule="exact"/>
              <w:rPr>
                <w:sz w:val="20"/>
                <w:szCs w:val="20"/>
                <w:color w:val="auto"/>
              </w:rPr>
            </w:pPr>
            <w:r>
              <w:rPr>
                <w:rFonts w:ascii="Arial" w:cs="Arial" w:eastAsia="Arial" w:hAnsi="Arial"/>
                <w:sz w:val="14"/>
                <w:szCs w:val="14"/>
                <w:b w:val="1"/>
                <w:bCs w:val="1"/>
                <w:color w:val="auto"/>
                <w:w w:val="87"/>
              </w:rPr>
              <w:t>For The Years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72"/>
              <w:spacing w:after="0"/>
              <w:rPr>
                <w:sz w:val="20"/>
                <w:szCs w:val="20"/>
                <w:color w:val="auto"/>
              </w:rPr>
            </w:pPr>
            <w:r>
              <w:rPr>
                <w:rFonts w:ascii="Arial" w:cs="Arial" w:eastAsia="Arial" w:hAnsi="Arial"/>
                <w:sz w:val="18"/>
                <w:szCs w:val="18"/>
                <w:color w:val="auto"/>
              </w:rPr>
              <w:t>598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1,432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4"/>
              </w:rPr>
              <w:t>27,734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27,419</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28,987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(29,347)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(28,310)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(33,451)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Prior service cost (credit)</w:t>
            </w:r>
          </w:p>
        </w:tc>
        <w:tc>
          <w:tcPr>
            <w:tcW w:w="100" w:type="dxa"/>
            <w:vAlign w:val="bottom"/>
          </w:tcPr>
          <w:p>
            <w:pPr>
              <w:spacing w:after="0"/>
              <w:rPr>
                <w:sz w:val="18"/>
                <w:szCs w:val="18"/>
                <w:color w:val="auto"/>
              </w:rPr>
            </w:pPr>
          </w:p>
        </w:tc>
        <w:tc>
          <w:tcPr>
            <w:tcW w:w="680" w:type="dxa"/>
            <w:vAlign w:val="bottom"/>
            <w:gridSpan w:val="2"/>
          </w:tcPr>
          <w:p>
            <w:pPr>
              <w:jc w:val="right"/>
              <w:ind w:right="72"/>
              <w:spacing w:after="0"/>
              <w:rPr>
                <w:sz w:val="20"/>
                <w:szCs w:val="20"/>
                <w:color w:val="auto"/>
              </w:rPr>
            </w:pPr>
            <w:r>
              <w:rPr>
                <w:rFonts w:ascii="Arial" w:cs="Arial" w:eastAsia="Arial" w:hAnsi="Arial"/>
                <w:sz w:val="18"/>
                <w:szCs w:val="18"/>
                <w:color w:val="auto"/>
              </w:rPr>
              <w:t>2,835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72"/>
              <w:spacing w:after="0"/>
              <w:rPr>
                <w:sz w:val="20"/>
                <w:szCs w:val="20"/>
                <w:color w:val="auto"/>
              </w:rPr>
            </w:pPr>
            <w:r>
              <w:rPr>
                <w:rFonts w:ascii="Arial" w:cs="Arial" w:eastAsia="Arial" w:hAnsi="Arial"/>
                <w:sz w:val="18"/>
                <w:szCs w:val="18"/>
                <w:color w:val="auto"/>
              </w:rPr>
              <w:t>2,626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Settlements (curtailments)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Total benefit cost (credit)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72"/>
              <w:spacing w:after="0"/>
              <w:rPr>
                <w:sz w:val="20"/>
                <w:szCs w:val="20"/>
                <w:color w:val="auto"/>
              </w:rPr>
            </w:pPr>
            <w:r>
              <w:rPr>
                <w:rFonts w:ascii="Arial" w:cs="Arial" w:eastAsia="Arial" w:hAnsi="Arial"/>
                <w:sz w:val="18"/>
                <w:szCs w:val="18"/>
                <w:color w:val="auto"/>
              </w:rPr>
              <w:t>2,626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4,956</w:t>
            </w:r>
          </w:p>
        </w:tc>
        <w:tc>
          <w:tcPr>
            <w:tcW w:w="3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(3,047)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(974)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4"/>
              </w:rPr>
              <w:t>61,452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53,499</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(26,004)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72"/>
              <w:spacing w:after="0"/>
              <w:rPr>
                <w:sz w:val="20"/>
                <w:szCs w:val="20"/>
                <w:color w:val="auto"/>
              </w:rPr>
            </w:pPr>
            <w:r>
              <w:rPr>
                <w:rFonts w:ascii="Arial" w:cs="Arial" w:eastAsia="Arial" w:hAnsi="Arial"/>
                <w:sz w:val="18"/>
                <w:szCs w:val="18"/>
                <w:color w:val="auto"/>
                <w:w w:val="94"/>
              </w:rPr>
              <w:t>13,284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7,581</w:t>
            </w:r>
          </w:p>
        </w:tc>
        <w:tc>
          <w:tcPr>
            <w:tcW w:w="3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16,208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94"/>
              </w:rPr>
              <w:t>21,826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22,201</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18,705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316"/>
        </w:trPr>
        <w:tc>
          <w:tcPr>
            <w:tcW w:w="6160" w:type="dxa"/>
            <w:vAlign w:val="bottom"/>
            <w:gridSpan w:val="2"/>
          </w:tcPr>
          <w:p>
            <w:pPr>
              <w:spacing w:after="0"/>
              <w:rPr>
                <w:sz w:val="20"/>
                <w:szCs w:val="20"/>
                <w:color w:val="auto"/>
              </w:rPr>
            </w:pPr>
            <w:r>
              <w:rPr>
                <w:rFonts w:ascii="Arial" w:cs="Arial" w:eastAsia="Arial" w:hAnsi="Arial"/>
                <w:sz w:val="18"/>
                <w:szCs w:val="18"/>
                <w:color w:val="auto"/>
                <w:w w:val="92"/>
              </w:rPr>
              <w:t>Other changes in plan assets and benefit obligations recognized in AOCI (excluding</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w w:val="97"/>
              </w:rPr>
              <w:t>tax charge (benefit) of $7,530, $(13,415) and $2,840 during the years ended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December 31, 2010, 2009 and 2008, respectively):</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actuarial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6"/>
              </w:rPr>
              <w:t>(21,026)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22,122</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(1,407)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Prior service (credit)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(2,449)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prior service (cost) credit to earnings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(2,835)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Reclassification of actuarial loss to earnings</w:t>
            </w: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and other adjustments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(3,980)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28,516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(15,369)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Total recognized in AOCI</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w w:val="86"/>
              </w:rPr>
              <w:t>(28,647)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43,774</w:t>
            </w:r>
          </w:p>
        </w:tc>
        <w:tc>
          <w:tcPr>
            <w:tcW w:w="3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(18,273)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1,633</w:t>
            </w:r>
          </w:p>
        </w:tc>
        <w:tc>
          <w:tcPr>
            <w:tcW w:w="1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 in total periodic benefit cost and AOCI</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6"/>
              </w:rPr>
              <w:t>(26,021)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48,730</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amounts in AOCI on the consolidated statement of financial condition as of December 31, 2010 that are expected to be recognized as components of net periodic benefit cost (credit) for the year ending December 31, 2011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24"/>
              <w:spacing w:after="0"/>
              <w:rPr>
                <w:sz w:val="20"/>
                <w:szCs w:val="20"/>
                <w:color w:val="auto"/>
              </w:rPr>
            </w:pPr>
            <w:r>
              <w:rPr>
                <w:rFonts w:ascii="Arial" w:cs="Arial" w:eastAsia="Arial" w:hAnsi="Arial"/>
                <w:sz w:val="14"/>
                <w:szCs w:val="14"/>
                <w:b w:val="1"/>
                <w:bCs w:val="1"/>
                <w:color w:val="auto"/>
                <w:w w:val="85"/>
              </w:rPr>
              <w:t>Post-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4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4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Pension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Medical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4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Plans</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Plan</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5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2,862</w:t>
            </w:r>
          </w:p>
        </w:tc>
        <w:tc>
          <w:tcPr>
            <w:tcW w:w="100" w:type="dxa"/>
            <w:vAlign w:val="bottom"/>
            <w:shd w:val="clear" w:color="auto" w:fill="CCEEFF"/>
          </w:tcPr>
          <w:p>
            <w:pPr>
              <w:spacing w:after="0"/>
              <w:rPr>
                <w:sz w:val="18"/>
                <w:szCs w:val="18"/>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Net actuarial loss</w:t>
            </w:r>
          </w:p>
        </w:tc>
        <w:tc>
          <w:tcPr>
            <w:tcW w:w="5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r>
      <w:tr>
        <w:trPr>
          <w:trHeight w:val="356"/>
        </w:trPr>
        <w:tc>
          <w:tcPr>
            <w:tcW w:w="3400" w:type="dxa"/>
            <w:vAlign w:val="bottom"/>
          </w:tcPr>
          <w:p>
            <w:pPr>
              <w:spacing w:after="0"/>
              <w:rPr>
                <w:sz w:val="24"/>
                <w:szCs w:val="24"/>
                <w:color w:val="auto"/>
              </w:rPr>
            </w:pPr>
          </w:p>
        </w:tc>
        <w:tc>
          <w:tcPr>
            <w:tcW w:w="5220" w:type="dxa"/>
            <w:vAlign w:val="bottom"/>
          </w:tcPr>
          <w:p>
            <w:pPr>
              <w:jc w:val="right"/>
              <w:ind w:right="269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assumptions used to develop actuarial present value of the projected benefit obligation and net periodic pension cost as of or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2009 and 2008 are set forth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Post-Retirement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Pension Plans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Medical Plan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640" w:type="dxa"/>
            <w:vAlign w:val="bottom"/>
            <w:gridSpan w:val="2"/>
          </w:tcPr>
          <w:p>
            <w:pPr>
              <w:jc w:val="center"/>
              <w:ind w:left="162"/>
              <w:spacing w:after="0" w:line="142" w:lineRule="exact"/>
              <w:rPr>
                <w:sz w:val="20"/>
                <w:szCs w:val="20"/>
                <w:color w:val="auto"/>
              </w:rPr>
            </w:pPr>
            <w:r>
              <w:rPr>
                <w:rFonts w:ascii="Arial" w:cs="Arial" w:eastAsia="Arial" w:hAnsi="Arial"/>
                <w:sz w:val="14"/>
                <w:szCs w:val="14"/>
                <w:b w:val="1"/>
                <w:bCs w:val="1"/>
                <w:color w:val="auto"/>
                <w:w w:val="89"/>
              </w:rPr>
              <w:t>2009</w:t>
            </w:r>
          </w:p>
        </w:tc>
        <w:tc>
          <w:tcPr>
            <w:tcW w:w="4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gridSpan w:val="2"/>
          </w:tcPr>
          <w:p>
            <w:pPr>
              <w:jc w:val="center"/>
              <w:ind w:left="221"/>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benefit obligations:</w:t>
            </w: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5.7%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5.6%</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5.8%</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 to determine net periodic benefit cost: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5.5%</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5.6%</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5.8%</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6.5%</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long-term rate of return on plan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Healthcare cost trend rates used to determine net periodic benefit cost: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Initial</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w:t>
            </w: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Ultimate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6.0%</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6.0%</w:t>
            </w: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ultimate trend rate achieved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Generally, the Company determined the discount rates for its defined benefit plans by utilizing indices for long-term, high-quality bonds and ensuring that the discount rate does not exceed the yield reported for those indices after adjustment for the duration of the plans’ liabilities.</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selecting the expected long-term rate of return on plan assets, the Company considered the average rate of earnings expected on the funds invested or to be invested to provide for the benefits of the plan, giving consideration to expected returns on different asset classes held by the plans in light of prevailing economic conditions as well as historic returns. This basis is consistent for all years presented.</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assumed cost of healthcare has an effect on the amounts reported for the Company’s post-retirement plans. A 1% change in the assumed healthcare cost trend rate would increase (decrease) our cost and obligation as follows: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1% Increase</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1% Decrease</w:t>
            </w:r>
          </w:p>
        </w:tc>
      </w:tr>
      <w:tr>
        <w:trPr>
          <w:trHeight w:val="142"/>
        </w:trPr>
        <w:tc>
          <w:tcPr>
            <w:tcW w:w="37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2010</w:t>
            </w: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58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Obligation</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564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(891)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(490)</w:t>
            </w:r>
          </w:p>
        </w:tc>
      </w:tr>
    </w:tbl>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Expected Benefit Payments</w:t>
      </w:r>
      <w:r>
        <w:rPr>
          <w:rFonts w:ascii="Arial" w:cs="Arial" w:eastAsia="Arial" w:hAnsi="Arial"/>
          <w:sz w:val="18"/>
          <w:szCs w:val="18"/>
          <w:color w:val="auto"/>
        </w:rPr>
        <w:t>—The following table summarizes the expected benefit payments for the Company’s plans for each of the next five fiscal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the aggregate for the five fiscal years thereafter:</w:t>
      </w:r>
    </w:p>
    <w:p>
      <w:pPr>
        <w:spacing w:after="0" w:line="10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9"/>
              </w:rPr>
              <w:t>Pension</w:t>
            </w:r>
          </w:p>
        </w:tc>
        <w:tc>
          <w:tcPr>
            <w:tcW w:w="1820" w:type="dxa"/>
            <w:vAlign w:val="bottom"/>
            <w:gridSpan w:val="4"/>
          </w:tcPr>
          <w:p>
            <w:pPr>
              <w:ind w:left="780"/>
              <w:spacing w:after="0"/>
              <w:rPr>
                <w:sz w:val="20"/>
                <w:szCs w:val="20"/>
                <w:color w:val="auto"/>
              </w:rPr>
            </w:pPr>
            <w:r>
              <w:rPr>
                <w:rFonts w:ascii="Arial" w:cs="Arial" w:eastAsia="Arial" w:hAnsi="Arial"/>
                <w:sz w:val="14"/>
                <w:szCs w:val="14"/>
                <w:b w:val="1"/>
                <w:bCs w:val="1"/>
                <w:color w:val="auto"/>
                <w:w w:val="94"/>
              </w:rPr>
              <w:t>Post-Retirement</w:t>
            </w: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Plans</w:t>
            </w:r>
          </w:p>
        </w:tc>
        <w:tc>
          <w:tcPr>
            <w:tcW w:w="78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Medical Plan</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$ 22,380</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2012</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22,377</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24,268</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2014</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23,908</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28,630</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2016-2020</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152,425</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1,865</w:t>
            </w:r>
          </w:p>
        </w:tc>
        <w:tc>
          <w:tcPr>
            <w:tcW w:w="8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60" w:type="dxa"/>
            <w:vAlign w:val="bottom"/>
          </w:tcPr>
          <w:p>
            <w:pPr>
              <w:jc w:val="right"/>
              <w:ind w:right="2132"/>
              <w:spacing w:after="0"/>
              <w:rPr>
                <w:sz w:val="20"/>
                <w:szCs w:val="20"/>
                <w:color w:val="auto"/>
              </w:rPr>
            </w:pPr>
            <w:r>
              <w:rPr>
                <w:rFonts w:ascii="Arial" w:cs="Arial" w:eastAsia="Arial" w:hAnsi="Arial"/>
                <w:sz w:val="18"/>
                <w:szCs w:val="18"/>
                <w:color w:val="auto"/>
              </w:rPr>
              <w:t>114</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Plan Assets</w:t>
      </w:r>
      <w:r>
        <w:rPr>
          <w:rFonts w:ascii="Arial" w:cs="Arial" w:eastAsia="Arial" w:hAnsi="Arial"/>
          <w:sz w:val="18"/>
          <w:szCs w:val="18"/>
          <w:color w:val="auto"/>
        </w:rPr>
        <w:t>—The following table presents the categorization of our plans’ assets as of December 31, 2010, measured at fair value, into a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hierarchy in accordance with fair value measurement disclosure requirements: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As of December 31, 2010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8"/>
              </w:rPr>
              <w:t>Level 1</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8"/>
              </w:rPr>
              <w:t>Level 2</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0"/>
        </w:trPr>
        <w:tc>
          <w:tcPr>
            <w:tcW w:w="85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 Category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1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Cash</w:t>
            </w:r>
          </w:p>
        </w:tc>
        <w:tc>
          <w:tcPr>
            <w:tcW w:w="7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9,571</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9,571</w:t>
            </w:r>
          </w:p>
        </w:tc>
      </w:tr>
      <w:tr>
        <w:trPr>
          <w:trHeight w:val="216"/>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170,989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170,989</w:t>
            </w:r>
          </w:p>
        </w:tc>
      </w:tr>
      <w:tr>
        <w:trPr>
          <w:trHeight w:val="216"/>
        </w:trPr>
        <w:tc>
          <w:tcPr>
            <w:tcW w:w="8540" w:type="dxa"/>
            <w:vAlign w:val="bottom"/>
            <w:gridSpan w:val="2"/>
          </w:tcPr>
          <w:p>
            <w:pPr>
              <w:ind w:left="220"/>
              <w:spacing w:after="0"/>
              <w:rPr>
                <w:sz w:val="20"/>
                <w:szCs w:val="20"/>
                <w:color w:val="auto"/>
              </w:rPr>
            </w:pPr>
            <w:r>
              <w:rPr>
                <w:rFonts w:ascii="Arial" w:cs="Arial" w:eastAsia="Arial" w:hAnsi="Arial"/>
                <w:sz w:val="18"/>
                <w:szCs w:val="18"/>
                <w:color w:val="auto"/>
              </w:rPr>
              <w:t>Debt securities: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44,580</w:t>
            </w: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Non-U.S. Government and agency securities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40,515</w:t>
            </w:r>
          </w:p>
        </w:tc>
      </w:tr>
      <w:tr>
        <w:trPr>
          <w:trHeight w:val="216"/>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12,133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33,488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45,621</w:t>
            </w:r>
          </w:p>
        </w:tc>
      </w:tr>
      <w:tr>
        <w:trPr>
          <w:trHeight w:val="217"/>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229,551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240,885</w:t>
            </w:r>
          </w:p>
        </w:tc>
      </w:tr>
      <w:tr>
        <w:trPr>
          <w:trHeight w:val="223"/>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19"/>
                <w:szCs w:val="19"/>
                <w:color w:val="auto"/>
              </w:rPr>
            </w:pPr>
          </w:p>
        </w:tc>
      </w:tr>
      <w:tr>
        <w:trPr>
          <w:trHeight w:val="216"/>
        </w:trPr>
        <w:tc>
          <w:tcPr>
            <w:tcW w:w="8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289,122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265,866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554,988</w:t>
            </w:r>
          </w:p>
        </w:tc>
      </w:tr>
      <w:tr>
        <w:trPr>
          <w:trHeight w:val="20"/>
        </w:trPr>
        <w:tc>
          <w:tcPr>
            <w:tcW w:w="11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At December 31, 2010, the Company’s U.S. pension plans had 52% of the plans’ assets invested in exchange-traded mutual funds that invest in equity securities and 48% invested in an exchange-traded mutual fund that invests in debt securities, both of which are categorized as Level 1. The Company’s non-U.S. pension plans at December 31, 2010 had 43% of the plans’ assets invested in four debt mutual funds which are all categorized as Level 2. The Company’s other non-U.S. pension plans’ investment holdings did not individually constitute more than 10% of non-U.S. pension plan assets at December 31, 2010.</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Investment Policies and Strategies</w:t>
      </w:r>
      <w:r>
        <w:rPr>
          <w:rFonts w:ascii="Arial" w:cs="Arial" w:eastAsia="Arial" w:hAnsi="Arial"/>
          <w:sz w:val="16"/>
          <w:szCs w:val="16"/>
          <w:color w:val="auto"/>
        </w:rPr>
        <w:t>—The primary investment goal is to ensure that the plans remain well funded, taking account of the likely future risks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returns and contributions. As a result, a portfolio of assets is maintained with appropriate liquidity and diversification that can be expected to generate long-term future returns that minimize the long-term costs of the pension plan without exposing the trust to an unacceptable risk of under-funding. The Company’s likely future ability to pay such contributions as are required to maintain the funded status of the plans over a reasonable time period is considered when determining the level of risk that is appropriate. The fair values of plan investments classified as Level 1 assets are based on market quotes. The fair values of plan assets classified as Level 2 assets are primarily based on information provided by fund managers.</w:t>
      </w:r>
    </w:p>
    <w:p>
      <w:pPr>
        <w:spacing w:after="0" w:line="10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color w:val="auto"/>
        </w:rPr>
        <w:t>—Pursuant to certain matching contributions, the Company contributes to employer sponsored defined contribution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contributions amounted to $9,684, $8,409 and $10,316 for the years ended December 31, 2010, 2009 and 2008, respectively, which are included in “compensation and benefits” expense on the consolidated statements of operations.</w:t>
      </w:r>
    </w:p>
    <w:p>
      <w:pPr>
        <w:spacing w:after="0" w:line="127"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PLANS</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each of the first quarters of 2010 and 2009, the Company announced a restructuring plan which included certain staff reductions and realignments of personnel (the “2010 Restructuring Plan” and the “2009 Restructuring Plan”, respectively, and collectively the “2010 and 2009 Restructuring Plans”). In connection with the 2010 Restructuring Plan, the Company recorded a charge in the first quarter of 2010 of $87,108, inclusive of $46,880 relating to the acceleration of RSUs (in aggregate, the “2010 Restructuring Charge”), and, in connection with the 2009 Restructuring Plan, the Company recorded a charge in the first quarter of 2009 of $62,550, inclusive of $24,239 relating to the acceleration of RSUs (in aggregate, the “2009 Restructuring Charge”, and, together with the 2010 Restructuring Charge, the “2010 and 2009 Restructuring Charges”).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2010 and 2009 Restructuring Charges primarily consisted of compensation-related expenses, including the acceleration of unrecognized expenses pertaining to RSUs previously granted to individuals who were terminated pursuant to the restructuring, severance and benefit payments and other costs. As of December 31, 2010, the remaining liability associated with the 2010 Restructuring Plan was $21,381 and, as of December 31, 2010 and 2009, the remaining liability associated with the 2009 Restructuring Plan was $5,427 and $11,500, respectively. During the year ended December 31, 2010, other than cash payments of $18,847 and $6,073 for the 2010 Restructuring Plan and the 2009 Restructuring Plan, respectively, there were no adjustments to the amounts relating to the 2010 and 2009 Restructuring Plans. Liabilities relating to the 2010 and 2009 Restructuring Plans are reported within “accrued compensation and benefits” and “other liabilities” on the accompanying consolidated statements of financial condition.</w:t>
      </w:r>
    </w:p>
    <w:p>
      <w:pPr>
        <w:spacing w:after="0" w:line="105"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a portion of Lazard Group’s income is subject to U.S. federal income taxes, the principal difference between the U.S. federal statutory tax rate of 35.0% and Lazard Group’s effective tax rates is due to Lazard Group primarily operating in the U.S. as a limited liability company that is treated as a partnership for U.S. federal income tax purposes. As a result, Lazard Group’s income from its U.S. operations is generally not subject to U.S. federal income taxes, because taxes associated with such income represent obligations of the individual partners. Lazard Group, however,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the Company’s provision for income taxes for the years ended December 31, 2010, 2009 and 2008, and a reconciliation of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statutory income tax rate to the Company’s effective tax rates for such periods are shown below.</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Federal</w:t>
            </w:r>
          </w:p>
        </w:tc>
        <w:tc>
          <w:tcPr>
            <w:tcW w:w="2140" w:type="dxa"/>
            <w:vAlign w:val="bottom"/>
            <w:gridSpan w:val="3"/>
          </w:tcPr>
          <w:p>
            <w:pPr>
              <w:jc w:val="center"/>
              <w:ind w:left="1952"/>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3,631</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4,627</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3"/>
              </w:rPr>
              <w:t>26,006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34,587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37,085</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State and local (primarily UBT)</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9,640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6,664</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39,277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39,744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46,950</w:t>
            </w: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Deferred:</w:t>
            </w: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4"/>
              </w:rPr>
              <w:t>(3,871)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Foreign</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5,331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w w:val="94"/>
              </w:rPr>
              <w:t>(4,146)</w:t>
            </w:r>
          </w:p>
        </w:tc>
        <w:tc>
          <w:tcPr>
            <w:tcW w:w="8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(17,259)</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4"/>
              </w:rPr>
              <w:t>(8,017)</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(17,259)</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vMerge w:val="continue"/>
          </w:tcPr>
          <w:p>
            <w:pPr>
              <w:spacing w:after="0"/>
              <w:rPr>
                <w:sz w:val="19"/>
                <w:szCs w:val="19"/>
                <w:color w:val="auto"/>
              </w:rPr>
            </w:pPr>
          </w:p>
        </w:tc>
        <w:tc>
          <w:tcPr>
            <w:tcW w:w="2040" w:type="dxa"/>
            <w:vAlign w:val="bottom"/>
            <w:gridSpan w:val="2"/>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45,385</w:t>
            </w:r>
          </w:p>
        </w:tc>
        <w:tc>
          <w:tcPr>
            <w:tcW w:w="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31,727</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w w:val="98"/>
              </w:rPr>
              <w:t>29,691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2620" w:type="dxa"/>
            <w:vAlign w:val="bottom"/>
            <w:gridSpan w:val="5"/>
            <w:shd w:val="clear" w:color="auto" w:fill="CCEEFF"/>
          </w:tcPr>
          <w:p>
            <w:pPr>
              <w:jc w:val="right"/>
              <w:ind w:right="112"/>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Rate benefit for U.S. partnership operations</w:t>
            </w:r>
          </w:p>
        </w:tc>
        <w:tc>
          <w:tcPr>
            <w:tcW w:w="2620" w:type="dxa"/>
            <w:vAlign w:val="bottom"/>
            <w:gridSpan w:val="5"/>
          </w:tcPr>
          <w:p>
            <w:pPr>
              <w:jc w:val="right"/>
              <w:ind w:right="212"/>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1060" w:type="dxa"/>
            <w:vAlign w:val="bottom"/>
            <w:gridSpan w:val="5"/>
          </w:tcPr>
          <w:p>
            <w:pPr>
              <w:jc w:val="right"/>
              <w:ind w:right="160"/>
              <w:spacing w:after="0"/>
              <w:rPr>
                <w:sz w:val="20"/>
                <w:szCs w:val="20"/>
                <w:color w:val="auto"/>
              </w:rPr>
            </w:pPr>
            <w:r>
              <w:rPr>
                <w:rFonts w:ascii="Arial" w:cs="Arial" w:eastAsia="Arial" w:hAnsi="Arial"/>
                <w:sz w:val="18"/>
                <w:szCs w:val="18"/>
                <w:color w:val="auto"/>
              </w:rPr>
              <w:t>(35.0)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2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State and local taxes (primarily UBT)</w:t>
            </w:r>
          </w:p>
        </w:tc>
        <w:tc>
          <w:tcPr>
            <w:tcW w:w="2280" w:type="dxa"/>
            <w:vAlign w:val="bottom"/>
            <w:gridSpan w:val="4"/>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(0.3)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8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(0.4)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18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0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760" w:type="dxa"/>
            <w:vAlign w:val="bottom"/>
            <w:gridSpan w:val="4"/>
          </w:tcPr>
          <w:p>
            <w:pPr>
              <w:jc w:val="right"/>
              <w:ind w:right="112"/>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1560" w:type="dxa"/>
            <w:vAlign w:val="bottom"/>
            <w:gridSpan w:val="6"/>
          </w:tcPr>
          <w:p>
            <w:pPr>
              <w:jc w:val="right"/>
              <w:ind w:right="50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60" w:type="dxa"/>
            <w:vAlign w:val="bottom"/>
            <w:vMerge w:val="restart"/>
          </w:tcPr>
          <w:p>
            <w:pPr>
              <w:jc w:val="right"/>
              <w:ind w:right="972"/>
              <w:spacing w:after="0"/>
              <w:rPr>
                <w:sz w:val="20"/>
                <w:szCs w:val="20"/>
                <w:color w:val="auto"/>
              </w:rPr>
            </w:pPr>
            <w:r>
              <w:rPr>
                <w:rFonts w:ascii="Arial" w:cs="Arial" w:eastAsia="Arial" w:hAnsi="Arial"/>
                <w:sz w:val="18"/>
                <w:szCs w:val="18"/>
                <w:color w:val="auto"/>
              </w:rPr>
              <w:t>116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statements of financial condition. These temporary differences result in taxable or deductible amounts in future years. Details of the Company’s deferred tax assets and liabilities, which are included in “other assets” and “other liabilities”, respectively, on the consolidated statements of financial condition,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360" w:type="dxa"/>
            <w:vAlign w:val="bottom"/>
          </w:tcPr>
          <w:p>
            <w:pPr>
              <w:ind w:left="440"/>
              <w:spacing w:after="0"/>
              <w:rPr>
                <w:sz w:val="20"/>
                <w:szCs w:val="20"/>
                <w:color w:val="auto"/>
              </w:rPr>
            </w:pPr>
            <w:r>
              <w:rPr>
                <w:rFonts w:ascii="Arial" w:cs="Arial" w:eastAsia="Arial" w:hAnsi="Arial"/>
                <w:sz w:val="18"/>
                <w:szCs w:val="18"/>
                <w:color w:val="auto"/>
                <w:w w:val="94"/>
              </w:rPr>
              <w:t>Basis adjustments (primarily as a result of the reorganization related to the separation and recapitalization transactions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60" w:type="dxa"/>
            <w:vAlign w:val="bottom"/>
          </w:tcPr>
          <w:p>
            <w:pPr>
              <w:ind w:left="660"/>
              <w:spacing w:after="0"/>
              <w:rPr>
                <w:sz w:val="20"/>
                <w:szCs w:val="20"/>
                <w:color w:val="auto"/>
              </w:rPr>
            </w:pPr>
            <w:r>
              <w:rPr>
                <w:rFonts w:ascii="Arial" w:cs="Arial" w:eastAsia="Arial" w:hAnsi="Arial"/>
                <w:sz w:val="18"/>
                <w:szCs w:val="18"/>
                <w:color w:val="auto"/>
              </w:rPr>
              <w:t>that occurred during 2005 and from secondary offerings)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47,440</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52,460</w:t>
            </w:r>
          </w:p>
        </w:tc>
        <w:tc>
          <w:tcPr>
            <w:tcW w:w="0" w:type="dxa"/>
            <w:vAlign w:val="bottom"/>
          </w:tcPr>
          <w:p>
            <w:pPr>
              <w:spacing w:after="0"/>
              <w:rPr>
                <w:sz w:val="1"/>
                <w:szCs w:val="1"/>
                <w:color w:val="auto"/>
              </w:rPr>
            </w:pPr>
          </w:p>
        </w:tc>
      </w:tr>
      <w:tr>
        <w:trPr>
          <w:trHeight w:val="217"/>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71,548</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Net operating loss and tax credit carryforwards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39,419</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176,561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176,856</w:t>
            </w:r>
          </w:p>
        </w:tc>
        <w:tc>
          <w:tcPr>
            <w:tcW w:w="0" w:type="dxa"/>
            <w:vAlign w:val="bottom"/>
          </w:tcPr>
          <w:p>
            <w:pPr>
              <w:spacing w:after="0"/>
              <w:rPr>
                <w:sz w:val="1"/>
                <w:szCs w:val="1"/>
                <w:color w:val="auto"/>
              </w:rPr>
            </w:pPr>
          </w:p>
        </w:tc>
      </w:tr>
      <w:tr>
        <w:trPr>
          <w:trHeight w:val="223"/>
        </w:trPr>
        <w:tc>
          <w:tcPr>
            <w:tcW w:w="93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(91,881)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(110,127)</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 (net of valuation allowance)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16,469</w:t>
            </w: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18,577</w:t>
            </w:r>
          </w:p>
        </w:tc>
        <w:tc>
          <w:tcPr>
            <w:tcW w:w="0" w:type="dxa"/>
            <w:vAlign w:val="bottom"/>
          </w:tcPr>
          <w:p>
            <w:pPr>
              <w:spacing w:after="0"/>
              <w:rPr>
                <w:sz w:val="1"/>
                <w:szCs w:val="1"/>
                <w:color w:val="auto"/>
              </w:rPr>
            </w:pPr>
          </w:p>
        </w:tc>
      </w:tr>
      <w:tr>
        <w:trPr>
          <w:trHeight w:val="216"/>
        </w:trPr>
        <w:tc>
          <w:tcPr>
            <w:tcW w:w="9360" w:type="dxa"/>
            <w:vAlign w:val="bottom"/>
          </w:tcPr>
          <w:p>
            <w:pPr>
              <w:ind w:left="44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tcPr>
          <w:p>
            <w:pPr>
              <w:ind w:left="44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61,372</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31,407</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Company’s net operating loss and tax credit carryforwards at December 31, 2010 and 2009 primarily relate to carryforwards in (i) the U.K., which may be carried forward indefinitely, subject to various limitations, and (ii) Italy and the U.S., which begin expiring in 2011.</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With few exceptions, the Company is no longer subject to income tax examination by foreign tax authorities and by U.S. federal, state and local tax authorities for years prior to 2006. While we are under examination in various tax jurisdictions with respect to certain open years, the Company believes that the result of any final determination related to these examinations is not expected to have a material impact on its financial statements. Developments with respect to such examinations are monitored on an ongoing basis and adjustments to tax liabilities are made as appropriate.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reconciliation of the beginning to the ending amount of gross unrecognized tax benefits (excluding interest and penalties) for the years ended December 31, 2010, 2009 and 2008 is as follows: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w w:val="91"/>
              </w:rPr>
              <w:t>Balance, January 1 (excluding interest and penalties of $7,059, $5,408 and $5,195, respectively)</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$ 42,069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$31,256</w:t>
            </w:r>
          </w:p>
        </w:tc>
        <w:tc>
          <w:tcPr>
            <w:tcW w:w="4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$23,368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Increases in gross unrecognized tax benefits relating to tax positions taken during:</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Prior years</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Current year</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10,273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13,157</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Decreases in gross unrecognized tax benefits relating to:</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Tax positions taken during prior years</w:t>
            </w:r>
          </w:p>
        </w:tc>
        <w:tc>
          <w:tcPr>
            <w:tcW w:w="1180" w:type="dxa"/>
            <w:vAlign w:val="bottom"/>
            <w:gridSpan w:val="5"/>
          </w:tcPr>
          <w:p>
            <w:pPr>
              <w:jc w:val="right"/>
              <w:ind w:right="160"/>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with tax authorities</w:t>
            </w:r>
          </w:p>
        </w:tc>
        <w:tc>
          <w:tcPr>
            <w:tcW w:w="11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(3,805)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Lapse of the applicable statute of limitations</w:t>
            </w:r>
          </w:p>
        </w:tc>
        <w:tc>
          <w:tcPr>
            <w:tcW w:w="1180" w:type="dxa"/>
            <w:vAlign w:val="bottom"/>
            <w:gridSpan w:val="5"/>
          </w:tcPr>
          <w:p>
            <w:pPr>
              <w:jc w:val="right"/>
              <w:ind w:right="160"/>
              <w:spacing w:after="0"/>
              <w:rPr>
                <w:sz w:val="20"/>
                <w:szCs w:val="20"/>
                <w:color w:val="auto"/>
              </w:rPr>
            </w:pPr>
            <w:r>
              <w:rPr>
                <w:rFonts w:ascii="Arial" w:cs="Arial" w:eastAsia="Arial" w:hAnsi="Arial"/>
                <w:sz w:val="18"/>
                <w:szCs w:val="18"/>
                <w:color w:val="auto"/>
              </w:rPr>
              <w:t>(10,517)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(7,203)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(3,364)</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(excluding interest and penalties of $5,742, $7,059 and $5,408,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$ 37,376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42,069</w:t>
            </w:r>
          </w:p>
        </w:tc>
        <w:tc>
          <w:tcPr>
            <w:tcW w:w="46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31,256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Additional information with respect to unrecognized tax benefits is as follows:</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Unrecognized tax benefits at the end of the year that, if recognized, would favorably affect the</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effective tax rate (includes interest and penalties of $5,742, $7,059 and $5,408, respectively)</w:t>
            </w:r>
          </w:p>
        </w:tc>
        <w:tc>
          <w:tcPr>
            <w:tcW w:w="8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9"/>
              </w:rPr>
              <w:t>$36,124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27,770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Offset to deferred tax assets for unrecognized tax benefits</w:t>
            </w:r>
          </w:p>
        </w:tc>
        <w:tc>
          <w:tcPr>
            <w:tcW w:w="860" w:type="dxa"/>
            <w:vAlign w:val="bottom"/>
            <w:gridSpan w:val="3"/>
          </w:tcPr>
          <w:p>
            <w:pPr>
              <w:ind w:left="260"/>
              <w:spacing w:after="0"/>
              <w:rPr>
                <w:sz w:val="20"/>
                <w:szCs w:val="20"/>
                <w:color w:val="auto"/>
              </w:rPr>
            </w:pPr>
            <w:r>
              <w:rPr>
                <w:rFonts w:ascii="Arial" w:cs="Arial" w:eastAsia="Arial" w:hAnsi="Arial"/>
                <w:sz w:val="18"/>
                <w:szCs w:val="18"/>
                <w:color w:val="auto"/>
                <w:w w:val="96"/>
              </w:rPr>
              <w:t>$ 6,994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and penalties recognized in current income tax expense (after giving effect to the</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reversal of interest and penalties of $2,430, $1,223 and $1,730, respectively)</w:t>
            </w:r>
          </w:p>
        </w:tc>
        <w:tc>
          <w:tcPr>
            <w:tcW w:w="96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w w:val="94"/>
              </w:rPr>
              <w:t>$ (1,317)</w:t>
            </w: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Company anticipates that it is reasonably possible that the total amount of unrecognized tax benefits recorded at December 31, 2010 will decrease within 12 months by an amount up to approximately $6,000 as a result of the lapse of the statute of limitations in various tax jurisdictions.</w:t>
      </w:r>
    </w:p>
    <w:p>
      <w:pPr>
        <w:spacing w:after="0" w:line="7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as of December 31, 2010 and 2009 are set forth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59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36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LFCM Holdings</w:t>
            </w:r>
          </w:p>
        </w:tc>
        <w:tc>
          <w:tcPr>
            <w:tcW w:w="6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24,785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14,212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178,042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31,684</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5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202,916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46,099</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40" w:type="dxa"/>
            <w:vAlign w:val="bottom"/>
            <w:vMerge w:val="continue"/>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6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243,735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240,518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40" w:type="dxa"/>
            <w:vAlign w:val="bottom"/>
          </w:tcPr>
          <w:p>
            <w:pPr>
              <w:ind w:left="440"/>
              <w:spacing w:after="0"/>
              <w:rPr>
                <w:sz w:val="20"/>
                <w:szCs w:val="20"/>
                <w:color w:val="auto"/>
              </w:rPr>
            </w:pPr>
            <w:r>
              <w:rPr>
                <w:rFonts w:ascii="Arial" w:cs="Arial" w:eastAsia="Arial" w:hAnsi="Arial"/>
                <w:sz w:val="18"/>
                <w:szCs w:val="18"/>
                <w:color w:val="auto"/>
              </w:rPr>
              <w:t>Total</w:t>
            </w:r>
          </w:p>
        </w:tc>
        <w:tc>
          <w:tcPr>
            <w:tcW w:w="6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244,193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242,284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920" w:type="dxa"/>
            <w:vAlign w:val="bottom"/>
            <w:vMerge w:val="restart"/>
          </w:tcPr>
          <w:p>
            <w:pPr>
              <w:jc w:val="right"/>
              <w:ind w:right="3632"/>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our executive officers) who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an insurance matters agreement and a license agreement that addressed various business matters associated with the separation, as well as several other agreements discussed below.</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Under the employee benefits agreement, dated as of May 10, 2005, by and among Lazard Ltd, Lazard Group, LAZ-MD Holdings and LFCM Holdings, LFCM Holdings generally assumed, as of the completion of the separation and recapitalization transactions, all outstanding and future liabilities in respect of the current and former employees of the separated businesses. The Company retained all accrued liabilities under, and assets of, the pension plans in the U.S. and the U.K. as well as the 401(k) plan accounts of the inactive employees of LFCM Holdings and its subsidiaries.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Pursuant to the administrative services agreement, dated as of May 10, 2005, by and among LAZ-MD Holdings, LFCM Holdings and Lazard Group (the “administrative services agreement”), Lazard Group provides selected administrative and support services to LAZ-MD Holdings and LFCM Holdings, such as cash management and debt service administration, accounting and financing activities, tax, payroll, human resources administration, financial transaction support, information technology, public communications, data processing, procurement, real estate management and other general administrative functions. Lazard Group charges for these services based on Lazard Group’s cost allocation methodology.</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services provided pursuant to the administrative services agreement by Lazard Group to LFCM Holdings, and by LFCM Holdings to Lazard Group, are subject to automatic annual renewal, unless either party gives 180 days’ notice of termination. LFCM Holdings and Lazard Group have a right to terminate the services earlier if there is a change of control of either party or the business alliance provided in the business alliance agreement (described below) expires or is terminated. The party receiving a service may also terminate a service earlier upon 180 days’ notice as long as the receiving party pays the service provider an additional three months of service fee for the terminated service. In addition, in connection with the various agreements entered into regarding the CP II MgmtCo Spin-Off described below, Lazard Group agreed to provide certain specified services to LFCM Holdings (which, in turn, LFCM Holdings may provide to its subsidiary, CP II MgmtCo (“CP II MgmtCo”)).</w:t>
      </w:r>
    </w:p>
    <w:p>
      <w:pPr>
        <w:spacing w:after="0" w:line="10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The business alliance agreement provides, among other matters, that Lazard Group will refer to LFCM Holdings selected opportunities for underwriting and distribution of securities. In addition, Lazard Group will provide assistance in the execution of any such referred business. In exchange for the referral obligation and assistance, Lazard Group will receive a referral fee from LFCM Holdings equal to approximately one-half of the revenue obtained by LFCM Holdings in respect of any underwriting or distribution opportunity. In addition, LFCM Holdings will refer opportunities in the Financial Advisory and Asset Management businesses to Lazard Group. In exchange for this referral, LFCM Holdings will be entitled to a customary finders’ fee from Lazard Group. The business alliance agreement further provides that, during the term of the business alliance, LFNY and Lazard Asset Management Securities LLC, an indirect wholly-owned subsidiary of LFNY, will introduce execution and settlement transactions to broker-dealer entities affiliated with LFCM Holdings. The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alliance agreement is subject to periodic automatic renewal, unless Lazard Group or LCM Holdings elects to terminate the agreement in connection with any such renewal or elects to terminate on account of a change of control of either party.</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years ended December 31, 2010, 2009 and 2008, amounts recorded by Lazard Group relating to the administrative services agreement amounted to $12,110, $9,717 and $7,138, respectively, and net referral fees for underwriting, private placement, M&amp;A and restructuring transactions under the business alliance agreement amounted to $11,506, $12,301 and $26,472,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Receivables from LFCM Holdings and its subsidiaries as of December 31, 2010 and 2009 primarily include $12,775 and $5,891, respectively, related to administrative and support services and reimbursement of expenses incurred on behalf of LFCM Holdings, $11,413 and $6,202, respectively, related to referral fees for underwriting and private placement transactions and, at December 31, 2009, a $1,180 lease indemnity receivable pertaining to certain liabilities relating to an abandoned lease space in the U.K. Payables to LFCM Holdings and its subsidiaries at December 31, 2010 and 2009 principally relate to referral fees for Financial Advisory transactions.</w:t>
      </w:r>
    </w:p>
    <w:p>
      <w:pPr>
        <w:spacing w:after="0" w:line="1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See Notes 5 and 15 of Notes to Consolidated Financial Statements for information regarding Sapphire and the 2008 Secondary Offering for which LCM participated as an underwriter, respectively.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years ended December 31, 2010, 2009 and 2008, such charges amounted to $750 in each year.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Lazard Group’s receivables from subsidiaries of Lazard Ltd at December 31, 2010 and 2009 include interest-bearing loans of $148,488 and $29,732, respectively, including accrued interest thereon. Interest income relating to interest-bearing loans with subsidiaries of Lazard Ltd amounted to $3,680 and $4,887 for the years ended December 31, 2010 and 2009, respectively. In addition, at December 31, 2010, Lazard Group had a receivable of $29,271 from Lazard Ltd subsidiaries relating to Lazard Group’s sale of certain investments to a Lazard Ltd subsidiary, which was settled in cash in the first quarter of 2011.</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both December 31, 2010 and 2009, Lazard Group’s payables to subsidiaries of Lazard Ltd included $64,305 related to the LAM Merger (see Note 8 of Notes to Consolidated Financial Statements), as well as payables at December 31, 2010 and 2009 aggregating $60,190 and $39,820, respectively, in connection with Lazard Group’s acquisition of GAHL and Edgewater’s management vehicles, and with respect to Lazard Ltd’s acquisition of CWC and subsequent contribution of CWC to Lazard Group (see Note 9 of Notes to Consolidated Financial Statements). In addition, as of December 31, 2010 and 2009, Lazard Group’s payables to subsidiaries of Lazard Ltd include interest-bearing loans, plus accrued interest thereon, of $119,240 and $136,329, respectively. Interest expense relating to interest-bearing loans with subsidiaries of Lazard Ltd amounted to $4,591 and $6,181 for the years ended December 31, 2010 and 2009, respectively.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Alternative Investments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business alliance agreement, among other things, granted Lazard Group the option to acquire the North American and European fund management activities of Lazard Alternative Investments Holdings LLC (“LAI”), the subsidiary of LFCM Holdings that owns and operates LFCM Holdings’ alternative investment (including private equity) activities, for an aggregate purchase price of $8,000 and $2,000, respectively. On December 15, 2009, Lazard Group exercised its option to acquire the European fund management activities of LAI for a purchase price of $2,000. The remaining option to purchase the North American fund management activities is currently exercisable at any time prior to May 10, 2014, for a purchase price of $2,500. The reduced price for the North American option reflects (i) a reduction of $1,500 due to the payment of a like amount in February 2008 to LFCM Holdings in connection with the Sapphire IPO, whereby LFCM Holdings agreed not to assert certain claims that it may believe that it had under the business alliance agreement and (ii) a reduction of $4,000 due to the payment of a like amount in February 2009 to LFCM Holdings in connection with the spin-off of the management company of CP II and the amendments to the business alliance agreement described below. LAI’s fund management activities consist of the fund management and general partner entities, together with Lazard Group’s direct investments in related funds that were transferred to LFCM Holdings pursuant to or in anticipation of the May 10, 2005 separation (the “separation”) from the Company of its former Capital Markets and Other business segment.</w:t>
      </w:r>
    </w:p>
    <w:p>
      <w:pPr>
        <w:spacing w:after="0" w:line="11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business alliance agreement provides Lazard Group with certain governance rights with respect to LAI and provides for support by LFCM Holdings of the business of LAI. With respect to historical investments and funds transferred to LFCM Holdings as part of the separation, profits realized prior to the exercise of the option are for the account of LFCM Holdings, whereas profits realized after the exercise of the option are for the account of Lazard Group. The master separation agreement and business alliance agreement provide for Lazard Group (i) to invest capital in future funds to be managed by LFCM Holdings’ subsidiaries and (ii) to receive incentive distributions from such funds, as well as profits related to such investments, if any, irrespective of whether it exercises its purchase option.</w:t>
      </w:r>
    </w:p>
    <w:p>
      <w:pPr>
        <w:spacing w:after="0" w:line="1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February 2005, Lazard Group formed CP II, with institutional and Lazard Group capital commitments which required funding at any time through 2010, except for potential follow-on investments and/or CP II expenses. As of December 31, 2010, Lazard Group’s investment in CP II amounted to $31,950, which is recorded within “investments - private equity investments owned” on the consolidated statement of financial condition. Pursuant to the master separation agreement and business alliance agreement, CP II was managed by CP II MgmtCo, and Lazard Group is entitled to receive the carried interest distributions made by CP II (other than the carried interest distributions made to investment professionals who manage the fund).</w:t>
      </w:r>
    </w:p>
    <w:p>
      <w:pPr>
        <w:spacing w:after="0" w:line="1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February 2009, pursuant to agreements entered into by the Company with a subsidiary of LAI (“LAI North America”), LFCM Holdings and the investment professionals who manage CP II, equity ownership of CP II MgmtCo was transferred from LAI North America to the investment professionals who manage CP II (the “CP II MgmtCo Spin-Off”). Concurrently with the CP II MgmtCo Spin-Off, CP II MgmtCo became a standalone entity. In addition, in connection with the above-mentioned $4,000 cash payment from Lazard Group to LFCM Holdings, the business alliance agreement was amended to remove any restriction on the Company engaging in private equity businesses in North America other than certain investments in real estate and technology and information services. Such amendment reduced the then purchase price relating to our option to acquire the fund management activities of LAI in North America from $6,500 to $2,500. As part of the CP II MgmtCo Spin-Off, we retained our entitlement to receive a slightly reduced portion of the carried interest distributions made by CP II.</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the years ended December 31, 2010 and 2008, expenses recorded by Lazard Group relating to referral fees for restructuring transactions and fee sharing with MBA amounted to $128 and $2,397, respectively. There was no such expense for the year ended December 31, 2009.</w:t>
      </w:r>
    </w:p>
    <w:p>
      <w:pPr>
        <w:spacing w:after="0" w:line="7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December 31, 2010, LFNY’s regulatory net capital was $222,229, which exceeded the minimum requirement by $212,556.</w:t>
      </w:r>
    </w:p>
    <w:p>
      <w:pPr>
        <w:spacing w:after="0" w:line="99"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December 31, 2010, the aggregate regulatory net capital of the U.K. Subsidiaries was $143,055, which exceeded the minimum requirement by $100,587.</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December 31, 2010, the consolidated regulatory net capital of CFLF was $195,108, which exceeded the minimum requirement set for regulatory capital levels by $97,331.</w:t>
      </w:r>
    </w:p>
    <w:p>
      <w:pPr>
        <w:spacing w:after="0" w:line="9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December 31, 2010, for those subsidiaries with regulatory capital requirements, their aggregate net capital was $116,748, which exceeded the minimum required capital by $93,439.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2010, each of these subsidiaries individually was in compliance with its regulatory capital requirements.</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Lazard Ltd is currently subject to supervision by the SEC as a Supervised Investment Bank Holding Company (“SIBHC”). As a SIBHC, Lazard Ltd is subject to group-wide supervision, which requires it to compute allowable capital and risk allowances on a consolidated basis. However, the Dodd-Frank Wall Street Reform and Consumer Protection Act (the “Dodd-Frank Act”), provides for the elimination of the SEC’s SIBHC program on July 21, 2011. Following this elimination, we will be required to be regulated on a comprehensive basis by another regulatory body, either in the U.S. or Europe, pursuant to relevant rules in Europe. The Dodd-Frank Act allows certain securities holding companies seeking consolidated supervision to elect to be regulated by the Board of Governors of the Federal Reserve. The Dodd-Frank Act could have other effects on us, which we are currently in the process of examining, including the impact of the elimination of the SIBHC program and the effects of various new regulations mandated by the Dodd-Frank Act.</w:t>
      </w:r>
    </w:p>
    <w:p>
      <w:pPr>
        <w:spacing w:after="0" w:line="10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reportable segments offer different products and services and are managed separately as different levels and types of expertise are required to effectively manage the segments’ transactions. Each segment is reviewed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to determine the allocation of resources and to assess its performance. The Company’s principal operating activities are included in two business segments: Financial Advisory (which includes providing general strategic and transaction-specific advice on M&amp;A and other strategic matters, restructurings, capital structure, capital raising and various other corporate finance matters),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years ended December 31, 2010, 2009 and 2008 is prepared using the following methodology:</w:t>
      </w:r>
    </w:p>
    <w:p>
      <w:pPr>
        <w:spacing w:after="0" w:line="100"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were no clients for the years ended December 31, 2010, 2009 and 2008 that individually constituted more than 10% of the net revenue of either of the Company’s business segments.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7"/>
              </w:rPr>
              <w:t>As Of Or 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1,119,867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986,820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1,022,913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950,968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998,727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796,970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168,899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799,090</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706,785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739,444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849,662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601,652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584,348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504,452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678,170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265,314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687,323</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702,775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419,858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(65,024)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(58,509)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122,380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208,772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(187,404)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(267,281)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(120,525)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1,849,871</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1,705,488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1,726,280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1,904,505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1,529,963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1,554,969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tcPr>
          <w:p>
            <w:pPr>
              <w:ind w:left="1340"/>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1,657,696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1,711,951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1,512,940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 (Loss)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246,809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(181,988)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vMerge w:val="restart"/>
          </w:tcPr>
          <w:p>
            <w:pPr>
              <w:ind w:left="13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3,336,284</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3,115,048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2,885,582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Operating expenses include depreciation and amortization of property as set forth in table below.</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3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Asset Management</w:t>
            </w: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3,693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3,557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12,301</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13,051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9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22,712</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22,541</w:t>
            </w:r>
          </w:p>
        </w:tc>
        <w:tc>
          <w:tcPr>
            <w:tcW w:w="4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20,825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80" w:type="dxa"/>
            <w:vAlign w:val="bottom"/>
            <w:vMerge w:val="restart"/>
          </w:tcPr>
          <w:p>
            <w:pPr>
              <w:jc w:val="right"/>
              <w:ind w:right="1852"/>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right="14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Operating income (loss) in 2010, 2009 and 2008 was significantly impacted by certain charges. Such impact, including the amounts attributable to each of the Company’s business segments, is described in the table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Operating income (loss), as reported above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168,899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(11,907)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w w:val="97"/>
              </w:rPr>
              <w:t>Acceleration of amortization expense pertaining to the amendment of Lazard’s retirement policy with</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respect to RSU awards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19,571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Acceleration of amortization expense related to previously awarded deferred cash incentive awards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188,470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36,626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Operating income (loss), as reported above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265,314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97,200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Impact of the LAM Merger</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Acceleration of amortization expense pertaining to the amendment of Lazard’s retirement policy with</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 to RSU awards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w w:val="98"/>
              </w:rPr>
              <w:t>Acceleration of amortization expense related to previously awarded deferred cash incentive awards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268,216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104,708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Corporate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as reported above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(187,404)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(267,281)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Special items: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of the LAM Merger</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62,550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Acceleration of amortization expense pertaining to the amendment of Lazard’s retirement policy with</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 to RSU awards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w w:val="94"/>
              </w:rPr>
              <w:t>Acceleration of amortization expense related to the vesting of RSUs held by Lazard’s former Chairman</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and Chief Executive Officer</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86,514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Acceleration of amortization expense related to previously awarded deferred cash incentive awards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Operating loss, excluding impact of special items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(97,909)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(113,746)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(118,525)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Operating income (loss), as reported above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246,809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(181,988)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Impact of the LAM Merger</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199,550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expense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w w:val="97"/>
              </w:rPr>
              <w:t>Acceleration of amortization expense pertaining to the amendment of Lazard’s retirement policy with</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respect to RSU awards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24,860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Acceleration of amortization expense related to the vesting of RSUs held by Lazard’s former Chairman</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Chief Executive Officer</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86,514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w w:val="98"/>
              </w:rPr>
              <w:t>Acceleration of amortization expense related to previously awarded deferred cash incentive awards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358,777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27,588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jc w:val="right"/>
              <w:ind w:right="2272"/>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Due to the highly integrated nature of international financial markets, the Company manages its business based on the profitability of the enterprise as a whole. Accordingly, management believes that profitability by geographic region is not necessarily meaningful. The Company’s revenue and identifiable assets are generally allocated based on the country or domicile of the legal entity providing the service.</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sets forth the net revenue from, and identifiable assets for, the Company and its consolidated subsidiaries by geographic region allocated on the basis described above.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w w:val="95"/>
              </w:rPr>
              <w:t>As Of Or For The 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1,160,171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802,895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791,468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France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261,085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247,510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Western Europe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Rest of World</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1,904,505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1,529,963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1,554,969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ind w:left="860"/>
              <w:spacing w:after="0"/>
              <w:rPr>
                <w:sz w:val="20"/>
                <w:szCs w:val="20"/>
                <w:color w:val="auto"/>
              </w:rPr>
            </w:pPr>
            <w:r>
              <w:rPr>
                <w:rFonts w:ascii="Arial" w:cs="Arial" w:eastAsia="Arial" w:hAnsi="Arial"/>
                <w:sz w:val="18"/>
                <w:szCs w:val="18"/>
                <w:color w:val="auto"/>
              </w:rPr>
              <w:t>Operating Income (Loss):</w:t>
            </w: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226,500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(155,399)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(35,769)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United Kingdom</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(11,485)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Other Western Europe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(9,838)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 of World</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vMerge w:val="restart"/>
          </w:tcPr>
          <w:p>
            <w:pPr>
              <w:ind w:left="140"/>
              <w:spacing w:after="0"/>
              <w:rPr>
                <w:sz w:val="20"/>
                <w:szCs w:val="20"/>
                <w:color w:val="auto"/>
              </w:rPr>
            </w:pPr>
            <w:r>
              <w:rPr>
                <w:rFonts w:ascii="Arial" w:cs="Arial" w:eastAsia="Arial" w:hAnsi="Arial"/>
                <w:sz w:val="18"/>
                <w:szCs w:val="18"/>
                <w:color w:val="auto"/>
              </w:rPr>
              <w:t>Total (c)</w:t>
            </w: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246,809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(181,988)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1,735,744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1,557,006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1,159,121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France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883,932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908,137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1,128,714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Western Europe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Rest of World</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3,336,284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3,115,048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2,885,582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580" w:right="580" w:hanging="5572"/>
        <w:spacing w:after="0" w:line="440" w:lineRule="auto"/>
        <w:tabs>
          <w:tab w:leader="none" w:pos="45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 described in Note (b) above, operating income (loss) in 2010, 2009 and 2008 was significantly impacted by certain charges described therein. 126</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(UNAUDITED)</w:t>
      </w:r>
    </w:p>
    <w:p>
      <w:pPr>
        <w:spacing w:after="0" w:line="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represents the Company’s unaudited quarterly results for the years ended December 31, 2010 and 2009. These quarterly results were prepared in conformity with generally accepted accounting principles and reflect all adjustments that are, in the opinion of management, necessary for a fair statement of the results. These adjustments are of a normal recurring nature.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2010 Fiscal Quarter</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Second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2"/>
                <w:szCs w:val="12"/>
                <w:color w:val="auto"/>
              </w:rPr>
            </w:pPr>
          </w:p>
        </w:tc>
        <w:tc>
          <w:tcPr>
            <w:tcW w:w="7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Fourth</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$437,947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418,808</w:t>
            </w:r>
          </w:p>
        </w:tc>
        <w:tc>
          <w:tcPr>
            <w:tcW w:w="14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$452,541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$ 595,209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1,904,505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472,495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351,118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373,623</w:t>
            </w:r>
          </w:p>
        </w:tc>
        <w:tc>
          <w:tcPr>
            <w:tcW w:w="720" w:type="dxa"/>
            <w:vAlign w:val="bottom"/>
          </w:tcPr>
          <w:p>
            <w:pPr>
              <w:jc w:val="right"/>
              <w:spacing w:after="0"/>
              <w:rPr>
                <w:sz w:val="20"/>
                <w:szCs w:val="20"/>
                <w:color w:val="auto"/>
              </w:rPr>
            </w:pPr>
            <w:r>
              <w:rPr>
                <w:rFonts w:ascii="Arial" w:cs="Arial" w:eastAsia="Arial" w:hAnsi="Arial"/>
                <w:sz w:val="18"/>
                <w:szCs w:val="18"/>
                <w:color w:val="auto"/>
              </w:rPr>
              <w:t>460,460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1,657,696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(34,548)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67,690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78,918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$ 134,749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246,809</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 (40,088)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54,650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68,723</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$ 118,139</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201,424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attributable to noncontrolling interests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Group</w:t>
            </w:r>
          </w:p>
        </w:tc>
        <w:tc>
          <w:tcPr>
            <w:tcW w:w="1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 (42,446)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54,169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68,613</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$ 114,208</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2009 Fiscal Quarter</w:t>
            </w: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Second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Third</w:t>
            </w:r>
          </w:p>
        </w:tc>
        <w:tc>
          <w:tcPr>
            <w:tcW w:w="440" w:type="dxa"/>
            <w:vAlign w:val="bottom"/>
          </w:tcPr>
          <w:p>
            <w:pPr>
              <w:spacing w:after="0"/>
              <w:rPr>
                <w:sz w:val="12"/>
                <w:szCs w:val="12"/>
                <w:color w:val="auto"/>
              </w:rPr>
            </w:pPr>
          </w:p>
        </w:tc>
        <w:tc>
          <w:tcPr>
            <w:tcW w:w="7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Fourth</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$247,867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376,035</w:t>
            </w:r>
          </w:p>
        </w:tc>
        <w:tc>
          <w:tcPr>
            <w:tcW w:w="14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$ 411,406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$ 494,655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1,529,963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338,775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317,920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338,236</w:t>
            </w:r>
          </w:p>
        </w:tc>
        <w:tc>
          <w:tcPr>
            <w:tcW w:w="720" w:type="dxa"/>
            <w:vAlign w:val="bottom"/>
          </w:tcPr>
          <w:p>
            <w:pPr>
              <w:jc w:val="right"/>
              <w:spacing w:after="0"/>
              <w:rPr>
                <w:sz w:val="20"/>
                <w:szCs w:val="20"/>
                <w:color w:val="auto"/>
              </w:rPr>
            </w:pPr>
            <w:r>
              <w:rPr>
                <w:rFonts w:ascii="Arial" w:cs="Arial" w:eastAsia="Arial" w:hAnsi="Arial"/>
                <w:sz w:val="18"/>
                <w:szCs w:val="18"/>
                <w:color w:val="auto"/>
              </w:rPr>
              <w:t>717,020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1,711,951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(90,908)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73,170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(222,365)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(181,988)</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00" w:type="dxa"/>
            <w:vAlign w:val="bottom"/>
            <w:gridSpan w:val="2"/>
            <w:vMerge w:val="continue"/>
          </w:tcPr>
          <w:p>
            <w:pPr>
              <w:spacing w:after="0"/>
              <w:rPr>
                <w:sz w:val="18"/>
                <w:szCs w:val="18"/>
                <w:color w:val="auto"/>
              </w:rPr>
            </w:pP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 (86,354)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44,896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51,884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$(224,141)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(213,715)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 net income (loss) attributable to noncontrolling interests</w:t>
            </w:r>
          </w:p>
        </w:tc>
        <w:tc>
          <w:tcPr>
            <w:tcW w:w="10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Lazard Group</w:t>
            </w:r>
          </w:p>
        </w:tc>
        <w:tc>
          <w:tcPr>
            <w:tcW w:w="1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 (85,283)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44,637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49,854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(225,755)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8"/>
                <w:szCs w:val="18"/>
                <w:color w:val="auto"/>
              </w:rPr>
              <w:t>127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83" w:lineRule="exact"/>
        <w:rPr>
          <w:sz w:val="20"/>
          <w:szCs w:val="20"/>
          <w:color w:val="auto"/>
        </w:rPr>
      </w:pPr>
    </w:p>
    <w:p>
      <w:pPr>
        <w:ind w:right="1600" w:firstLine="456"/>
        <w:spacing w:after="0" w:line="375" w:lineRule="auto"/>
        <w:rPr>
          <w:sz w:val="20"/>
          <w:szCs w:val="20"/>
          <w:color w:val="auto"/>
        </w:rPr>
      </w:pPr>
      <w:r>
        <w:rPr>
          <w:rFonts w:ascii="Arial" w:cs="Arial" w:eastAsia="Arial" w:hAnsi="Arial"/>
          <w:sz w:val="18"/>
          <w:szCs w:val="18"/>
          <w:color w:val="auto"/>
        </w:rPr>
        <w:t xml:space="preserve">There were no changes in or disagreements with accountants on accounting and financial disclosure during the last two fiscal years. </w:t>
      </w:r>
      <w:r>
        <w:rPr>
          <w:rFonts w:ascii="Arial" w:cs="Arial" w:eastAsia="Arial" w:hAnsi="Arial"/>
          <w:sz w:val="18"/>
          <w:szCs w:val="18"/>
          <w:b w:val="1"/>
          <w:bCs w:val="1"/>
          <w:color w:val="auto"/>
        </w:rPr>
        <w:t>Item 9A. Controls and Procedures</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December 31, 2010 (the end of the period covered by this Annual Report on Form 10-K). Based on that evaluation, our Chief Executive Officer and Chief Financial Officer have concluded that, as of the end of the period covered by this Annual Report on Form 10-K,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Management’s Report on Internal Controls Over Financial Reporting (as defined in Rules 13a-15(f) and 15d-15(f) of the Exchange Act), and the related report of our independent registered public accounting firm, are set forth in Part II, Item 8 of this Annual Report on Form 10-K and are incorporated herein by reference.</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23, 2011, the Compensation Committee of the Board of Directors of Lazard Ltd approved the extension of the term of the First Amendment, dated as of May 7, 2008, to the Agreement Relating to Retention and Noncompetition and Other Covenants, dated as of May 4, 2005, among Lazard Ltd, Lazard Group and Scott D. Hoffman from its scheduled expiration date of March 31, 2011 to March 23, 2013, which is the date that the retention agreements with Kenneth M. Jacobs and Alexander F. Stern are scheduled to expire. No other changes were made to Mr. Hoffman’s retention agreement in connection with the extension of its term.</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20"/>
          </w:cols>
          <w:pgMar w:left="24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with Terms Expiring in 2011</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Kenneth M. Jacobs</w:t>
      </w:r>
      <w:r>
        <w:rPr>
          <w:rFonts w:ascii="Arial" w:cs="Arial" w:eastAsia="Arial" w:hAnsi="Arial"/>
          <w:sz w:val="18"/>
          <w:szCs w:val="18"/>
          <w:color w:val="auto"/>
        </w:rPr>
        <w:t>, age 52, has served as Chairman of the Board of Directors and Chief Executive Officer of Lazard Ltd and Lazard Group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2009. Mr. Jacobs has served as a Managing Director of Lazard since 1991 and had been a Deputy Chairman of Lazard from January 2002 until November 2009. He has also served as Chief Executive Officer of Lazard North America since 2002. Mr. Jacobs initially joined Lazard in 1988. Mr. Jacobs is a member of the Board of Trustees of the University of Chicago and the Brookings Institution. Mr. Jacobs was selected to be the Chairman and Chief Executive Officer of Lazard because of his vision, intellect and dynamism, his proven track record of creativity in building new businesses, as well as his skills as a trusted advisor, collaborator and team leader.</w:t>
      </w:r>
    </w:p>
    <w:p>
      <w:pPr>
        <w:spacing w:after="0" w:line="13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Ronald J. Doerfler</w:t>
      </w:r>
      <w:r>
        <w:rPr>
          <w:rFonts w:ascii="Arial" w:cs="Arial" w:eastAsia="Arial" w:hAnsi="Arial"/>
          <w:sz w:val="16"/>
          <w:szCs w:val="16"/>
          <w:color w:val="auto"/>
        </w:rPr>
        <w:t>, age 69, has served as a director of Lazard Ltd and Lazard Group since June 2006. Mr. Doerfler has been Senior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and Administration of The Hearst Corporation since December 2009, having previously served as Senior Vice President and Chief Financial Officer from February 1998 until December 2009, and was elected a member of Hearst’s Board of Directors in August 2002. In December 2008, Mr. Doerfler was elected a trustee of the Hearst Family Trust, the sole shareholder of The Hearst Corporation. Hearst is one of the nation’s largest diversified communications companies, with interests in magazine and newspaper publishing, television and radio stations, newspaper comics and features syndication, cable TV networks, television production and syndication, and new media activities. Mr. Doerfler arrived at Hearst from ABC, Inc., where he was Senior Vice President and Chief Financial Officer. He joined Capital Cities Communications in 1969, was appointed Treasurer in 1977 and Senior Vice President and Chief Financial Officer in 1980. He played a major role in Capital Cities’ acquisition of ABC in 1986, and with the combined group’s 1996 merger with The Walt Disney Company. Mr. Doerfler is the chairman of the Audit Committee of the Board of Directors of Lazard Ltd. Mr. Doerfler was selected to be a director of the Company because of his extensive experience and background in the media and entertainment industry, as well as his qualifications as an “audit committee financial expert.”</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Philip A. Laskawy</w:t>
      </w:r>
      <w:r>
        <w:rPr>
          <w:rFonts w:ascii="Arial" w:cs="Arial" w:eastAsia="Arial" w:hAnsi="Arial"/>
          <w:sz w:val="16"/>
          <w:szCs w:val="16"/>
          <w:color w:val="auto"/>
        </w:rPr>
        <w:t>, age 69, has served as a director of Lazard Ltd and Lazard Group since July 2008. Mr. Laskawy served as Chairman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Ernst &amp; Young from 1994 until his retirement in 2001, after 40 years of service with the professional services firm. Mr. Laskawy served as Chairman of the International Accounting Standards Board from 2006 to 2007, and as a member of the 1999 Blue Ribbon Committee on Improving the Effectiveness of Corporate Audit Committees. Mr. Laskawy has served as Chairman of Fannie Mae since September 2008 and is also a member of the board of directors of General Motors Corp., Capgemini, Loews Corp. and Henry Schein, Inc. Mr. Laskawy had previously served on the boards of directors of Discover Financial Services until September 2008 and The Progressive Corporation until December 2007. Mr. Laskawy is a member of the Audit Committee of Lazard Ltd’s Board of Directors. Mr. Laskawy was selected to be a director of the Company because of his expertise in the areas of auditing and accounting, his qualifications as an “audit committee financial expert” and the unique perspective he brings as a former chief executive of one of the “big four” accounting firms.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Michael J. Turner</w:t>
      </w:r>
      <w:r>
        <w:rPr>
          <w:rFonts w:ascii="Arial" w:cs="Arial" w:eastAsia="Arial" w:hAnsi="Arial"/>
          <w:sz w:val="16"/>
          <w:szCs w:val="16"/>
          <w:color w:val="auto"/>
        </w:rPr>
        <w:t>, CBE, age 62, has served as a director of Lazard Ltd and Lazard Group since March 2006. In November 2008, Mr. Turner was appointed</w:t>
      </w:r>
      <w:r>
        <w:rPr>
          <w:rFonts w:ascii="Arial" w:cs="Arial" w:eastAsia="Arial" w:hAnsi="Arial"/>
          <w:sz w:val="16"/>
          <w:szCs w:val="16"/>
          <w:i w:val="1"/>
          <w:iCs w:val="1"/>
          <w:color w:val="auto"/>
        </w:rPr>
        <w:t xml:space="preserve"> </w:t>
      </w:r>
      <w:r>
        <w:rPr>
          <w:rFonts w:ascii="Arial" w:cs="Arial" w:eastAsia="Arial" w:hAnsi="Arial"/>
          <w:sz w:val="16"/>
          <w:szCs w:val="16"/>
          <w:color w:val="auto"/>
        </w:rPr>
        <w:t>the non-executive Chairman of Babcock International Group PLC. Mr. Turner was the Chief Executive Officer of BAE Systems plc from March 2002 until the end of August 2008. Mr. Turner joined BAE Systems in 1966 and held a number of commercial, marketing and general management positions, including Chief Operating Officer from 1999 to March 2002. Mr. Turner is Senior Independent Director of GKN PLC. Mr. Turner is a member of the Compensation Committee and the Nominating &amp; Governance Committee of Lazard Ltd’s Board of Directors. Mr. Turner was selected to be a director of the Company because of his extensive background, experience and leadership as a former chief executive in the aerospace and defense industry and the Board’s desire to add geographical diversity to its membership that reflects the Company’s client base in Europe.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with Terms Expiring in 2012</w:t>
      </w:r>
    </w:p>
    <w:p>
      <w:pPr>
        <w:spacing w:after="0" w:line="8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Ashish Bhutani</w:t>
      </w:r>
      <w:r>
        <w:rPr>
          <w:rFonts w:ascii="Arial" w:cs="Arial" w:eastAsia="Arial" w:hAnsi="Arial"/>
          <w:sz w:val="16"/>
          <w:szCs w:val="16"/>
          <w:color w:val="auto"/>
        </w:rPr>
        <w:t>, age 50, has served as a director of Lazard Ltd and Lazard Group since March 2010. Mr. Bhutani is a Vice Chairman and a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Lazard and has been the Chief Executive Officer of Lazard Asset Management (“LAM”) since March 2004. Mr. Bhutani previously served as Head of New Products and Strategic Planning from June 2003 to March 2004. Prior to joining Lazard, he was Co-Chief Executive Officer North America of Dresdner Kleinwort Wasserstein from 2001 to the end of 2002, and was a member of its Global Corporate and Markets Board, and a member of its Global Executive Committee. Mr. Bhutani worked at Wasserstein Perella Group (the predecessor to Dresdner Kleinwort Wasserstein) from 1989 to 2001, serving as Deputy Chairman of Wasserstein Perella Group and Chief Executive Officer of Wasserstein Perella Securities from 1994 to 2001. Mr. Bhutani began his career at Salomon Brothers in 1985, where he was a Vice President in Fixed Income. Mr. Bhutani is a member of the Board of Directors of four registered investment companies, which are part of the Lazard fund complex. Mr. Bhutani was selected to be a director of the Company because of his extensive background, experience and knowledge of the asset management industry, his role within the firm as Chief Executive Officer of LAM and Mr. Jacobs’ and the Board’s desire that Mr. Bhutani become a regular contributor to the Board’s deliberations.</w:t>
      </w:r>
    </w:p>
    <w:p>
      <w:pPr>
        <w:spacing w:after="0" w:line="10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Steven J. Heyer</w:t>
      </w:r>
      <w:r>
        <w:rPr>
          <w:rFonts w:ascii="Arial" w:cs="Arial" w:eastAsia="Arial" w:hAnsi="Arial"/>
          <w:sz w:val="16"/>
          <w:szCs w:val="16"/>
          <w:color w:val="auto"/>
        </w:rPr>
        <w:t>, age 58, has served as a director of Lazard Ltd and Lazard Group since June 2005 and was appointed Lead Director in November 2009.</w:t>
      </w:r>
      <w:r>
        <w:rPr>
          <w:rFonts w:ascii="Arial" w:cs="Arial" w:eastAsia="Arial" w:hAnsi="Arial"/>
          <w:sz w:val="16"/>
          <w:szCs w:val="16"/>
          <w:i w:val="1"/>
          <w:iCs w:val="1"/>
          <w:color w:val="auto"/>
        </w:rPr>
        <w:t xml:space="preserve"> </w:t>
      </w:r>
      <w:r>
        <w:rPr>
          <w:rFonts w:ascii="Arial" w:cs="Arial" w:eastAsia="Arial" w:hAnsi="Arial"/>
          <w:sz w:val="16"/>
          <w:szCs w:val="16"/>
          <w:color w:val="auto"/>
        </w:rPr>
        <w:t>Mr. Heyer is currently the Chairman and Chief Executive Officer of Harry &amp; David Holdings, Inc., founder of Avra Kehdabra Animation LLC, and Chairman of Next 3D, a software company. Mr. Heyer was the Chief Executive Officer of Starwood Hotels &amp; Resorts Worldwide from October 2004 until April 2007. Prior to joining Starwood, he was President and Chief Operating Officer of The Coca-Cola Company from 2002 to September 2004. From 1994 to 2001 he was President and Chief Operating Officer of Turner Broadcasting System, Inc., and a member of AOL Time Warner’s Operating Committee. Previously, Mr. Heyer was President and Chief Operating Officer of Young &amp; Rubicam Advertising Worldwide, and before that spent 15 years at Booz Allen &amp; Hamilton, ultimately becoming Senior Vice President and Managing Partner. He is a member of the Board of Directors of Omnicare, Inc. and the National Collegiate Athletic Association. Mr. Heyer has ownership positions in a portfolio of private companies and is a member of many of their boards of directors. Mr. Heyer had previously served on the Board of Directors of Starwood Hotels &amp; Resorts Worldwide until April 2007. Mr. Heyer is the chairman of the Compensation Committee and a member of the Nominating &amp; Governance Committee of Lazard Ltd’s Board of Directors. Mr. Heyer was selected to be a director of the Company because of the depth of his analytical skills, which he has applied in a variety of leadership positions across diverse industry groupings, including broadcast media, consumer products, and hotel and leisure companies.</w:t>
      </w:r>
    </w:p>
    <w:p>
      <w:pPr>
        <w:spacing w:after="0" w:line="1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Sylvia Jay</w:t>
      </w:r>
      <w:r>
        <w:rPr>
          <w:rFonts w:ascii="Arial" w:cs="Arial" w:eastAsia="Arial" w:hAnsi="Arial"/>
          <w:sz w:val="16"/>
          <w:szCs w:val="16"/>
          <w:color w:val="auto"/>
        </w:rPr>
        <w:t>, CBE, age 64, has served as a director of Lazard Ltd and Lazard Group since March 2006. Lady Jay is Vice Chairman of L’Oreal UK, a 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she has held since September 2005. From January 2001 to August 2005, she was the Director General of the Food &amp; Drink Federation, a UK trade body. Lady Jay joined the United Kingdom Civil Service in 1971. Her civil service career, until she resigned in 1995, mainly concerned government financial aid to developing countries, including being a non-executive director of the Gibraltar Ship Repair Company. She also worked in the Civil Service Selection Board to recruit fast stream administrators and diplomats; the French Ministere de la Cooperation; the French Tresor and was one of a small international team which set up the European Bank for Reconstruction and Development. Lady Jay is a member of the Board of Directors of Saint-Gobain and Alcatel-Lucent, and was Chairman of Food from Britain from 2005 until 2009. Lady Jay is a member of the Compensation Committee and the Nominating &amp; Governance Committee of Lazard Ltd’s Board of Directors. Lady Jay was selected to be a director of the Company because of her extensive background and experience in government service and the Board’s desire to add geographical diversity that reflects the Company’s client base in Europe.</w:t>
      </w:r>
    </w:p>
    <w:p>
      <w:pPr>
        <w:spacing w:after="0" w:line="10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Vernon E. Jordan, Jr.</w:t>
      </w:r>
      <w:r>
        <w:rPr>
          <w:rFonts w:ascii="Arial" w:cs="Arial" w:eastAsia="Arial" w:hAnsi="Arial"/>
          <w:sz w:val="18"/>
          <w:szCs w:val="18"/>
          <w:color w:val="auto"/>
        </w:rPr>
        <w:t>, age 75, has served as a director of Lazard Ltd and Lazard Group since May 2005. Mr. Jordan has served as a Senior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Lazard Frères &amp; Co. LLC since January 2000. Mr. Jordan has been Senior Counsel at Akin Gump Strauss Hauer &amp; Feld LLP since January 2000, where 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served as Senior Executive Partner from January 1982 to December 1999. Prior to that, Mr. Jordan served as President and Chief Executive Officer of the National Urban League, Inc. from January 1972 to December 1981. Mr. Jordan currently serves on the Board of Directors of Asbury Automotive Group, Inc.; as a senior advisor to the Board of Directors of American Express Company and Xerox Corporation; as a trustee to Howard University and DePauw University; and on the International Advisory Board of Barrick Gold. Mr. Jordan had previously served on the Board of Directors of Xerox Corporation until May 2009; the American Express Company until May 2008; J.C. Penney Company until August 2007; and Sara Lee Corporation until May 2005. Mr. Jordan was selected to be a director of the Company because of his extensive background and expertise in legal and corporate matters, his knowledge of corporate governance and his experience as a board member of numerous public companies.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with Terms Expiring in 2013</w:t>
      </w:r>
    </w:p>
    <w:p>
      <w:pPr>
        <w:spacing w:after="0" w:line="8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Laurent Mignon</w:t>
      </w:r>
      <w:r>
        <w:rPr>
          <w:rFonts w:ascii="Arial" w:cs="Arial" w:eastAsia="Arial" w:hAnsi="Arial"/>
          <w:sz w:val="16"/>
          <w:szCs w:val="16"/>
          <w:color w:val="auto"/>
        </w:rPr>
        <w:t>, age 47, has served as a director of Lazard Ltd and Lazard Group since July 2009. Mr. Mignon has served as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Natixis (the successor to IXIS Corporate &amp; Investment Bank) since May 2009. From September 2007 to May 2009, he was General Partner of Oddo &amp; Cie, a private French investment bank. Prior to joining Oddo &amp; Cie, Mr. Mignon was the Chief Executive Officer of AGF France. He joined AGF France in 1997 as Chief Financial Officer and was nominated to be a member of the Executive Committee in 1998. Prior to joining the AGF Group, Mr. Mignon held a variety of positions in banking over a ten-year period, ranging from trading to investment banking. Mr. Mignon is a member of the Board of Directors of Sequana, and member of the Board of Directors and of the Audit Committee of Arkema. Mr. Mignon was selected to be a director of the Company pursuant to an agreement that Lazard entered into with Natixis at the time of Lazard Ltd’s equity public offering in 2005. See “Agreement with Natixis.”</w:t>
      </w:r>
    </w:p>
    <w:p>
      <w:pPr>
        <w:spacing w:after="0" w:line="10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Gary W. Parr</w:t>
      </w:r>
      <w:r>
        <w:rPr>
          <w:rFonts w:ascii="Arial" w:cs="Arial" w:eastAsia="Arial" w:hAnsi="Arial"/>
          <w:sz w:val="16"/>
          <w:szCs w:val="16"/>
          <w:color w:val="auto"/>
        </w:rPr>
        <w:t>, age 54, has served as a director of Lazard Ltd and Lazard Group since March 2010. Mr. Parr is a Vice Chairman and a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Lazard, having previously served as Deputy Chairman of Lazard from April 2003 until November 2009. For over 25 years, he has focused on providing strategic advice to financial institutions worldwide. Prior to joining Lazard, Mr. Parr was with Morgan Stanley, serving in numerous capacities including Vice-Chairman of Institutional Securities and Investment Banking, Chairman and Head of the Global Financial Institutions Group and Co-Head of the Global Mergers and Acquisitions Department. Prior to joining Morgan Stanley, Mr. Parr was with a group from The First Boston Corporation that formed Wasserstein Perella &amp; Co., where he rose to become Co-President. Mr. Parr serves as the Chairman of the Board of Directors of the New York Philharmonic and the Parr Center for Ethics at the University of North Carolina. Mr. Parr was selected to be a director of the Company because of his extensive background, experience and knowledge of the financial services industry, his reputation among clients and Mr. Jacobs’ and the Board’s desire that Mr. Parr become a regular contributor to the Board’s deliberations.</w:t>
      </w:r>
    </w:p>
    <w:p>
      <w:pPr>
        <w:spacing w:after="0" w:line="10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Hal S. Scott</w:t>
      </w:r>
      <w:r>
        <w:rPr>
          <w:rFonts w:ascii="Arial" w:cs="Arial" w:eastAsia="Arial" w:hAnsi="Arial"/>
          <w:sz w:val="16"/>
          <w:szCs w:val="16"/>
          <w:color w:val="auto"/>
        </w:rPr>
        <w:t>, age 67, has served as a director of Lazard Ltd and Lazard Group since March 2006. Professor Scott is the Nomura Professor and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Program on International Financial Systems at Harvard Law School, where he has taught since 1975. Before joining Harvard he served as a Law Clerk for the Hon. Justice Byron R. White, U.S. Supreme Court, from 1973 to 1974, and as an Assistant Professor of Law, University of California at Berkeley from 1974 to 1975. Professor Scott has published numerous books and articles on finance, international trade and securities laws. He is the President of the Committee on Capital Markets Regulation, Inc. and a member of the Senior Advisory Board of Oliver Wyman. Professor Scott is a past President of the International Academy of Consumer and Commercial Law and a past Governor of the American Stock Exchange (2002-2005). Professor Scott is the chairman of the Nominating &amp; Governance Committee and a member of the Audit Committee of Lazard Ltd’s Board of Directors. Professor Scott was selected to be a director of the Company because of his impressive academic background and expertise in public policy and global financial market regulation as it affects the financial services industry.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Natixis</w:t>
      </w:r>
    </w:p>
    <w:p>
      <w:pPr>
        <w:spacing w:after="0" w:line="8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As of February 24, 2011, Natixis (the successor to IXIS Corporate &amp; Investment Bank) held 6,999,800 shares of Class A common stock of Lazard Ltd, of which 2,000,000 shares of Class A common stock of Lazard Ltd were acquired in our recapitalization transactions in May 2005 and 4,999,800 shares of Lazard Ltd were acquired in May 2008 upon the settlement of the purchase contracts related to $150 million of Lazard Ltd’s equity security units (which equity security units were also acquired in our recapitalization transactions in May 2005). In connection with this investment by Natixis in May 2005, we agreed that we will nominate one person designated by Natixis to our Board of Directors until such time as (1) the shares of common stock of Lazard Ltd then owned by Natixis, plus</w:t>
      </w:r>
    </w:p>
    <w:p>
      <w:pPr>
        <w:spacing w:after="0" w:line="2"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shares of common stock of Lazard Ltd issuable under the terms of any exchangeable securities issued by us then owned by Natixis, constitute less than</w:t>
      </w:r>
    </w:p>
    <w:p>
      <w:pPr>
        <w:spacing w:after="0" w:line="32"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50% of the sum of (a) the shares of common stock of Lazard Ltd initially purchased by Natixis, plus (b) the shares of common stock of Lazard Ltd issuable under the terms of any exchangeable securities issued by Lazard Ltd initially purchased by Natixis. Laurent Mignon is currently the Natixis nominee to our Board of Directors.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Since Lazard Ltd’s Class A common stock is listed on the New York Stock Exchange and Lazard Group is part of Lazard Ltd’s consolidated reporting group, Lazard Group is not required to have a separate audit committee. Lazard Ltd maintains an independent audit committee and the Board of Directors of Lazard Ltd has determined that Mr. Ronald J. Doerfler and Philip A. Laskawy have the requisite qualifications to satisfy the SEC definition of “audit committee financial expert”.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7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 xml:space="preserve">Lazard Ltd has adopted the Code of Business Conduct and Ethics that is applicable to all directors, managing directors, officers and employees of Lazard Ltd, Lazard Group and their subsidiaries and affiliates, as well as a Supplement to the Code of Business Conduct and Ethics for certain other senior officers, including Lazard Group’s chief executive officer, chief financial officer and principal accounting officer. Each of these codes are available on our website at </w:t>
      </w:r>
      <w:r>
        <w:rPr>
          <w:rFonts w:ascii="Arial" w:cs="Arial" w:eastAsia="Arial" w:hAnsi="Arial"/>
          <w:sz w:val="15"/>
          <w:szCs w:val="15"/>
          <w:i w:val="1"/>
          <w:iCs w:val="1"/>
          <w:color w:val="auto"/>
        </w:rPr>
        <w:t xml:space="preserve">http://www.lazard.com/Investorrelations/CodeandEthics.aspx </w:t>
      </w:r>
      <w:r>
        <w:rPr>
          <w:rFonts w:ascii="Arial" w:cs="Arial" w:eastAsia="Arial" w:hAnsi="Arial"/>
          <w:sz w:val="15"/>
          <w:szCs w:val="15"/>
          <w:color w:val="auto"/>
        </w:rPr>
        <w:t>and a copy has been filed as an exhibit to this Form 10-K. A printed copy of each of these</w:t>
      </w:r>
      <w:r>
        <w:rPr>
          <w:rFonts w:ascii="Arial" w:cs="Arial" w:eastAsia="Arial" w:hAnsi="Arial"/>
          <w:sz w:val="15"/>
          <w:szCs w:val="15"/>
          <w:i w:val="1"/>
          <w:iCs w:val="1"/>
          <w:color w:val="auto"/>
        </w:rPr>
        <w:t xml:space="preserve"> </w:t>
      </w:r>
      <w:r>
        <w:rPr>
          <w:rFonts w:ascii="Arial" w:cs="Arial" w:eastAsia="Arial" w:hAnsi="Arial"/>
          <w:sz w:val="15"/>
          <w:szCs w:val="15"/>
          <w:color w:val="auto"/>
        </w:rPr>
        <w:t>documents is available upon request. We intend to disclose amendments to, or waivers from, the Code of Business Conduct and Ethics, if any, on our website.</w:t>
      </w:r>
    </w:p>
    <w:p>
      <w:pPr>
        <w:spacing w:after="0" w:line="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Compensation Discussion and Analysis explains the material elements of the compensation of our named executive officers in 2010, who are set forth in the table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3520" w:type="dxa"/>
            <w:vAlign w:val="bottom"/>
          </w:tcPr>
          <w:p>
            <w:pPr>
              <w:spacing w:after="0"/>
              <w:rPr>
                <w:sz w:val="14"/>
                <w:szCs w:val="14"/>
                <w:color w:val="auto"/>
              </w:rPr>
            </w:pPr>
          </w:p>
        </w:tc>
      </w:tr>
      <w:tr>
        <w:trPr>
          <w:trHeight w:val="201"/>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Kenneth M. Jacobs</w:t>
            </w: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Chairman and Chief Executive Officer</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Michael J. Castellano</w:t>
            </w:r>
          </w:p>
        </w:tc>
        <w:tc>
          <w:tcPr>
            <w:tcW w:w="38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Ashish Bhutani</w:t>
            </w:r>
          </w:p>
        </w:tc>
        <w:tc>
          <w:tcPr>
            <w:tcW w:w="3800" w:type="dxa"/>
            <w:vAlign w:val="bottom"/>
            <w:gridSpan w:val="2"/>
          </w:tcPr>
          <w:p>
            <w:pPr>
              <w:spacing w:after="0"/>
              <w:rPr>
                <w:sz w:val="20"/>
                <w:szCs w:val="20"/>
                <w:color w:val="auto"/>
              </w:rPr>
            </w:pPr>
            <w:r>
              <w:rPr>
                <w:rFonts w:ascii="Arial" w:cs="Arial" w:eastAsia="Arial" w:hAnsi="Arial"/>
                <w:sz w:val="18"/>
                <w:szCs w:val="18"/>
                <w:color w:val="auto"/>
                <w:w w:val="89"/>
              </w:rPr>
              <w:t>Chief Executive Officer of Lazard Asset Management</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Scott D. Hoffman</w:t>
            </w:r>
          </w:p>
        </w:tc>
        <w:tc>
          <w:tcPr>
            <w:tcW w:w="3800" w:type="dxa"/>
            <w:vAlign w:val="bottom"/>
            <w:gridSpan w:val="2"/>
          </w:tcPr>
          <w:p>
            <w:pPr>
              <w:spacing w:after="0"/>
              <w:rPr>
                <w:sz w:val="20"/>
                <w:szCs w:val="20"/>
                <w:color w:val="auto"/>
              </w:rPr>
            </w:pPr>
            <w:r>
              <w:rPr>
                <w:rFonts w:ascii="Arial" w:cs="Arial" w:eastAsia="Arial" w:hAnsi="Arial"/>
                <w:sz w:val="18"/>
                <w:szCs w:val="18"/>
                <w:color w:val="auto"/>
              </w:rPr>
              <w:t>General Counsel</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Alexander F. Stern</w:t>
            </w:r>
          </w:p>
        </w:tc>
        <w:tc>
          <w:tcPr>
            <w:tcW w:w="380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365"/>
        </w:trPr>
        <w:tc>
          <w:tcPr>
            <w:tcW w:w="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800" w:type="dxa"/>
            <w:vAlign w:val="bottom"/>
            <w:gridSpan w:val="2"/>
          </w:tcPr>
          <w:p>
            <w:pPr>
              <w:ind w:left="2380"/>
              <w:spacing w:after="0"/>
              <w:rPr>
                <w:sz w:val="20"/>
                <w:szCs w:val="20"/>
                <w:color w:val="auto"/>
              </w:rPr>
            </w:pPr>
            <w:r>
              <w:rPr>
                <w:rFonts w:ascii="Arial" w:cs="Arial" w:eastAsia="Arial" w:hAnsi="Arial"/>
                <w:sz w:val="18"/>
                <w:szCs w:val="18"/>
                <w:color w:val="auto"/>
              </w:rPr>
              <w:t>132</w:t>
            </w:r>
          </w:p>
        </w:tc>
      </w:tr>
    </w:tbl>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u w:val="single" w:color="auto"/>
          <w:color w:val="auto"/>
        </w:rPr>
        <w:t>Compensation Practices and Corporate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our philosophy that pay should be tied to performance,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Lazard Ltd has implemented programs designed to better align the interests of our executive officers with Company performance and maximize shareholder value. Compensation practices that reflect our philosophy include:</w:t>
      </w:r>
    </w:p>
    <w:p>
      <w:pPr>
        <w:spacing w:after="0" w:line="46" w:lineRule="exact"/>
        <w:rPr>
          <w:sz w:val="20"/>
          <w:szCs w:val="20"/>
          <w:color w:val="auto"/>
        </w:rPr>
      </w:pPr>
    </w:p>
    <w:p>
      <w:pPr>
        <w:ind w:left="780" w:right="420" w:hanging="326"/>
        <w:spacing w:after="0" w:line="259"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Linking cash compensation to performance. </w:t>
      </w:r>
      <w:r>
        <w:rPr>
          <w:rFonts w:ascii="Arial" w:cs="Arial" w:eastAsia="Arial" w:hAnsi="Arial"/>
          <w:sz w:val="18"/>
          <w:szCs w:val="18"/>
          <w:color w:val="auto"/>
        </w:rPr>
        <w:t>The majority of cash compensation opportunity is based on Company and individual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the cash compensation paid to our named executive officers as a group has fluctuated from year to year, reflecting the Company’s financial results.</w:t>
      </w:r>
    </w:p>
    <w:p>
      <w:pPr>
        <w:spacing w:after="0" w:line="45" w:lineRule="exact"/>
        <w:rPr>
          <w:rFonts w:ascii="Arial" w:cs="Arial" w:eastAsia="Arial" w:hAnsi="Arial"/>
          <w:sz w:val="18"/>
          <w:szCs w:val="18"/>
          <w:color w:val="auto"/>
        </w:rPr>
      </w:pPr>
    </w:p>
    <w:p>
      <w:pPr>
        <w:ind w:left="780" w:hanging="326"/>
        <w:spacing w:after="0" w:line="314" w:lineRule="auto"/>
        <w:tabs>
          <w:tab w:leader="none" w:pos="780"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 xml:space="preserve">Developing new compensation instruments to promote better performance. </w:t>
      </w:r>
      <w:r>
        <w:rPr>
          <w:rFonts w:ascii="Arial" w:cs="Arial" w:eastAsia="Arial" w:hAnsi="Arial"/>
          <w:sz w:val="15"/>
          <w:szCs w:val="15"/>
          <w:color w:val="auto"/>
        </w:rPr>
        <w:t>In February 2011, the Compensation Committee of Lazard Ltd granted</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interests in certain Lazard investment funds (“Lazard Fund Interests”), a new form of performance award for employees in Lazard’s asset management division. Pursuant to terms of these awards, a portion of a participant’s incentive compensation is invested in funds managed by either LAM or Lazard Frères Gestion SAS (“LFG”). The Lazard Fund Interests are designed to align the performance and compensation of asset management employees, including Mr. Bhutani, by directly tying their compensation to the unit of the business with which they are most directly involved. The stronger performance of these funds, benefits not only our Asset Management clients but also Lazard Ltd’s shareholders and employees.</w:t>
      </w:r>
    </w:p>
    <w:p>
      <w:pPr>
        <w:spacing w:after="0" w:line="10" w:lineRule="exact"/>
        <w:rPr>
          <w:rFonts w:ascii="Arial" w:cs="Arial" w:eastAsia="Arial" w:hAnsi="Arial"/>
          <w:sz w:val="15"/>
          <w:szCs w:val="15"/>
          <w:color w:val="auto"/>
        </w:rPr>
      </w:pPr>
    </w:p>
    <w:p>
      <w:pPr>
        <w:ind w:left="780" w:right="20" w:hanging="326"/>
        <w:spacing w:after="0" w:line="318" w:lineRule="auto"/>
        <w:tabs>
          <w:tab w:leader="none" w:pos="780"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 xml:space="preserve">Granting equity and other long-term incentive compensation with multi-year vesting horizons. </w:t>
      </w:r>
      <w:r>
        <w:rPr>
          <w:rFonts w:ascii="Arial" w:cs="Arial" w:eastAsia="Arial" w:hAnsi="Arial"/>
          <w:sz w:val="15"/>
          <w:szCs w:val="15"/>
          <w:color w:val="auto"/>
        </w:rPr>
        <w:t>The restricted stock units (“RSUs”) and Lazard Fund</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Interests awarded to our executive officers in 2011 generally vest approximately two or three years after the date of grant, subject to the executive’s continued service with the Company. This aligns the interests of our executive officers and Lazard Ltd’s shareholders, as the value that each individual realizes upon vesting depends on the future value of Lazard Ltd’s Class A common stock or the value of the Lazard investment fund, as the case may be. It also helps to retain our executive officers, giving Lazard Ltd’s shareholders the stability of highly productive, experienced management.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general pay for performance philosophy has contributed to our Company’s strong performance:</w:t>
      </w:r>
    </w:p>
    <w:p>
      <w:pPr>
        <w:spacing w:after="0" w:line="77" w:lineRule="exact"/>
        <w:rPr>
          <w:sz w:val="20"/>
          <w:szCs w:val="20"/>
          <w:color w:val="auto"/>
        </w:rPr>
      </w:pPr>
    </w:p>
    <w:p>
      <w:pPr>
        <w:ind w:left="780" w:right="36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Increasing net income. </w:t>
      </w:r>
      <w:r>
        <w:rPr>
          <w:rFonts w:ascii="Arial" w:cs="Arial" w:eastAsia="Arial" w:hAnsi="Arial"/>
          <w:sz w:val="18"/>
          <w:szCs w:val="18"/>
          <w:color w:val="auto"/>
        </w:rPr>
        <w:t>Annual net income on a fully exchanged basis increased to $281.1 million for 2010, compared to $11.1 million for 2009,</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special charges in the first quarter of each year and the fourth quarter of 2009.</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Increasing Financial Advisory operating revenue. </w:t>
      </w:r>
      <w:r>
        <w:rPr>
          <w:rFonts w:ascii="Arial" w:cs="Arial" w:eastAsia="Arial" w:hAnsi="Arial"/>
          <w:sz w:val="18"/>
          <w:szCs w:val="18"/>
          <w:color w:val="auto"/>
        </w:rPr>
        <w:t>Financial Advisory operating revenue increased 13% to $1.12 billion for 2010,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$990.4 million for 2009.</w:t>
      </w:r>
    </w:p>
    <w:p>
      <w:pPr>
        <w:spacing w:after="0" w:line="37"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Increasing M&amp;A and Strategic Advisory operating revenue. </w:t>
      </w:r>
      <w:r>
        <w:rPr>
          <w:rFonts w:ascii="Arial" w:cs="Arial" w:eastAsia="Arial" w:hAnsi="Arial"/>
          <w:sz w:val="18"/>
          <w:szCs w:val="18"/>
          <w:color w:val="auto"/>
        </w:rPr>
        <w:t>M&amp;A and Strategic Advisory operating revenue increased 36% to $714.1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2010, compared to $526.2 million for 2009.</w:t>
      </w:r>
    </w:p>
    <w:p>
      <w:pPr>
        <w:spacing w:after="0" w:line="37" w:lineRule="exact"/>
        <w:rPr>
          <w:rFonts w:ascii="Arial" w:cs="Arial" w:eastAsia="Arial" w:hAnsi="Arial"/>
          <w:sz w:val="18"/>
          <w:szCs w:val="18"/>
          <w:color w:val="auto"/>
        </w:rPr>
      </w:pPr>
    </w:p>
    <w:p>
      <w:pPr>
        <w:ind w:left="780" w:right="66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Increasing Asset Management operating revenue. </w:t>
      </w:r>
      <w:r>
        <w:rPr>
          <w:rFonts w:ascii="Arial" w:cs="Arial" w:eastAsia="Arial" w:hAnsi="Arial"/>
          <w:sz w:val="18"/>
          <w:szCs w:val="18"/>
          <w:color w:val="auto"/>
        </w:rPr>
        <w:t>Asset Management operating revenue increased 40% for 2010 to a record $834.7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$596.0 million for 2009.</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u w:val="single" w:color="auto"/>
          <w:color w:val="auto"/>
        </w:rPr>
        <w:t>Compensation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To ensure that our executive compensation programs conform to our pay for performance philosophy, we follow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procedures:</w:t>
      </w:r>
    </w:p>
    <w:p>
      <w:pPr>
        <w:spacing w:after="0" w:line="37" w:lineRule="exact"/>
        <w:rPr>
          <w:sz w:val="20"/>
          <w:szCs w:val="20"/>
          <w:color w:val="auto"/>
        </w:rPr>
      </w:pPr>
    </w:p>
    <w:p>
      <w:pPr>
        <w:ind w:left="78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Maintaining an independent compensation committee. </w:t>
      </w:r>
      <w:r>
        <w:rPr>
          <w:rFonts w:ascii="Arial" w:cs="Arial" w:eastAsia="Arial" w:hAnsi="Arial"/>
          <w:sz w:val="18"/>
          <w:szCs w:val="18"/>
          <w:color w:val="auto"/>
        </w:rPr>
        <w:t>The Compensation Committee of Lazard Ltd is comprised solely of independent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is responsible for approving the compensation of each named executive officer.</w:t>
      </w:r>
    </w:p>
    <w:p>
      <w:pPr>
        <w:spacing w:after="0" w:line="37" w:lineRule="exact"/>
        <w:rPr>
          <w:rFonts w:ascii="Arial" w:cs="Arial" w:eastAsia="Arial" w:hAnsi="Arial"/>
          <w:sz w:val="18"/>
          <w:szCs w:val="18"/>
          <w:color w:val="auto"/>
        </w:rPr>
      </w:pPr>
    </w:p>
    <w:p>
      <w:pPr>
        <w:ind w:left="780" w:right="360" w:hanging="326"/>
        <w:spacing w:after="0" w:line="298" w:lineRule="auto"/>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Engaging an independent compensation consultant. </w:t>
      </w:r>
      <w:r>
        <w:rPr>
          <w:rFonts w:ascii="Arial" w:cs="Arial" w:eastAsia="Arial" w:hAnsi="Arial"/>
          <w:sz w:val="16"/>
          <w:szCs w:val="16"/>
          <w:color w:val="auto"/>
        </w:rPr>
        <w:t>The Compensation Committee of Lazard Ltd directly and independently engaged the Hay</w:t>
      </w:r>
      <w:r>
        <w:rPr>
          <w:rFonts w:ascii="Arial" w:cs="Arial" w:eastAsia="Arial" w:hAnsi="Arial"/>
          <w:sz w:val="16"/>
          <w:szCs w:val="16"/>
          <w:i w:val="1"/>
          <w:iCs w:val="1"/>
          <w:color w:val="auto"/>
        </w:rPr>
        <w:t xml:space="preserve"> </w:t>
      </w:r>
      <w:r>
        <w:rPr>
          <w:rFonts w:ascii="Arial" w:cs="Arial" w:eastAsia="Arial" w:hAnsi="Arial"/>
          <w:sz w:val="16"/>
          <w:szCs w:val="16"/>
          <w:color w:val="auto"/>
        </w:rPr>
        <w:t>Group, Inc., a global independent compensation consulting firm, to assist it with benchmarking and compensation analyses. At this time, the Hay Group, Inc. performs no work for Lazard other than advising the Compensation Committee of Lazard Ltd with respect to executive compensation matters and the Nominating &amp; Governance Committee of Lazard Ltd on director compensation.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as a consequence of our prudent compensation governance procedures:</w:t>
      </w:r>
    </w:p>
    <w:p>
      <w:pPr>
        <w:spacing w:after="0" w:line="77" w:lineRule="exact"/>
        <w:rPr>
          <w:sz w:val="20"/>
          <w:szCs w:val="20"/>
          <w:color w:val="auto"/>
        </w:rPr>
      </w:pPr>
    </w:p>
    <w:p>
      <w:pPr>
        <w:ind w:left="780" w:hanging="326"/>
        <w:spacing w:after="0" w:line="298"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paid to the named executive officers has been reasonable relative to our comparator group. </w:t>
      </w:r>
      <w:r>
        <w:rPr>
          <w:rFonts w:ascii="Arial" w:cs="Arial" w:eastAsia="Arial" w:hAnsi="Arial"/>
          <w:sz w:val="16"/>
          <w:szCs w:val="16"/>
          <w:color w:val="auto"/>
        </w:rPr>
        <w:t>According to an analysis conducted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Hay Group, Inc. in January 2011, our recent aggregate total direct compensation (calculated with respect to 2010 base salary and actual cash bonuses and RSUs awarded for 2009) paid to the named executive officers was at a level within the range of the comparator group of similar investment firms that the Compensation Committee of Lazard Ltd determined to be sufficiently competitive for 2010.</w:t>
      </w:r>
    </w:p>
    <w:p>
      <w:pPr>
        <w:spacing w:after="0" w:line="18" w:lineRule="exact"/>
        <w:rPr>
          <w:rFonts w:ascii="Arial" w:cs="Arial" w:eastAsia="Arial" w:hAnsi="Arial"/>
          <w:sz w:val="16"/>
          <w:szCs w:val="16"/>
          <w:color w:val="auto"/>
        </w:rPr>
      </w:pPr>
    </w:p>
    <w:p>
      <w:pPr>
        <w:jc w:val="both"/>
        <w:ind w:left="780" w:right="180" w:hanging="326"/>
        <w:spacing w:after="0" w:line="25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Lazard Ltd’s compensation ratio declined in 2010. </w:t>
      </w:r>
      <w:r>
        <w:rPr>
          <w:rFonts w:ascii="Arial" w:cs="Arial" w:eastAsia="Arial" w:hAnsi="Arial"/>
          <w:sz w:val="18"/>
          <w:szCs w:val="18"/>
          <w:color w:val="auto"/>
        </w:rPr>
        <w:t>In 2010, the ratio of Lazard Ltd’s total compensation and benefits expense to operating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special charges) (the “compensation ratio”) was 59.1%. This is a significant reduction from the compensation ratio of 71.8% in 2009, and partially reflects increased operating revenue and the execution of our previously announced goals to grow annual compensation expense at a slower rate than operating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 and Objectives of Our Compensation Programs</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5"/>
          <w:szCs w:val="15"/>
          <w:i w:val="1"/>
          <w:iCs w:val="1"/>
          <w:u w:val="single" w:color="auto"/>
          <w:color w:val="auto"/>
        </w:rPr>
        <w:t>General</w:t>
      </w:r>
      <w:r>
        <w:rPr>
          <w:rFonts w:ascii="Arial" w:cs="Arial" w:eastAsia="Arial" w:hAnsi="Arial"/>
          <w:sz w:val="15"/>
          <w:szCs w:val="15"/>
          <w:color w:val="auto"/>
        </w:rPr>
        <w:t>. Our compensation programs are designed to attract, retain and motivate executives and professionals of the highest quality and effectiveness.</w:t>
      </w:r>
      <w:r>
        <w:rPr>
          <w:rFonts w:ascii="Arial" w:cs="Arial" w:eastAsia="Arial" w:hAnsi="Arial"/>
          <w:sz w:val="15"/>
          <w:szCs w:val="15"/>
          <w:i w:val="1"/>
          <w:iCs w:val="1"/>
          <w:color w:val="auto"/>
        </w:rPr>
        <w:t xml:space="preserve"> </w:t>
      </w:r>
      <w:r>
        <w:rPr>
          <w:rFonts w:ascii="Arial" w:cs="Arial" w:eastAsia="Arial" w:hAnsi="Arial"/>
          <w:sz w:val="15"/>
          <w:szCs w:val="15"/>
          <w:color w:val="auto"/>
        </w:rPr>
        <w:t>These compensation programs focus on rewarding the types of performance that increase shareholder value, including growing revenue, retaining clients, developing new client relationships, improving operational efficiency and managing risks. A substantial portion of each executive’s total compensation is intended to be variable and delivered on a pay-for-performance basis. The programs provide compensation opportunities, contingent upon performance, that are competitive with practices of other similar financial services organizations. We currently target annual operating revenue and earnings as our key performance metrics. In allocating compensation to our executive officers, managing directors and other senior professionals, the primary emphasis, in addition to Company performance, is on each individual’s contribution to the Company, business unit performance and compensation recommendations of the individuals to whom participants report. The Compensation Committee of Lazard Ltd monitors the effectiveness of our compensation programs throughout the year and performs an annual reassessment of the programs in January of each year in connection with year-end compensation decisions. The Compensation Committee of Lazard Ltd directly and independently engaged the Hay Group, Inc., a global independent compensation consulting firm, to assist it with benchmarking and compensation analyses. At this time, the Hay Group, Inc. performs no work for the Company or Lazard Ltd other than advising the Compensation Committee of Lazard Ltd with respect to executive compensation matters and the Nominating &amp; Governance Committee on director compensation of Lazard Ltd.</w:t>
      </w:r>
    </w:p>
    <w:p>
      <w:pPr>
        <w:spacing w:after="0" w:line="103"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i w:val="1"/>
          <w:iCs w:val="1"/>
          <w:u w:val="single" w:color="auto"/>
          <w:color w:val="auto"/>
        </w:rPr>
        <w:t>Competitive Compensation Considerations</w:t>
      </w:r>
      <w:r>
        <w:rPr>
          <w:rFonts w:ascii="Arial" w:cs="Arial" w:eastAsia="Arial" w:hAnsi="Arial"/>
          <w:sz w:val="16"/>
          <w:szCs w:val="16"/>
          <w:color w:val="auto"/>
        </w:rPr>
        <w:t>. Because the competition to attract and retain high performing executives and professionals in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industry is intense, the amount and composition of total compensation paid to our executives must be considered in light of competitive compensation levels. In this regard, for our named executive officers, the Compensation Committee of Lazard Ltd used as a benchmark a survey prepared by the Hay Group, Inc., with input from management, regarding compensation levels in 2009 and, to the extent available, 2010, for comparable positions at the following financial services firms: Affiliated Managers Group Inc, Black Rock, Inc., Blackstone Group LP, Eaton Vance Corp., Evercore Partners Inc., Goldman Sachs Group, Inc., Greenhill &amp; Co., Inc., Invesco Ltd, Jefferies Group, Inc., Legg Mason, Inc., and Morgan Stanley. While some of the companies listed above are larger than the Company, we chose this comparator group because we compete in the same marketplace with these companies for highly qualified and talented financial service professionals. While the Compensation Committee of Lazard Ltd considers the level of compensation paid by the firms in the Company’s comparator group, in order to maintain competiveness and flexibility, the Compensation Committee of Lazard Ltd does not target compensation at a particular level relative to the comparator group.</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Our Compensation Programs</w:t>
      </w:r>
    </w:p>
    <w:p>
      <w:pPr>
        <w:spacing w:after="0" w:line="83" w:lineRule="exact"/>
        <w:rPr>
          <w:sz w:val="20"/>
          <w:szCs w:val="20"/>
          <w:color w:val="auto"/>
        </w:rPr>
      </w:pPr>
    </w:p>
    <w:p>
      <w:pPr>
        <w:ind w:right="280" w:firstLine="456"/>
        <w:spacing w:after="0" w:line="302" w:lineRule="auto"/>
        <w:rPr>
          <w:sz w:val="20"/>
          <w:szCs w:val="20"/>
          <w:color w:val="auto"/>
        </w:rPr>
      </w:pPr>
      <w:r>
        <w:rPr>
          <w:rFonts w:ascii="Arial" w:cs="Arial" w:eastAsia="Arial" w:hAnsi="Arial"/>
          <w:sz w:val="15"/>
          <w:szCs w:val="15"/>
          <w:color w:val="auto"/>
        </w:rPr>
        <w:t>Compensation for each of our executive officers, managing directors and other senior professionals is viewed on a total compensation basis and then subdivided into two primary categories—base salary and incentive compensation. The Compensation Committee of Lazard Ltd reviews performance data by business line and by individual, in addition to competitive data. Determinations are made based on the totality of all the data, and made on an individual basis. With the exception of the 2008 compensation cycle, our annual incentive compensation awards since Lazard Ltd’s equity public offering in 2005 up until the</w:t>
      </w:r>
    </w:p>
    <w:p>
      <w:pPr>
        <w:spacing w:after="0" w:line="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2010 compensation cycle have had two components: a cash bonus and an equity-based award. In addition to the forms of annual incentive compensation we have used in the past, for the 2010 compensation cycle, we added a new form of long-term incentive compensation for employees in our Asset Management segment, including Mr. Bhutani, which we refer to as Lazard Fund Interests. Lazard Fund Interests are actual or notional interests in various funds managed by either LAM or LFG that are granted to employees subject to the same vesting conditions as RSUs and are discussed in more detail below. Decisions with regard to incentive compensation are generally made in January of each year and are based on Company and individual performance in the prior fiscal year. The Compensation Committee of Lazard Ltd determines and approves the total compensation package (salary and incentive compensation award) to be paid to our Chief Executive Officer, Mr. Jacobs. Mr. Jacobs, in turn, makes recommendations to the Compensation Committee of Lazard Ltd as to the total compensation package to be paid to the other executive officers, which are then subject to the review and approval of the Compensation Committee of Lazard Ltd. Mr. Jacobs does not participate in sessions of the Compensation Committee of Lazard Ltd at which his own compensation is discussed; however, he does participate in meetings at which the compensation of the other executive officers is discussed. Before any year-end compensation decisions are made, the Compensation Committee of Lazard Ltd reviews a comprehensive tally sheet of all elements of each executive officer’s compensation. The tally sheets include information on cash and non-cash compensation for the past three fiscal years (including current and prior year base salaries, annual bonuses, RSUs and, with respect to 2008, deferred cash awards), the value of benefits and other perquisites paid to our executive officers, the value of unrealized gains/losses on prior equity-based awards and any LAZ-MD Holdings exchangeable interests held by our executive officers, as well as potential amounts to be delivered under all post-employment scenarios. The tally sheets are used to ensure that each member of the Compensation Committee of Lazard Ltd has a complete picture of the compensation and benefits paid to, and equity holdings of, each of our executive officers and is just one of the tools used by the Compensation Committee of Lazard Ltd in making year-end compensation decisions.</w:t>
      </w:r>
    </w:p>
    <w:p>
      <w:pPr>
        <w:spacing w:after="0" w:line="11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Base salaries are intended to reflect the experience, skill and knowledge of our executive officers, managing directors and other senior professionals in their particular roles and responsibilities, while retaining the flexibility to appropriately compensate for fluctuations in performance, both of the Company and the individual. Base salaries for our executive officers and any subsequent adjustments thereto are reviewed and approved by the Compensation Committee of Lazard Ltd annually, based on a review of relevant market data and each executive’s performance for the prior year, as well as each executive’s experience, expertise and position. During 2010, each of our named executive officers was a party to a retention agreement with the Company that provides for a minimum annual base salary during the term of those agreements. See “Retention Agreements with Named Executive Officers.”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u w:val="single" w:color="auto"/>
          <w:color w:val="auto"/>
        </w:rPr>
        <w:t>Incentive Compensation</w:t>
      </w:r>
      <w:r>
        <w:rPr>
          <w:rFonts w:ascii="Arial" w:cs="Arial" w:eastAsia="Arial" w:hAnsi="Arial"/>
          <w:sz w:val="18"/>
          <w:szCs w:val="18"/>
          <w:color w:val="auto"/>
        </w:rPr>
        <w:t>. Incentive compensation is a key component of our executive compensation strategy. Incentive compensation payouts can be</w:t>
      </w:r>
      <w:r>
        <w:rPr>
          <w:rFonts w:ascii="Arial" w:cs="Arial" w:eastAsia="Arial" w:hAnsi="Arial"/>
          <w:sz w:val="18"/>
          <w:szCs w:val="18"/>
          <w:i w:val="1"/>
          <w:iCs w:val="1"/>
          <w:color w:val="auto"/>
        </w:rPr>
        <w:t xml:space="preserve"> </w:t>
      </w:r>
      <w:r>
        <w:rPr>
          <w:rFonts w:ascii="Arial" w:cs="Arial" w:eastAsia="Arial" w:hAnsi="Arial"/>
          <w:sz w:val="18"/>
          <w:szCs w:val="18"/>
          <w:color w:val="auto"/>
        </w:rPr>
        <w:t>highly variable from year to year and are generally based on our operating revenue and earnings in the immediately preceding fiscal year, as well as each individual’s contribution to revenue and to the Company’s development, including business unit performance. In addition, careful attention is paid to competitive compensation practices in the financial services industry.</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of each year a determination is made as to the total amount of incentive compensation to be awarded to our managing directors and senior professionals, including our executive officers, based on Company and individual performance in the prior fiscal year. An allocation is then made between cash and equity-based awards. In addition, for the 2010 compensation cycle, we created a new form of performance-based compensation for employees of our Asset Management segment, which we refer to as Lazard Fund Interest awards and is described in more detail below. In January 2011, we applied a progressive formula based on total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compensation for all of our managing directors and senior professionals, including the executive officers. Pursuant to this formula, as a participant’s total compensation (salary, cash bonus, equity-based awards and Lazard Fund Interest awards) increases, a greater percentage of his or her total compensation is composed of a long-term incentive awards (i.e., equity-based awards and/or Lazard Fund Interest awards). This formula is based on a sliding scale that effectively begins at 6% for some of our vice presidents and directors and generally reaches 50% for our highest paid managing directors (other than Mr. Jacobs) and is in line with our philosophy of focusing stock grant and Lazard Fund Interest awards at the more senior levels, where our most senior employees, through their greater responsibilities and authority, have more opportunity to influence the stock price and, in the case of employees in our Asset Management segment, performance of Lazard managed funds. The remainder of an individual’s total incentive compensation award is payable in cash.</w:t>
      </w:r>
    </w:p>
    <w:p>
      <w:pPr>
        <w:spacing w:after="0" w:line="10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For the 2010 compensation cycle, equity-based compensation was awarded to our executive officers, other than Mr. Castellano (who is retiring on March 31, 2011), in the form of RSUs granted under the 2008 Incentive Compensation Plan. An RSU is a contractual right to receive a share of Class A common stock of Lazard Ltd upon vesting of the RSU. The RSUs granted to our executive officers in 2011 (which relate to 2010 performance) vest approximately two or three years after the date of grant, subject to the executive’s continued service with the Company. Mr. Castellano, because he is retirement eligible and any RSUs granted to him would vest pursuant to the Company’s RSU Retirement Policy, received a restricted stock award in lieu of an RSU award for the 2010 compensation cycle. See “Grant of Plan-Based Awards” for a discussion of the terms of the RSUs and restricted stock awards and see below for a discussion of the terms of the RSU Retirement Policy.</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purpose of the RSU awards is to maximize shareholder value by aligning the long-term interests of our senior executives, and other employees, with those of Lazard Ltd’s shareholders. Because the amount an individual realizes upon the vesting of his or her RSUs directly depends on the value of Class A common stock of Lazard Ltd at that time, each individual who receives an RSU becomes, economically, a long-term shareholder of Lazard Ltd, with the same interests as other shareholders of Lazard Ltd. The number of RSUs granted to the named executive officers in 2011 as part of the 2010 compensation cycle was based on the average closing price of our stock price on the NYSE on the five trading days prior to the grant date. RSUs also serve as an important retention mechanism by subjecting a significant portion of each recipient’s compensation to forfeiture if he or she leaves the firm prior to the vesting date. Our executive officers each own considerable interests in Lazard Ltd through previous grants of RSUs and, with respect to Messrs. Jacobs and Hoffman, through their holdings of LAZ-MD Holdings exchangeable interests. As a result, we believe our executive officers have a demonstrable and significant interest in increasing shareholder value over the long term.</w:t>
      </w:r>
    </w:p>
    <w:p>
      <w:pPr>
        <w:spacing w:after="0" w:line="10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RSU awards are typically made in early February following Lazard Ltd’s year-end earnings release. This year, RSUs were granted to each of our named executive officers on February 10, 2011, approximately one week after Lazard Ltd’s public announcement of year-end earnings. The number of RSUs granted in 2011 (which relate to 2010 performance) was determined by dividing the dollar amount allocated to be granted to the executive officer as an equity-based award by the average closing price of Class A common stock of Lazard Ltd on the NYSE on the five trading days prior to February 10, 2011 ($45.06). The RSUs granted on February 10, 2011 will generally vest 33% on March 1, 2013 and 67% on March 3, 2014.</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exchange for their RSU awards, our named executive officers agreed to restrictions on their ability to compete with the Company or to solicit our clients and employees, which protects the Company’s intellectual and human capital. Year-end incentive compensation awards are based on Company and individual performance during the prior fiscal year, and an executive officer’s total equity interest in the Company is not factored into the decision-making process of the Compensation Committee of Lazard Ltd concerning future equity-based awards.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January 2010, the Company amended its retirement policy with respect to RSU awards in order to align its compensation practices with those of its peers. Pursuant to the Company’s RSU Retirement Policy, outstanding and unvested RSUs will vest (and in the case of K-1 partners, be settled in restricted stock) as long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90" w:lineRule="auto"/>
        <w:tabs>
          <w:tab w:leader="none" w:pos="21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RSU holder is at least 56 years old, (ii) the RSU holder has completed at least five years of service with the Company and (iii) the sum of the RSU holder’s actual age and years of service is at least 70. However, following retirement, the restricted stock granted to the former RSU holders remain subject to all restrictive covenants, including continued compliance with non-compete, non-solicit and other provisions contained in the original RSU award agreement through the original vesting date of the RSUs. Any dividends payable with respect to the restricted stock are held in escrow until the forfeiture provisions lapse. A recipient of restricted stock is required to make an election under Section 83(b) of the Internal Revenue Code, which subjects him or her to taxation on such restricted stock on the date of grant. With the consent of the compliance department of the Company, a recipient may dispose of up to 50% of the restricted stock granted to him or her in order to pay taxes.</w:t>
      </w:r>
    </w:p>
    <w:p>
      <w:pPr>
        <w:spacing w:after="0" w:line="105"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February 2011, in order to more closely align the compensation and performance of our employees in the Asset Management segment with the interests of our clients, the Company adopted a new form of award, a Lazard Fund Interest award. The Lazard Fund Interests represent an actual or notional interest in certain investment funds managed by either LAM or LFG and, accordingly, should enable eligible employees in the Asset Management segment to directly benefit from the performance of such funds. In addition to RSUs, eligible employees are awarded a dollar value, which is invested (or deemed invested) in specified investment funds as directed by the employees and held in a restricted brokerage account for the benefit of the employee. Lazard Fund Interest award agreements generally contain the same vesting, change-in-control, restrictive covenant and forfeiture provisions as the RSU award agreements. In general, these agreements provide that non-vested Lazard Fund Interests are forfeited on termination of employment, except in limited cases such as death, disability, a termination by the Company other than for “cause” or a qualifying retirement pursuant to the Company’s RSU Retirement Policy (as described above). In the event that the investment funds in which the Lazard Fund Interests are invested distribute earnings, such earnings are automatically re-invested in additional Lazard Fund Interests. These distributions will have the same restrictions as the underlying Lazard Fund Interests to which they relate.</w:t>
      </w:r>
    </w:p>
    <w:p>
      <w:pPr>
        <w:spacing w:after="0" w:line="10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year, Mr. Bhutani, as the Chief Executive Officer of LAM, was the only named executive officer to receive a Lazard Fund Interest award. This program may be extended to other employees who are not a part of our Asset Management segment, including our other executive officers, in the future. The Lazard Fund Interests granted to Mr. Bhutani on February 10, 2011 (which relate to 2010 performance) will vest 33% on March 1, 2013 and 67% on March 3, 2014. With respect to the other named executive officers, the Compensation Committee of Lazard Ltd determined that their duties were more likely to impact the entire business of the Company and, accordingly, their long-term incentive compensation should continue to be paid in the form of RSUs.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2010 Performance on Compensation</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setting compensation levels for our employees for 2010, we primarily considered annual operating revenue, earnings and competitive conditions in the financial services industry. Our results continued to improve in 2010 compared to 2009 and sequentially throughout the year due to the global breadth and depth of our Financial Advisory and Asset Management businesses. Due to the uneven economic recovery worldwide, we are well aware of our need to continue to attract, retain and motivate executives and professionals of the highest quality and effectiveness. Part of our business strategy is to recruit and retain proven senior professionals who have strong client relationships and industry expertise. Because of the value they bring to the Company, these individuals command high levels of compensation. For 2010, based on management’s recommendation and in light of Lazard Ltd’s annual operating revenue of $1.98 billion, the Compensation Committee of Lazard Ltd determined that the “compensation ratio” for Lazard Ltd should be set at 59.1%, in order to meet our compensation and retention objectives and to be responsive to the shareholders of Lazard Ltd. This is a significant reduction from the compensation ratio for 2009 of 71.8% for Lazard Ltd, which reflects increased operating revenue and the execution of our previously announced goals to grow annual compensation expense at a slower rate than operating revenues. The Compensation Committee of Lazard Ltd concluded that this ratio of total compensation and benefits expense to annual operating revenue was appropriate for us in light of its discussions with our executive officers, current economic and competitive conditions in the marketplace, information provided by the Hay Group, Inc. and our financial performance in 2010.</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Each of Our Named Executive Officers in 2010</w:t>
      </w:r>
    </w:p>
    <w:p>
      <w:pPr>
        <w:spacing w:after="0" w:line="83" w:lineRule="exact"/>
        <w:rPr>
          <w:sz w:val="20"/>
          <w:szCs w:val="20"/>
          <w:color w:val="auto"/>
        </w:rPr>
      </w:pPr>
    </w:p>
    <w:p>
      <w:pPr>
        <w:ind w:left="460"/>
        <w:spacing w:after="0"/>
        <w:tabs>
          <w:tab w:leader="none" w:pos="2020" w:val="left"/>
        </w:tabs>
        <w:rPr>
          <w:sz w:val="20"/>
          <w:szCs w:val="20"/>
          <w:color w:val="auto"/>
        </w:rPr>
      </w:pPr>
      <w:r>
        <w:rPr>
          <w:rFonts w:ascii="Arial" w:cs="Arial" w:eastAsia="Arial" w:hAnsi="Arial"/>
          <w:sz w:val="18"/>
          <w:szCs w:val="18"/>
          <w:i w:val="1"/>
          <w:iCs w:val="1"/>
          <w:u w:val="single" w:color="auto"/>
          <w:color w:val="auto"/>
        </w:rPr>
        <w:t>2010 Base Salaries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We have retention agreements with Messrs. Jacobs, Castellano, Bhutani, Hoffman and Stern that establish their respective minimum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annual base salaries. These amounts were negotiated and were meant to ensure that the Company would have the services of each of these executive officers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during the term of their respective agreements. </w:t>
      </w:r>
      <w:r>
        <w:rPr>
          <w:rFonts w:ascii="Arial" w:cs="Arial" w:eastAsia="Arial" w:hAnsi="Arial"/>
          <w:sz w:val="16"/>
          <w:szCs w:val="16"/>
          <w:i w:val="1"/>
          <w:iCs w:val="1"/>
          <w:color w:val="auto"/>
        </w:rPr>
        <w:t>See</w:t>
      </w:r>
      <w:r>
        <w:rPr>
          <w:rFonts w:ascii="Arial" w:cs="Arial" w:eastAsia="Arial" w:hAnsi="Arial"/>
          <w:sz w:val="16"/>
          <w:szCs w:val="16"/>
          <w:color w:val="auto"/>
        </w:rPr>
        <w:t xml:space="preserve"> “Retention Agreements with Named Executive Officers</w:t>
      </w:r>
      <w:r>
        <w:rPr>
          <w:rFonts w:ascii="Arial" w:cs="Arial" w:eastAsia="Arial" w:hAnsi="Arial"/>
          <w:sz w:val="16"/>
          <w:szCs w:val="16"/>
          <w:i w:val="1"/>
          <w:iCs w:val="1"/>
          <w:color w:val="auto"/>
        </w:rPr>
        <w:t>.</w:t>
      </w:r>
      <w:r>
        <w:rPr>
          <w:rFonts w:ascii="Arial" w:cs="Arial" w:eastAsia="Arial" w:hAnsi="Arial"/>
          <w:sz w:val="16"/>
          <w:szCs w:val="16"/>
          <w:color w:val="auto"/>
        </w:rPr>
        <w:t>” Mr. Bhutani received a base salary of $750,000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which was determined based on his experience, level of responsibility and the salaries for comparable positions at our core competitors. The base salaries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in 2010 to each of Messrs. Jacobs, Castellano, and Stern was the minimum required under each of their retention agreements: $900,000 to Mr. Jacobs;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$500,000 to Mr. Castellano; and $750,000 to Mr. Stern. Mr. Hoffman’s annual base salary was increased to $750,000 effective as of January 1, 2010 as part of last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year’s compensation review process.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2010 Incentive Compensation.</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u w:val="single" w:color="auto"/>
          <w:color w:val="auto"/>
        </w:rPr>
        <w:t>Mr. Jacobs</w:t>
      </w:r>
      <w:r>
        <w:rPr>
          <w:rFonts w:ascii="Arial" w:cs="Arial" w:eastAsia="Arial" w:hAnsi="Arial"/>
          <w:sz w:val="16"/>
          <w:szCs w:val="16"/>
          <w:color w:val="auto"/>
        </w:rPr>
        <w:t>. In determining the amount of incentive compensation to be paid to our Chief Executive Officer, Mr. Jacobs, the Compensation Committee of</w:t>
      </w:r>
      <w:r>
        <w:rPr>
          <w:rFonts w:ascii="Arial" w:cs="Arial" w:eastAsia="Arial" w:hAnsi="Arial"/>
          <w:sz w:val="16"/>
          <w:szCs w:val="16"/>
          <w:i w:val="1"/>
          <w:iCs w:val="1"/>
          <w:color w:val="auto"/>
        </w:rPr>
        <w:t xml:space="preserve"> </w:t>
      </w:r>
      <w:r>
        <w:rPr>
          <w:rFonts w:ascii="Arial" w:cs="Arial" w:eastAsia="Arial" w:hAnsi="Arial"/>
          <w:sz w:val="16"/>
          <w:szCs w:val="16"/>
          <w:color w:val="auto"/>
        </w:rPr>
        <w:t>Lazard Ltd considered Mr. Jacobs’ individual performance and the Company’s overall performance in 2010, against the goals and objectives previously established for him by the Compensation Committee of Lazard Ltd. These goals and objectives (which did not include numerical targets) consisted principally of:</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Company Performance:</w:t>
      </w:r>
    </w:p>
    <w:p>
      <w:pPr>
        <w:spacing w:after="0" w:line="77" w:lineRule="exact"/>
        <w:rPr>
          <w:sz w:val="20"/>
          <w:szCs w:val="20"/>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Operating revenue;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Individual Performance:</w:t>
      </w:r>
    </w:p>
    <w:p>
      <w:pPr>
        <w:spacing w:after="0" w:line="77" w:lineRule="exact"/>
        <w:rPr>
          <w:sz w:val="20"/>
          <w:szCs w:val="20"/>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Providing the leadership and strategic vision necessary to position the Company for future growth and profitability;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Leading franchise-building efforts across the Company’s businesses and regions;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Motivating key employees and attracting and retaining new talent;</w:t>
      </w:r>
    </w:p>
    <w:p>
      <w:pPr>
        <w:spacing w:after="0" w:line="103"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Focusing the Asset Management business on improved investment performance through motivating and retaining key employees and hiring new talent;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Facilitating global integration by improved collaboration across units worldwide;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Setting financial targets and building an organization that is capable of achieving management’s vision;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Keeping the Board informed regarding ongoing strategic, financial and operating issues and initiatives within the Company.</w:t>
      </w:r>
    </w:p>
    <w:p>
      <w:pPr>
        <w:spacing w:after="0" w:line="1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evaluating the Company’s and Mr. Jacobs’ performance, the Compensation Committee of Lazard Ltd noted the following accomplishments, which are set forth in Lazard Ltd’s Current Report on Form 8-K filed on February 2, 2011:</w:t>
      </w:r>
    </w:p>
    <w:p>
      <w:pPr>
        <w:spacing w:after="0" w:line="37"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Operating revenue for 2010 increased 22% to $1.98 billion compared to $1.62 billion for 2009;</w:t>
      </w:r>
    </w:p>
    <w:p>
      <w:pPr>
        <w:spacing w:after="0" w:line="103"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Annual net income on a fully exchanged basis increased to $281.1 million for 2010, compared to $11.1 million for 2009, excluding special charges in the first quarter of each year and the fourth quarter of 2009;</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Advisory operating revenue increased 13% to $1.12 billion for 2010, compared to $990.4 million for 2009;</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M&amp;A and Strategic Advisory operating revenue increased 36% to $714.1 million for 2010, compared to $526.2 million for 2009;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Asset Management operating revenue increased 40% for 2010 to a record $834.7 million, compared to $596.0 million for 2009.</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factors noted by the Compensation Committee of Lazard Ltd, included:</w:t>
      </w:r>
    </w:p>
    <w:p>
      <w:pPr>
        <w:spacing w:after="0" w:line="77" w:lineRule="exact"/>
        <w:rPr>
          <w:sz w:val="20"/>
          <w:szCs w:val="20"/>
          <w:color w:val="auto"/>
        </w:rPr>
      </w:pPr>
    </w:p>
    <w:p>
      <w:pPr>
        <w:ind w:left="780" w:right="44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remained strategically focused on its mission and mandate as articulated by Mr. Jacobs, and the Company’s execution in 2010 was consistent with this strategy;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Under Mr. Jacobs’ leadership, collaboration across business lines and geographic locations is much improved;</w:t>
      </w:r>
    </w:p>
    <w:p>
      <w:pPr>
        <w:spacing w:after="0" w:line="103"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Communication among Mr. Jacobs, the Deputy Chairmen and other members of senior management has served to unify the Company around a common mission and purpose;</w:t>
      </w:r>
    </w:p>
    <w:p>
      <w:pPr>
        <w:spacing w:after="0" w:line="37" w:lineRule="exact"/>
        <w:rPr>
          <w:rFonts w:ascii="Arial" w:cs="Arial" w:eastAsia="Arial" w:hAnsi="Arial"/>
          <w:sz w:val="18"/>
          <w:szCs w:val="18"/>
          <w:color w:val="auto"/>
        </w:rPr>
      </w:pPr>
    </w:p>
    <w:p>
      <w:pPr>
        <w:ind w:left="780" w:right="58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Mr. Jacobs’ ability to effectively manage the 2010 compensation ratio by growing annual compensation expense at a slower rate than operating revenues;</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implementation of a rigorous performance management system and compensation allocation process generally viewed as fair by the Company’s managing directors;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Company’s continued success recruiting highly regarded senior level talent and strong personnel management.</w:t>
      </w:r>
    </w:p>
    <w:p>
      <w:pPr>
        <w:spacing w:after="0" w:line="1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of Lazard Ltd also thoroughly reviewed the Company’s past compensation practices, the competitive compensation practices at the other firms included in our comparator group and the unique value that Mr. Jacobs brings to the Lazard franchise. Based on its review, the Compensation Committee of Lazard Ltd decided to grant Mr. Jacobs an incentive compensation award of $13.9 million payable as follows: an RSU award valued at $8.8 million and a $5.1 million cash bonus. The RSU award constituted approximately 60% of Mr. Jacobs’ total compensation for 2010 (salary, cash bonus and equity-based awards). Given the component of current cash and the significant RSU award, the Compensation Committee of Lazard Ltd believes it has struck the right balance between rewarding current achievements and the desire to keep Mr. Jacobs focused on the Company’s long-term performance.</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table shows the base salary and incentive compensation awarded to Mr. Jacobs for his performance in 2010 in the manner it was considered by the Compensation Committee of Lazard Ltd. This presentation differs from that contained in the Summary Compensation Table by (i) showing the full grant date value of the RSUs awarded on February 10, 2011, which related to 2010 performance but is not reflected in the Summary Compensation Table because the RSUs were granted after the end of our 2010 fiscal year and (ii) excluding the full grant date value of the RSUs granted on February 11, 2010, which related to 2009 performance and is included in the Summary Compensation Table. In addition, the “Change in Pension Value” column has been omitted, as it is not a material element of Mr. Jacobs’ compensation.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Incentive Compensation</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Annual</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Annual Cash</w:t>
            </w:r>
          </w:p>
        </w:tc>
        <w:tc>
          <w:tcPr>
            <w:tcW w:w="3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3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3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Total</w:t>
            </w:r>
          </w:p>
        </w:tc>
      </w:tr>
      <w:tr>
        <w:trPr>
          <w:trHeight w:val="161"/>
        </w:trPr>
        <w:tc>
          <w:tcPr>
            <w:tcW w:w="490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Salary</w:t>
            </w:r>
          </w:p>
        </w:tc>
        <w:tc>
          <w:tcPr>
            <w:tcW w:w="3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Bonus</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Unit Awards</w:t>
            </w:r>
          </w:p>
        </w:tc>
        <w:tc>
          <w:tcPr>
            <w:tcW w:w="3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Kenneth M. Jacobs</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$900,000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$5,100,000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$57,597</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$14,857,597</w:t>
            </w:r>
          </w:p>
        </w:tc>
      </w:tr>
    </w:tbl>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u w:val="single" w:color="auto"/>
          <w:color w:val="auto"/>
        </w:rPr>
        <w:t>Other Named Executive Officers</w:t>
      </w:r>
      <w:r>
        <w:rPr>
          <w:rFonts w:ascii="Arial" w:cs="Arial" w:eastAsia="Arial" w:hAnsi="Arial"/>
          <w:sz w:val="16"/>
          <w:szCs w:val="16"/>
          <w:color w:val="auto"/>
        </w:rPr>
        <w:t>. Annual incentive compensation for each of our other named executive officers was established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 of Mr. Jacobs and review and approval by the Compensation Committee of Lazard Ltd. The retention agreements with Messrs. Castellano, Hoffman and Stern generally provide that each is entitled to an annual bonus to be determined under the applicable annual bonus plan of the Company on the same basis as annual bonuses are determined for the Company’s other executive officers and paid in the same ratio of cash to equity awards as is applicable to other executives. Mr. Jacobs reviewed with the Compensation Committee of Lazard Ltd the performance of each of the named executive officers individually and their overall contribution to the Company in 2010, which was not based on any numerical targets.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In determining annual incentive compensation for Mr. Bhutani, Mr. Jacobs considered his consistent leadership and high level of performance as the Chief Executive Officer of LAM. Mr. Jacobs noted overall success of the Asset Management segment in 2010, and in particular that Assets Under Management (“AUM”) reached a record $155.3 billion as of December 31, 2010, representing a 20% increase over AUM of $129.5 billion at December 31, 2009. The increase for 2010 included net inflows of $9.3 billion. Management fees increased 47% to a record $715.9 million for 2010, compared to $486.8 million for 2009. In making a recommendation on incentive compensation for Mr. Bhutani, Mr. Jacobs reviewed his positioning on an internal pay equity scale vis-à-vis other managing directors within the Company and the competitive compensation practices at the other firms included in our comparator group. Another factor that Mr. Jacobs considered was the difficulty and expense of replacing an executive of Mr. Bhutani’s caliber should he decide to leave. Based on Mr. Jacobs’ recommendation, the Compensation Committee of Lazard Ltd approved the following incentive compensation for Mr. Bhutani for his performance in 2010:</w:t>
      </w:r>
    </w:p>
    <w:p>
      <w:pPr>
        <w:spacing w:after="0" w:line="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Mr. Bhutani received a cash bonus of $6.25 million, an RSU award valued at $5.175 million and a Lazard Fund Interest award valued at $1.825 million. Together the RSUs and Lazard Fund Interests awarded to Mr. Bhutani constituted approximately 50% of his total compensation for 2010 (salary, cash bonus, equity-based awards and Lazard Fund Interest awards).</w:t>
      </w:r>
    </w:p>
    <w:p>
      <w:pPr>
        <w:spacing w:after="0" w:line="131"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In determining annual incentive compensation for Mr. Stern, Mr. Jacobs considered several factors, including the various roles that Mr. Stern serves for the Company. Two factors Mr. Jacobs considered were Mr. Stern’s responsibilities and performance as Chief Operating Officer and his contribution to the financial strength of the Company. Mr. Stern maintains a balance between his leadership and administrative responsibilities within the firm, while continuing to cultivate important client relationships. Additional factors that Mr. Jacobs considered included Mr. Stern’s leadership in effectively managing other senior managing directors overseeing various business sectors on global basis, the competitive compensation practices at the firms in our comparator group and the difficulty and expense of replacing Mr. Stern should he decide to leave. Based on Mr. Jacobs’ recommendation, the Compensation Committee of Lazard Ltd approved the following incentive compensation for Mr. Stern for his performance in 2010: Mr. Stern received a cash bonus of $2.5 million and an RSU award valued at $3.25 million. The RSUs awarded to Mr. Stern constituted approximately 50% of his total compensation for 2010 (salary, cash bonus and equity-based awards).</w:t>
      </w:r>
    </w:p>
    <w:p>
      <w:pPr>
        <w:spacing w:after="0" w:line="9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determining incentive compensation for Messrs. Castellano and Hoffman, Mr. Jacobs noted that each provides significant leadership to the Company in his role as Chief Financial Officer and General Counsel, respectively. Mr. Castellano has overall, worldwide responsibility for corporate finance and accounting at the Company, and Mr. Hoffman oversees legal and compliance, internal audit and global communications. Mr. Jacobs noted that both executives have been tasked with primary responsibility for establishing and implementing uniform internal policies within the Company, so that other members of senior management can focus on building the Lazard franchise and cultivating client relationships. In recommending incentive compensation for Mr. Castellano, Mr. Jacobs noted his contribution to the overall strength of the Company and his work with Matthieu Bucaille in preparing to transition his responsibilities as Chief Financial Officer. With respect to Mr. Hoffman, Mr. Jacobs noted his wide-ranging responsibility for overseeing legal operations worldwide, internal audit, global communications and legislative affairs, as well as the Company’s U.S. real estate. Mr. Jacobs noted that Mr. Hoffman was a key contributor to the collective management team; providing leadership, advice and guidance to him, as Chief Executive Officer, and to the Board of Directors. Based on Mr. Jacobs’ recommendation, the Compensation Committee of Lazard Ltd approved the following incentive compensation for each of Mr. Castellano and Mr. Hoffman for their performance in 2010: Mr. Castellano was paid a cash bonus of $2.035 million and received a restricted stock award valued at $215,000; Mr. Hoffman was paid a cash bonus of $1.5 million and received an RSU award valued at $2.25 million. The RSUs awarded to Mr. Hoffman constituted approximately 50% of his total compensation (salary, cash bonus and equity-based award) for 2010. Mr. Castellano, who will be retiring from the Company effective March 31, 2011, received substantially all of his incentive compensation in cash.</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following table shows the base salary and incentive compensation paid to Messrs. Bhutani, Castellano, Hoffman and Stern for their performance in 2010 in the manner it was considered by the Compensation Committee of Lazard Ltd. This presentation differs from that contained in the Summary Compensation Table by (i) showing the full grant date value of the RSUs and Lazard Fund Interests awarded on February 10, 2011, which related to 2010 performance but is not reflected in the Summary Compensation Table because they were granted after the end of our 2010 fiscal year and (ii) excluding the full grant date value of the RSUs granted on February 11, 2010, which related to 2009 performance and is included in the Summary Compensation Table. In addition, the “Change in Pension Value” column has been omitted as it is not a material element of any of the named executives’ compensation.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b w:val="1"/>
                <w:bCs w:val="1"/>
                <w:color w:val="auto"/>
              </w:rPr>
              <w:t>Incentive Compensation</w:t>
            </w:r>
          </w:p>
        </w:tc>
        <w:tc>
          <w:tcPr>
            <w:tcW w:w="32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Lazard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2"/>
              <w:spacing w:after="0" w:line="129" w:lineRule="exact"/>
              <w:rPr>
                <w:sz w:val="20"/>
                <w:szCs w:val="20"/>
                <w:color w:val="auto"/>
              </w:rPr>
            </w:pPr>
            <w:r>
              <w:rPr>
                <w:rFonts w:ascii="Arial" w:cs="Arial" w:eastAsia="Arial" w:hAnsi="Arial"/>
                <w:sz w:val="14"/>
                <w:szCs w:val="14"/>
                <w:b w:val="1"/>
                <w:bCs w:val="1"/>
                <w:color w:val="auto"/>
                <w:w w:val="84"/>
              </w:rPr>
              <w:t>Restricted</w:t>
            </w:r>
          </w:p>
        </w:tc>
        <w:tc>
          <w:tcPr>
            <w:tcW w:w="3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6"/>
              </w:rPr>
              <w:t>Stock and</w:t>
            </w:r>
          </w:p>
        </w:tc>
        <w:tc>
          <w:tcPr>
            <w:tcW w:w="3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Fund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 Cash</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5"/>
              </w:rPr>
              <w:t>Unit</w:t>
            </w:r>
          </w:p>
        </w:tc>
        <w:tc>
          <w:tcPr>
            <w:tcW w:w="3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2"/>
                <w:szCs w:val="12"/>
                <w:color w:val="auto"/>
              </w:rPr>
            </w:pPr>
          </w:p>
        </w:tc>
        <w:tc>
          <w:tcPr>
            <w:tcW w:w="7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94"/>
              </w:rPr>
              <w:t>All Other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Bonus</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3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$750,000</w:t>
            </w:r>
          </w:p>
        </w:tc>
        <w:tc>
          <w:tcPr>
            <w:tcW w:w="110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$6,250,000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5,175,000</w:t>
            </w:r>
          </w:p>
        </w:tc>
        <w:tc>
          <w:tcPr>
            <w:tcW w:w="14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$1,825,000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14,040,418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Michael J. Castellano</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$500,000</w:t>
            </w:r>
          </w:p>
        </w:tc>
        <w:tc>
          <w:tcPr>
            <w:tcW w:w="11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$2,035,000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215,000</w:t>
            </w:r>
          </w:p>
        </w:tc>
        <w:tc>
          <w:tcPr>
            <w:tcW w:w="320" w:type="dxa"/>
            <w:vAlign w:val="bottom"/>
          </w:tcPr>
          <w:p>
            <w:pPr>
              <w:spacing w:after="0"/>
              <w:rPr>
                <w:sz w:val="18"/>
                <w:szCs w:val="18"/>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24,997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2,774,997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Scott D. Hoffman</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$750,000</w:t>
            </w:r>
          </w:p>
        </w:tc>
        <w:tc>
          <w:tcPr>
            <w:tcW w:w="110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8"/>
              </w:rPr>
              <w:t>$1,500,000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2,250,000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4,533,662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Alexander F. Stern</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$750,000</w:t>
            </w:r>
          </w:p>
        </w:tc>
        <w:tc>
          <w:tcPr>
            <w:tcW w:w="110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$2,500,000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3,250,000</w:t>
            </w:r>
          </w:p>
        </w:tc>
        <w:tc>
          <w:tcPr>
            <w:tcW w:w="320" w:type="dxa"/>
            <w:vAlign w:val="bottom"/>
          </w:tcPr>
          <w:p>
            <w:pPr>
              <w:spacing w:after="0"/>
              <w:rPr>
                <w:sz w:val="19"/>
                <w:szCs w:val="19"/>
                <w:color w:val="auto"/>
              </w:rPr>
            </w:pP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22,896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6,522,896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i w:val="1"/>
          <w:iCs w:val="1"/>
          <w:u w:val="single" w:color="auto"/>
          <w:color w:val="auto"/>
        </w:rPr>
        <w:t>Interest Payments</w:t>
      </w:r>
      <w:r>
        <w:rPr>
          <w:rFonts w:ascii="Arial" w:cs="Arial" w:eastAsia="Arial" w:hAnsi="Arial"/>
          <w:sz w:val="16"/>
          <w:szCs w:val="16"/>
          <w:color w:val="auto"/>
        </w:rPr>
        <w:t>. Each of our named executive officers received interest payments on the deferred cash awards they were granted as part of the 2008</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cycle for the period from the date of the grant through February 24, 2010. In 2010, such interest payments were paid as follows: Mr. Jacobs, $29,250; Mr. Castellano, $7,538; Mr. Bhutani, $27,222; Mr. Hoffman, $10,463; and Mr. Stern, $8,813.</w:t>
      </w:r>
    </w:p>
    <w:p>
      <w:pPr>
        <w:spacing w:after="0" w:line="9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i w:val="1"/>
          <w:iCs w:val="1"/>
          <w:u w:val="single" w:color="auto"/>
          <w:color w:val="auto"/>
        </w:rPr>
        <w:t>Perquisites</w:t>
      </w:r>
      <w:r>
        <w:rPr>
          <w:rFonts w:ascii="Arial" w:cs="Arial" w:eastAsia="Arial" w:hAnsi="Arial"/>
          <w:sz w:val="16"/>
          <w:szCs w:val="16"/>
          <w:color w:val="auto"/>
        </w:rPr>
        <w:t>. In 2010, the Company provided a limited number of perquisites, with each of our named executive officers receiving less than $28,500 in</w:t>
      </w:r>
      <w:r>
        <w:rPr>
          <w:rFonts w:ascii="Arial" w:cs="Arial" w:eastAsia="Arial" w:hAnsi="Arial"/>
          <w:sz w:val="16"/>
          <w:szCs w:val="16"/>
          <w:i w:val="1"/>
          <w:iCs w:val="1"/>
          <w:color w:val="auto"/>
        </w:rPr>
        <w:t xml:space="preserve"> </w:t>
      </w:r>
      <w:r>
        <w:rPr>
          <w:rFonts w:ascii="Arial" w:cs="Arial" w:eastAsia="Arial" w:hAnsi="Arial"/>
          <w:sz w:val="16"/>
          <w:szCs w:val="16"/>
          <w:color w:val="auto"/>
        </w:rPr>
        <w:t>perquisite compensation. Our named executive officers receive the same perquisite compensation provided to all of our U.S. managing directors as a group, including (i) the payment by the Company of a portion of the insurance premiums for each of our U.S. managing directors on the same basis that it does for all U.S. employees and (ii) being the named beneficiaries of a Company-provided life insurance and excess liability insurance policy and long-term disability insurance. None of our U.S. managing directors receive any matching contributions from the Company on their personal contributions to the Company’s 401(k) plan. Each of our U.S. managing directors is entitled to have his year-end personal tax returns prepared by our tax department. Messrs. Jacobs, Castellano, Hoffman and Stern have availed themselves of this benefit. This perquisite has been an historical practice of the firm, and is provided due to the complexity involved in preparing such tax returns as the Company continues to be viewed as a partnership for U.S. tax purposes.</w:t>
      </w:r>
    </w:p>
    <w:p>
      <w:pPr>
        <w:spacing w:after="0" w:line="10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i w:val="1"/>
          <w:iCs w:val="1"/>
          <w:u w:val="single" w:color="auto"/>
          <w:color w:val="auto"/>
        </w:rPr>
        <w:t>Post-Employment Benefits</w:t>
      </w:r>
      <w:r>
        <w:rPr>
          <w:rFonts w:ascii="Arial" w:cs="Arial" w:eastAsia="Arial" w:hAnsi="Arial"/>
          <w:sz w:val="16"/>
          <w:szCs w:val="16"/>
          <w:color w:val="auto"/>
        </w:rPr>
        <w:t>. Each of Messrs. Jacobs, Hoffman and Stern has an accrued benefit under the Lazard Frères &amp; Co. LLC Employees’ Pension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Plan, a qualified defined-benefit pension plan, and Mr. Hoffman and Mr. Stern have accrued additional benefits under a related supplemental defined-benefit pension plan. In each case, these benefits accrued prior to the applicable officer becoming a managing director of the Company. Benefit accruals under both of these plans were frozen for all participants effective January 31, 2005, and our named executive officers will not accrue any additional benefits. The annual benefit under such plans, payable as a single life annuity commencing at age 65, would be $6,447 for Mr. Jacobs, $18,845 for Mr. Hoffman and $12,421 for Mr. Stern. Under the terms of the supplemental defined-benefit pension plan, the benefits are only payable in a single lump sum payment. Messrs. Bhutani and Castellano do not participate in these plans. For the value of the benefits accrued by Messrs. Jacobs, Hoffman and Stern under these plans as of December 31, 2010, </w:t>
      </w:r>
      <w:r>
        <w:rPr>
          <w:rFonts w:ascii="Arial" w:cs="Arial" w:eastAsia="Arial" w:hAnsi="Arial"/>
          <w:sz w:val="16"/>
          <w:szCs w:val="16"/>
          <w:i w:val="1"/>
          <w:iCs w:val="1"/>
          <w:color w:val="auto"/>
        </w:rPr>
        <w:t>see</w:t>
      </w:r>
      <w:r>
        <w:rPr>
          <w:rFonts w:ascii="Arial" w:cs="Arial" w:eastAsia="Arial" w:hAnsi="Arial"/>
          <w:sz w:val="16"/>
          <w:szCs w:val="16"/>
          <w:color w:val="auto"/>
        </w:rPr>
        <w:t xml:space="preserve"> “Pension Benefits.”</w:t>
      </w:r>
    </w:p>
    <w:p>
      <w:pPr>
        <w:spacing w:after="0" w:line="10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retention agreement with each of our named executive officers, other than Mr. Bhutani, provides for certain severance benefits in the event of a termination of employment by the Company other than for “cause” or, by the executive officer for “good reason” (we refer to these as a “qualifying terminations”) prior to March 31, 2011 for Mr. Castellano and prior to March 23, 2013 for Messrs. Jacobs, Hoffman and Stern. We provide for such severance payments on the condition that the departed executive does not compete with the Company, solicit the Company’s clients or employees or take other actions that harm the Company’s business for specified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periods. The level of the severance benefits depends on whether the qualifying termination occurs prior to or following a “change in control” of Lazard Ltd, with qualifying terminations following a “change in control” triggering an enhanced benefit. In addition, the retention agreement with each of our named executive officers, other than Mr. Bhutani, provides that in the event that the executive officer’s receipt of any payment from the Company under the agreement or otherwise is subject to the excise tax imposed under Section 4999 of the Code, an additional payment will be made to restore the executive to the after-tax position that he would have been in if the excise tax had not been imposed. The events giving rise to a severance payment as well as the amount of the payments under the retention agreements were negotiated terms and based on common industry practice for agreements of this kind at the time they were negotiated. </w:t>
      </w:r>
      <w:r>
        <w:rPr>
          <w:rFonts w:ascii="Arial" w:cs="Arial" w:eastAsia="Arial" w:hAnsi="Arial"/>
          <w:sz w:val="16"/>
          <w:szCs w:val="16"/>
          <w:i w:val="1"/>
          <w:iCs w:val="1"/>
          <w:color w:val="auto"/>
        </w:rPr>
        <w:t>See</w:t>
      </w:r>
      <w:r>
        <w:rPr>
          <w:rFonts w:ascii="Arial" w:cs="Arial" w:eastAsia="Arial" w:hAnsi="Arial"/>
          <w:sz w:val="16"/>
          <w:szCs w:val="16"/>
          <w:color w:val="auto"/>
        </w:rPr>
        <w:t xml:space="preserve"> “Retention Agreements with Named Executive Officers—Payments and Benefits Upon Certain Terminations of Service” and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“Potential Payments Upon Termination or Change in Control” for an estimate of potential payouts under each scenario.</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general, non-vested RSUs and Lazard Fund Interests are forfeited by our named executive officers upon termination of employment, except in limited cases such as death, disability, a termination by the Company other than for “cause” or a qualifying retirement pursuant to the Company’s RSU Retirement Policy. </w:t>
      </w:r>
      <w:r>
        <w:rPr>
          <w:rFonts w:ascii="Arial" w:cs="Arial" w:eastAsia="Arial" w:hAnsi="Arial"/>
          <w:sz w:val="16"/>
          <w:szCs w:val="16"/>
          <w:i w:val="1"/>
          <w:iCs w:val="1"/>
          <w:color w:val="auto"/>
        </w:rPr>
        <w:t xml:space="preserve">See </w:t>
      </w:r>
      <w:r>
        <w:rPr>
          <w:rFonts w:ascii="Arial" w:cs="Arial" w:eastAsia="Arial" w:hAnsi="Arial"/>
          <w:sz w:val="16"/>
          <w:szCs w:val="16"/>
          <w:color w:val="auto"/>
        </w:rPr>
        <w:t>“RSU Retirement Policy.” In the event of a change of control of Lazard Ltd, any unvested RSUs and Lazard Fund Interests will automatically vest.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way, our named executive officers can realize value from these awards in the same way as shareholders of Lazard Ltd in connection with the change of control transaction, and thus encourage our named executive officers to consider and support transactions that might benefit shareholders of Lazard Ltd. Mr. Castellano, who is currently eligible to retire, had all of his prior RSU awards vest in 2010 pursuant to the Company’s RSU Retirement Policy. The shares Mr. Castellano received upon the RSU vesting (less shares withheld to cover certain tax liabilities) remain subject to certain restrictions, including continued compliance with the non-compete, non-solicit and other provisions in the RSU agreements, which will remain in place until the originally scheduled vesting date of each underlying RSU award.</w:t>
      </w:r>
    </w:p>
    <w:p>
      <w:pPr>
        <w:spacing w:after="0" w:line="10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u w:val="single" w:color="auto"/>
          <w:color w:val="auto"/>
        </w:rPr>
        <w:t>Risks Related to Compensation Policies</w:t>
      </w:r>
      <w:r>
        <w:rPr>
          <w:rFonts w:ascii="Arial" w:cs="Arial" w:eastAsia="Arial" w:hAnsi="Arial"/>
          <w:sz w:val="16"/>
          <w:szCs w:val="16"/>
          <w:color w:val="auto"/>
        </w:rPr>
        <w:t>. In keeping with our risk management framework, we consider risks not only in the abstract, but also risks that</w:t>
      </w:r>
      <w:r>
        <w:rPr>
          <w:rFonts w:ascii="Arial" w:cs="Arial" w:eastAsia="Arial" w:hAnsi="Arial"/>
          <w:sz w:val="16"/>
          <w:szCs w:val="16"/>
          <w:i w:val="1"/>
          <w:iCs w:val="1"/>
          <w:color w:val="auto"/>
        </w:rPr>
        <w:t xml:space="preserve"> </w:t>
      </w:r>
      <w:r>
        <w:rPr>
          <w:rFonts w:ascii="Arial" w:cs="Arial" w:eastAsia="Arial" w:hAnsi="Arial"/>
          <w:sz w:val="16"/>
          <w:szCs w:val="16"/>
          <w:color w:val="auto"/>
        </w:rPr>
        <w:t>might hinder the achievement of a particular objective. We have identified two primary risks relating to compensation: the risk that compensation will be insufficient to retain talent and the risk that compensation strategies might result in unintended incentives. To combat the first risk, as noted above, the compensation of employees throughout the Company is benchmarked against comparative compensation data, permitting us to set compensation levels that we believe contribute to low rates of employee attrition. Further, RSUs and Lazard Fund Interests awarded to our managing directors and other senior professionals are subject to vesting over two- or three-year periods. We believe both the levels of compensation and the structure of the RSU awards and Lazard Fund Interest awards have had the effect of retaining key personnel.</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With respect to the second risk, our Company-wide year-end discretionary compensation program is designed to reflect the performance of the Company, the performance of the division in which the employee works and the performance of the individual employee, and is designed not to encourage excessive risk taking. For example, paying a significant portion of our year-end discretionary compensation in the form of RSUs and Lazard Fund Interests that vest over two or three years makes each of our managing directors and other senior professionals sensitive to long-term risk outcomes, as the value of their awards increase or decrease with the price of Lazard Ltd’s Class A common stock and, in the case of holders of Lazard Fund Interests, the performance of funds managed by our Asset Management group. Further, performance criteria for some of the Asset Management executives now include Company-wide risk management practices (some relating to mitigating certain of Asset Management’s key risks, and some relating to oversight of the “ordinary course” risks to which our Asset Management segment is subject). We believe these criteria will provide our employees additional incentives to prudently manage the wide range of risks inherent in the Company’s business. We are not aware of any employee behavior motivated by our compensation policies and practices that create increased risks for our shareholders or our clients.</w:t>
      </w:r>
    </w:p>
    <w:p>
      <w:pPr>
        <w:spacing w:after="0" w:line="10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Based on the foregoing, we do not believe that our compensation policies and practices create risks that are reasonably likely to have a material adverse effect on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compensation program is designed to permit the Company to provide our executive officers, managing directors and other senior professionals with total compensation that is linked to our performance and reinforces the alignment of employee and shareholder interests. At the same time it is intended to provide us with sufficient flexibility to assure that such compensation is appropriate to attract and retain employees who are vital to the continued success of the Company and to drive outstanding individual and institutional performance. We believe the program met these objectives in 2010.</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The Compensation Committee of Lazard Ltd has reviewed and discussed the Compensation Discussion and Analysis required by Item 402(b) of Regulation S-K with management and, based on such review and discussions, the Compensation Committee of Lazard Ltd recommended to the Board of Directors that the Compensation Discussion and Analysis be included in this Annual Report on Form 10-K.</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of Lazard Ltd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Steven J. Heyer (Chair), Sylvia Jay and Michael J. Turner</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60"/>
          </w:cols>
          <w:pgMar w:left="240" w:top="459" w:right="3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following table contains information with respect to our Chief Executive Officer, Chief Financial Officer and the three other most highly compensated executive officers of the Company. These officers are collectively referred to as the “named executive officers.” We believe that the better way to view this information is as set forth under “Compensation Discussion and Analysis—Compensation for Each of Our Named Executive Officers in 2010,” as the information set forth below includes in 2010 compensation RSUs that relate to 2009 performance, which were awarded on February 11, 2010 and does not include in 2010 compensation RSUs that relate to 2010 performance, which were awarded on February 10, 2011. The information (i) with respect to 2009 and 2008 compensation includes RSUs granted in the relevant calendar year, which relates to the previous year’s performance, and does not include RSUs granted with respect to the relevant calendar year’s performance and (ii) with respect to 2009 includes deferred cash awards that related to 2008 performance.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85"/>
              </w:rPr>
              <w:t>Change in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and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Deferred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Stock Unit</w:t>
            </w:r>
          </w:p>
        </w:tc>
        <w:tc>
          <w:tcPr>
            <w:tcW w:w="1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3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Salary</w:t>
            </w:r>
          </w:p>
        </w:tc>
        <w:tc>
          <w:tcPr>
            <w:tcW w:w="36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Earnings (b)</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Kenneth M. Jacobs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$5,100,000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3,750,000(a)</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57,597(d)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9,812,236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9"/>
              </w:rPr>
              <w:t>Chairman and Chief Executive Officer</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1,427,885</w:t>
            </w:r>
          </w:p>
        </w:tc>
        <w:tc>
          <w:tcPr>
            <w:tcW w:w="15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$6,222,115(e)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2,300,000</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193,561(d)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10,144,019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3200" w:type="dxa"/>
            <w:vAlign w:val="bottom"/>
            <w:gridSpan w:val="3"/>
          </w:tcPr>
          <w:p>
            <w:pPr>
              <w:spacing w:after="0"/>
              <w:rPr>
                <w:sz w:val="20"/>
                <w:szCs w:val="20"/>
                <w:color w:val="auto"/>
              </w:rPr>
            </w:pPr>
            <w:r>
              <w:rPr>
                <w:rFonts w:ascii="Arial" w:cs="Arial" w:eastAsia="Arial" w:hAnsi="Arial"/>
                <w:sz w:val="18"/>
                <w:szCs w:val="18"/>
                <w:color w:val="auto"/>
              </w:rPr>
              <w:t>Michael J. Castellano</w:t>
            </w:r>
          </w:p>
        </w:tc>
        <w:tc>
          <w:tcPr>
            <w:tcW w:w="76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2010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w w:val="86"/>
              </w:rPr>
              <w:t>$2,035,000</w:t>
            </w:r>
          </w:p>
        </w:tc>
        <w:tc>
          <w:tcPr>
            <w:tcW w:w="36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1,050,000(a)</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24,997(d)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3,609,997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76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2009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1520" w:type="dxa"/>
            <w:vAlign w:val="bottom"/>
            <w:gridSpan w:val="3"/>
          </w:tcPr>
          <w:p>
            <w:pPr>
              <w:ind w:left="360"/>
              <w:spacing w:after="0"/>
              <w:rPr>
                <w:sz w:val="20"/>
                <w:szCs w:val="20"/>
                <w:color w:val="auto"/>
              </w:rPr>
            </w:pPr>
            <w:r>
              <w:rPr>
                <w:rFonts w:ascii="Arial" w:cs="Arial" w:eastAsia="Arial" w:hAnsi="Arial"/>
                <w:sz w:val="18"/>
                <w:szCs w:val="18"/>
                <w:color w:val="auto"/>
              </w:rPr>
              <w:t>$1,905,000(e)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645,000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57,443(d)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3,107,443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2008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36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 (e)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900,000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11,184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1,411,184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6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2010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6"/>
              </w:rPr>
              <w:t>$6,250,000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4,987,500(a)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40,418(d)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12,027,918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Lazard Asset Management</w:t>
            </w: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200" w:type="dxa"/>
            <w:vAlign w:val="bottom"/>
            <w:gridSpan w:val="3"/>
          </w:tcPr>
          <w:p>
            <w:pPr>
              <w:spacing w:after="0"/>
              <w:rPr>
                <w:sz w:val="20"/>
                <w:szCs w:val="20"/>
                <w:color w:val="auto"/>
              </w:rPr>
            </w:pPr>
            <w:r>
              <w:rPr>
                <w:rFonts w:ascii="Arial" w:cs="Arial" w:eastAsia="Arial" w:hAnsi="Arial"/>
                <w:sz w:val="18"/>
                <w:szCs w:val="18"/>
                <w:color w:val="auto"/>
              </w:rPr>
              <w:t>Scott D. Hoffman</w:t>
            </w:r>
          </w:p>
        </w:tc>
        <w:tc>
          <w:tcPr>
            <w:tcW w:w="76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2010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750,000</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w w:val="86"/>
              </w:rPr>
              <w:t>$1,500,000</w:t>
            </w:r>
          </w:p>
        </w:tc>
        <w:tc>
          <w:tcPr>
            <w:tcW w:w="36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1,652,500(a)</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12,427</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33,662(d)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3,948,589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i w:val="1"/>
                <w:iCs w:val="1"/>
                <w:color w:val="auto"/>
              </w:rPr>
              <w:t>General Counsel</w:t>
            </w:r>
          </w:p>
        </w:tc>
        <w:tc>
          <w:tcPr>
            <w:tcW w:w="76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2009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600,000</w:t>
            </w:r>
          </w:p>
        </w:tc>
        <w:tc>
          <w:tcPr>
            <w:tcW w:w="1520" w:type="dxa"/>
            <w:vAlign w:val="bottom"/>
            <w:gridSpan w:val="3"/>
          </w:tcPr>
          <w:p>
            <w:pPr>
              <w:ind w:left="360"/>
              <w:spacing w:after="0"/>
              <w:rPr>
                <w:sz w:val="20"/>
                <w:szCs w:val="20"/>
                <w:color w:val="auto"/>
              </w:rPr>
            </w:pPr>
            <w:r>
              <w:rPr>
                <w:rFonts w:ascii="Arial" w:cs="Arial" w:eastAsia="Arial" w:hAnsi="Arial"/>
                <w:sz w:val="18"/>
                <w:szCs w:val="18"/>
                <w:color w:val="auto"/>
              </w:rPr>
              <w:t>$2,642,500(e)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855,000</w:t>
            </w:r>
          </w:p>
        </w:tc>
        <w:tc>
          <w:tcPr>
            <w:tcW w:w="34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77,048(d)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4,174,992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2008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600,000</w:t>
            </w:r>
          </w:p>
        </w:tc>
        <w:tc>
          <w:tcPr>
            <w:tcW w:w="36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 (e)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1,500,000</w:t>
            </w:r>
          </w:p>
        </w:tc>
        <w:tc>
          <w:tcPr>
            <w:tcW w:w="34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15,771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10,503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2,126,274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76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2010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6"/>
              </w:rPr>
              <w:t>$2,500,000</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1,652,500(a)</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22,896(d)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4,932,336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Operating Officer</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5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$2,272,500(e)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63,730(d)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3,911,230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2,200,000</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2,969,748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83"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RSUs granted to each of the named executive officers during fiscal year 2010 that relate to 2009 performance. As required under SEC rules for compensation disclosure in proxy statements, the value of the RSUs reported in the Summary Compensation Table is based on the grant date fair value of awards in the fiscal year actually granted (rather than in the year to which it relates) and computed in accordance with FASB ASC Topic 718. See Note 16 of Notes to the Consolidated Financial Statements for a discussion of the assumptions used in the valuation of the RSUs.</w:t>
      </w:r>
    </w:p>
    <w:p>
      <w:pPr>
        <w:spacing w:after="0" w:line="2" w:lineRule="exact"/>
        <w:rPr>
          <w:rFonts w:ascii="Arial" w:cs="Arial" w:eastAsia="Arial" w:hAnsi="Arial"/>
          <w:sz w:val="16"/>
          <w:szCs w:val="16"/>
          <w:color w:val="auto"/>
        </w:rPr>
      </w:pPr>
    </w:p>
    <w:p>
      <w:pPr>
        <w:ind w:left="460" w:right="460" w:hanging="452"/>
        <w:spacing w:after="0" w:line="281"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the aggregate change in actuarial present value of the listed officer’s accumulated benefit under the Lazard Frères &amp; Co. LLC Employees’ Pension Plan and, in the case of Messrs. Hoffman and Stern, a related supplemental defined-benefit pension plan.</w:t>
      </w:r>
    </w:p>
    <w:p>
      <w:pPr>
        <w:spacing w:after="0" w:line="1" w:lineRule="exact"/>
        <w:rPr>
          <w:rFonts w:ascii="Arial" w:cs="Arial" w:eastAsia="Arial" w:hAnsi="Arial"/>
          <w:sz w:val="16"/>
          <w:szCs w:val="16"/>
          <w:color w:val="auto"/>
        </w:rPr>
      </w:pPr>
    </w:p>
    <w:p>
      <w:pPr>
        <w:ind w:left="460" w:right="160" w:hanging="452"/>
        <w:spacing w:after="0" w:line="254"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named executive officers is the beneficiary of Company-provided life insurance, excess liability insurance and long-term disability insurance. In addition, the Company pays a portion of the health insurance premiums for our named executive officers, as it does for all U.S. employees. Perquisite compensation for Messrs. Jacobs, Castellano, Hoffman and Stern includes the incremental cost to the Company of providing U.S. tax advice and preparation of year-end personal tax returns.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52"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our named executive officers received interest payments on the deferred cash awards they were granted as part of the 2008 compensation cycle for the period from the date of the grant through February 24, 2010, as follows: Mr. Jacobs received $29,250 in 2010 and $175,500 in 2009; Mr. Castellano received $7,538 in 2010 and $45,225 in 2009; Mr. Bhutani received $27,222 in 2010; Mr. Hoffman received $10,463 in 2010 and $62,775 in 2009; and Mr. Stern received $8,813 in 2010 and $52,875 in 2009.</w:t>
      </w:r>
    </w:p>
    <w:p>
      <w:pPr>
        <w:spacing w:after="0" w:line="1" w:lineRule="exact"/>
        <w:rPr>
          <w:rFonts w:ascii="Arial" w:cs="Arial" w:eastAsia="Arial" w:hAnsi="Arial"/>
          <w:sz w:val="18"/>
          <w:szCs w:val="18"/>
          <w:color w:val="auto"/>
        </w:rPr>
      </w:pPr>
    </w:p>
    <w:p>
      <w:pPr>
        <w:ind w:left="460" w:right="20" w:hanging="452"/>
        <w:spacing w:after="0" w:line="300" w:lineRule="auto"/>
        <w:tabs>
          <w:tab w:leader="none" w:pos="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As was the case for most of our senior employees, each of our named executive officers received deferred cash awards on February 10, 2009, which related to 2008 performance. As required under SEC rules for compensation disclosure in proxy statements, the deferred cash awards are included in the fiscal year actually granted (2009), rather than the year to which they relate (2008). During the fourth quarter of 2009, the Compensation Committee of Lazard Ltd approved the acceleration of the deferred cash awards to be paid out in February 2010 for all recipients, including our named executive officers. Amounts reported in the Bonus column above include these accelerated deferred cash awards as follows: $3.9 million to Mr. Jacobs; $1.005 million to</w:t>
      </w:r>
    </w:p>
    <w:p>
      <w:pPr>
        <w:spacing w:after="0" w:line="2" w:lineRule="exact"/>
        <w:rPr>
          <w:rFonts w:ascii="Arial" w:cs="Arial" w:eastAsia="Arial" w:hAnsi="Arial"/>
          <w:sz w:val="15"/>
          <w:szCs w:val="15"/>
          <w:color w:val="auto"/>
        </w:rPr>
      </w:pPr>
    </w:p>
    <w:p>
      <w:pPr>
        <w:ind w:left="460" w:right="940"/>
        <w:spacing w:after="0" w:line="261" w:lineRule="auto"/>
        <w:rPr>
          <w:rFonts w:ascii="Arial" w:cs="Arial" w:eastAsia="Arial" w:hAnsi="Arial"/>
          <w:sz w:val="15"/>
          <w:szCs w:val="15"/>
          <w:color w:val="auto"/>
        </w:rPr>
      </w:pPr>
      <w:r>
        <w:rPr>
          <w:rFonts w:ascii="Arial" w:cs="Arial" w:eastAsia="Arial" w:hAnsi="Arial"/>
          <w:sz w:val="18"/>
          <w:szCs w:val="18"/>
          <w:color w:val="auto"/>
        </w:rPr>
        <w:t xml:space="preserve">Mr. Castellano; $1.395 million to Mr. Hoffman; and $1.175 million to Mr. Stern. </w:t>
      </w:r>
      <w:r>
        <w:rPr>
          <w:rFonts w:ascii="Arial" w:cs="Arial" w:eastAsia="Arial" w:hAnsi="Arial"/>
          <w:sz w:val="18"/>
          <w:szCs w:val="18"/>
          <w:i w:val="1"/>
          <w:iCs w:val="1"/>
          <w:color w:val="auto"/>
        </w:rPr>
        <w:t>See</w:t>
      </w:r>
      <w:r>
        <w:rPr>
          <w:rFonts w:ascii="Arial" w:cs="Arial" w:eastAsia="Arial" w:hAnsi="Arial"/>
          <w:sz w:val="18"/>
          <w:szCs w:val="18"/>
          <w:color w:val="auto"/>
        </w:rPr>
        <w:t xml:space="preserve"> “Compensation Discussion and Analysis—Design of Our Compensation Programs.”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w:t>
      </w:r>
    </w:p>
    <w:p>
      <w:pPr>
        <w:spacing w:after="0" w:line="8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The following table provides information about RSUs granted to each of the named executive officers during fiscal year 2010, which relate to 2009 performance. For information on the grant date fair value of RSU awards made to each of our named executive officers during fiscal year 2011, which relate to 2010 performance, </w:t>
      </w:r>
      <w:r>
        <w:rPr>
          <w:rFonts w:ascii="Arial" w:cs="Arial" w:eastAsia="Arial" w:hAnsi="Arial"/>
          <w:sz w:val="16"/>
          <w:szCs w:val="16"/>
          <w:i w:val="1"/>
          <w:iCs w:val="1"/>
          <w:color w:val="auto"/>
        </w:rPr>
        <w:t>see</w:t>
      </w:r>
      <w:r>
        <w:rPr>
          <w:rFonts w:ascii="Arial" w:cs="Arial" w:eastAsia="Arial" w:hAnsi="Arial"/>
          <w:sz w:val="16"/>
          <w:szCs w:val="16"/>
          <w:color w:val="auto"/>
        </w:rPr>
        <w:t xml:space="preserve"> “Compensation Discussion and Analysis—Compensation For Each of Our Named Executive Officers in 2010.”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Grant Date</w:t>
            </w: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Number of Restricted</w:t>
            </w:r>
          </w:p>
        </w:tc>
        <w:tc>
          <w:tcPr>
            <w:tcW w:w="6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of Restricted</w:t>
            </w: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7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92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Arial" w:cs="Arial" w:eastAsia="Arial" w:hAnsi="Arial"/>
                <w:sz w:val="14"/>
                <w:szCs w:val="14"/>
                <w:b w:val="1"/>
                <w:bCs w:val="1"/>
                <w:color w:val="auto"/>
              </w:rPr>
              <w:t>Stock Units</w:t>
            </w:r>
          </w:p>
        </w:tc>
        <w:tc>
          <w:tcPr>
            <w:tcW w:w="6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Stock Units</w:t>
            </w: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Kenneth M. Jacobs</w:t>
            </w:r>
          </w:p>
        </w:tc>
        <w:tc>
          <w:tcPr>
            <w:tcW w:w="47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February 11, 2010</w:t>
            </w:r>
          </w:p>
        </w:tc>
        <w:tc>
          <w:tcPr>
            <w:tcW w:w="9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102,069</w:t>
            </w:r>
          </w:p>
        </w:tc>
        <w:tc>
          <w:tcPr>
            <w:tcW w:w="6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$3,750,000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w w:val="88"/>
              </w:rPr>
              <w:t>Michael J. Castellano</w:t>
            </w:r>
          </w:p>
        </w:tc>
        <w:tc>
          <w:tcPr>
            <w:tcW w:w="47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28,579</w:t>
            </w: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w w:val="84"/>
              </w:rPr>
              <w:t>$1,050,000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47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11, 2010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135,751</w:t>
            </w: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4"/>
              </w:rPr>
              <w:t>$4,987,500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Scott D. Hoffman</w:t>
            </w:r>
          </w:p>
        </w:tc>
        <w:tc>
          <w:tcPr>
            <w:tcW w:w="47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February 11, 2010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44,978</w:t>
            </w:r>
          </w:p>
        </w:tc>
        <w:tc>
          <w:tcPr>
            <w:tcW w:w="1480" w:type="dxa"/>
            <w:vAlign w:val="bottom"/>
            <w:gridSpan w:val="2"/>
          </w:tcPr>
          <w:p>
            <w:pPr>
              <w:ind w:left="700"/>
              <w:spacing w:after="0"/>
              <w:rPr>
                <w:sz w:val="20"/>
                <w:szCs w:val="20"/>
                <w:color w:val="auto"/>
              </w:rPr>
            </w:pPr>
            <w:r>
              <w:rPr>
                <w:rFonts w:ascii="Arial" w:cs="Arial" w:eastAsia="Arial" w:hAnsi="Arial"/>
                <w:sz w:val="18"/>
                <w:szCs w:val="18"/>
                <w:color w:val="auto"/>
                <w:w w:val="84"/>
              </w:rPr>
              <w:t>$1,652,500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47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11, 2010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44,978</w:t>
            </w: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4"/>
              </w:rPr>
              <w:t>$1,652,500</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The RSUs included in the table above were granted under the 2005 Equity Incentive Plan of Lazard Ltd and represent a contingent right to receive an equivalent number of shares of Class A common stock of Lazard Ltd. The RSUs shown in the table were valued by multiplying the number of RSUs awarded to each named executive officer by the closing price-per-share of Class A common stock of Lazard Ltd on the NYSE on the five trading days prior to February 11, 2010 ($36.74). The RSUs granted on February 11, 2010 to each of our named executive officers relate to 2009 performance and will vest as follows: one-third on March 1, 2012 and two-thirds on March 1, 2013. Each of our named executive officers signed an RSU agreement in connection with his award. In general, these agreements provide that non-vested RSUs are forfeited on termination of employment, except in limited cases such as death, disability, a termination by the Company other than for “cause” or a qualifying retirement pursuant to the Company’s RSU Retirement Policy. </w:t>
      </w:r>
      <w:r>
        <w:rPr>
          <w:rFonts w:ascii="Arial" w:cs="Arial" w:eastAsia="Arial" w:hAnsi="Arial"/>
          <w:sz w:val="16"/>
          <w:szCs w:val="16"/>
          <w:i w:val="1"/>
          <w:iCs w:val="1"/>
          <w:color w:val="auto"/>
        </w:rPr>
        <w:t>See</w:t>
      </w:r>
      <w:r>
        <w:rPr>
          <w:rFonts w:ascii="Arial" w:cs="Arial" w:eastAsia="Arial" w:hAnsi="Arial"/>
          <w:sz w:val="16"/>
          <w:szCs w:val="16"/>
          <w:color w:val="auto"/>
        </w:rPr>
        <w:t xml:space="preserve"> “RSU Retirement Policy.” In the event of a “change in control” of Lazard Ltd (as defined in the 2005 Equity Incentive Plan), any unvested but outstanding RSUs automatically will vest. All RSUs receive dividend equivalents at the same rate that dividends are paid on shares of Class A common stock. These dividend equivalents are credited in the form of additional RSUs with the same restrictions as the underlying RSUs to which they relate. In addition, the RSU agreements contain standard covenants including, among others, noncompetition and nonsolicitation of our clients and employees.</w:t>
      </w:r>
    </w:p>
    <w:p>
      <w:pPr>
        <w:spacing w:after="0" w:line="11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u w:val="single" w:color="auto"/>
          <w:color w:val="auto"/>
        </w:rPr>
        <w:t>RSU Retirement Policy</w:t>
      </w:r>
      <w:r>
        <w:rPr>
          <w:rFonts w:ascii="Arial" w:cs="Arial" w:eastAsia="Arial" w:hAnsi="Arial"/>
          <w:sz w:val="18"/>
          <w:szCs w:val="18"/>
          <w:color w:val="auto"/>
        </w:rPr>
        <w:t>. In January 2010, Lazard Ltd amended its retirement policy with respect to RSU awards in order to align its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with those of its peers. Pursuant to Lazard Ltd’s RSU Retirement Policy, outstanding and unvested RSUs will vest (and in the case of K-1 partners, be settled in restricted stock) as long as (i) the RSU holder is at least 56 years old, (ii) the RSU holder has attained at least five years of service with the Company and (iii) the sum of the RSU holder’s actual age and years of service is at least 70. However, following retirement, the restricted stock granted to the former RSU holders remain subject to all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restrictive covenants, including continued compliance with non-compete, non-solicit and other provisions contained in the original RSU award agreement through the original vesting date of the RSUs. Any dividends payable with respect to the restricted stock are held in escrow until the forfeiture provisions lapse. A recipient of restricted stock is required to make an election under Section 83(b) of the Internal Revenue Code, which subjects him or her to taxation on such restricted stock on the date of grant. With the consent of the compliance department of the Company, a recipient may dispose of up to 50% of the restricted stock granted to him or her to pay such taxes.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To align employee and shareholder interests, Lazard Ltd adopted the 2005 Bonus Plan for purposes of determining annual bonuses for our senior executives. The Compensation Committee of Lazard Ltd has full direct responsibility and authority for determining our Chief Executive Officer’s compensation under the plan. The Compensation Committee of Lazard Ltd reviews and approves the recommendations of our Chief Executive Officer with regard to the compensation of our other executive officers under the plan. Subject to overall compensation limits as determined from time to time and, with respect to plan participants, the terms of the plan, our Chief Executive Officer has responsibility for determining the compensation of all employees except as provided above.</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Amounts payable under the plan are allocated from a bonus pool. The actual size of the bonus pool is determined at the end of each fiscal year, taking into account the results of our operations, total shareholder return and/or other measures of our financial performance or of the financial performance of one or more of our subsidiaries or divisions, as well as competitive compensation practices in the financial services industry. A target maximum ratio of aggregate compensation and benefits expense for the year (including annual incentive payments under the plan) to annual revenue or income (or to similar measures of corporate profitability) may also be taken into account. The bonus pool is allocated among the participants in the plan with respect to each fiscal year. This allocation may be made at any time prior to payment of bonuses for such year and may take into account any factors deemed appropriate, including, without limitation, assessments of individual, subsidiary or division performance and input of management.</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Amounts payable with respect to bonuses may be satisfied in cash, through equity awards granted under either Lazard Ltd’s 2008 Incentive Compensation Plan or 2005 Equity Incentive Plan or through Lazard Fund Interest awards.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Agreements with Named Executive Officers</w:t>
      </w:r>
    </w:p>
    <w:p>
      <w:pPr>
        <w:spacing w:after="0" w:line="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Each of the named executive officers has entered into a retention agreement with the Company. Generally, the provision of services under the retention agreements is terminable by either party upon three months’ notice, and the agreements also contain the terms and conditions set forth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Retention Agreements with Messrs. Jacobs, Stern, Castellano and Hoffman.</w:t>
      </w:r>
    </w:p>
    <w:p>
      <w:pPr>
        <w:spacing w:after="0" w:line="77" w:lineRule="exact"/>
        <w:rPr>
          <w:sz w:val="20"/>
          <w:szCs w:val="20"/>
          <w:color w:val="auto"/>
        </w:rPr>
      </w:pPr>
    </w:p>
    <w:p>
      <w:pPr>
        <w:ind w:left="460"/>
        <w:spacing w:after="0"/>
        <w:tabs>
          <w:tab w:leader="none" w:pos="3340" w:val="left"/>
        </w:tabs>
        <w:rPr>
          <w:sz w:val="20"/>
          <w:szCs w:val="20"/>
          <w:color w:val="auto"/>
        </w:rPr>
      </w:pPr>
      <w:r>
        <w:rPr>
          <w:rFonts w:ascii="Arial" w:cs="Arial" w:eastAsia="Arial" w:hAnsi="Arial"/>
          <w:sz w:val="18"/>
          <w:szCs w:val="18"/>
          <w:i w:val="1"/>
          <w:iCs w:val="1"/>
          <w:u w:val="single" w:color="auto"/>
          <w:color w:val="auto"/>
        </w:rPr>
        <w:t>Compensation and Employee Benefits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Each of Messrs. Jacobs and Stern entered into amended retention agreements with the Company on March 23,</w:t>
      </w:r>
    </w:p>
    <w:p>
      <w:pPr>
        <w:spacing w:after="0" w:line="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2010. Messrs. Castellano and Hoffman entered into amended retention agreements with the Company on May 7, 2008, and with respect to Mr. Hoffman only, the agreement was further amended on February 23, 2011 for the sole purpose of extending the expiration date in order to align its term with the retention agreements with Messrs. Jacobs and Stern. These retention agreements provide for a minimum annual base salary of $900,000 for Mr. Jacobs; $500,000 for Mr. Castellano; $600,000 for Mr. Hoffman; and $750,000 for Mr. Stern. The term of the agreements for Messrs. Jacobs, Hoffman, and Stern expire on March 23, 2013 and for Mr. Castellano on March 31, 2011, unless earlier terminated in accordance with their terms. In addition, each of Messrs. Jacobs, Castellano, Hoffman and Stern is entitled to an annual bonus to be determined under the Company’s applicable annual bonus plan on the same basis as annual bonuses are determined for other executive officers of the Company and paid in the same ratio of cash to equity awards as is applicable to other executives;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he is employed by the Company at the end of the applicable fiscal year.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the retention agreements with each of Messrs. Jacobs, Castellano, Hoffman and Stern provide that each is entitled to participate in employee retirement and welfare benefit plans and programs of the type made available to our most senior executives.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u w:val="single" w:color="auto"/>
          <w:color w:val="auto"/>
        </w:rPr>
        <w:t>Payments and Benefits Upon Certain Terminations of Service</w:t>
      </w:r>
      <w:r>
        <w:rPr>
          <w:rFonts w:ascii="Arial" w:cs="Arial" w:eastAsia="Arial" w:hAnsi="Arial"/>
          <w:sz w:val="16"/>
          <w:szCs w:val="16"/>
          <w:color w:val="auto"/>
        </w:rPr>
        <w:t>. Each retention agreement with our named executive officers provides for certain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in the event of a termination by us other than for “cause” or by the named executive officer for “good reason” (which we refer to below as a “qualifying termination”) prior to March 31, 2011 in the case of Mr. Castellano and prior to March 23, 2013 in the case of Messrs. Jacobs, Hoffman and Stern. The level of the severance benefits depends on whether the applicable termination occurs prior to or following a “change in control” of Lazard Ltd.</w:t>
      </w:r>
    </w:p>
    <w:p>
      <w:pPr>
        <w:spacing w:after="0" w:line="9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the event of a qualifying termination of any of Messrs. Jacobs, Castellano, Hoffman or Stern prior to a “change in control,” the executive generally would be entitled to receive in a lump sum: (1) any unpaid base salary accrued through the date of termination; (2) any earned but unpaid bonuses for years completed prior to the date of termination; (3) a prorated bonus for the year of termination; and (4) a severance payment in the following amount: two times (three times with respect to Mr. Jacobs until he receives a qualifying award) the sum of such executive officer’s base salary and average annual bonus for the two fiscal years that ended prior to the date of such executive officer’s termination. For purposes of Mr. Jacobs’ amended retention agreement, “qualifying award” means a new long-term incentive award with a grant value reasonably agreed by the Company, Lazard Ltd and Mr. Jacobs in good faith and that accelerates upon a “change in control” or a qualifying termination. Upon such a qualifying termination, Messrs. Jacobs, Castellano, Hoffman and Stern and their eligible dependents would generally continue to be eligible to participate in the Company’s medical and dental benefit plans, on the same basis as in effect immediately prior to the date of termination (which currently requires the named executive officer to pay a portion of the premiums), for two years (three years with respect to Mr. Jacobs until he receives a qualifying award) following such termination. The period of such medical and dental benefits continuation would generally be credited towards the named executive officer’s credited age and service for the purpose of our retiree medical program.</w:t>
      </w:r>
    </w:p>
    <w:p>
      <w:pPr>
        <w:spacing w:after="0" w:line="11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event of a qualifying termination of any of Messrs. Jacobs, Castellano, Hoffman or Stern on or following a “change in control,” such executive officer would receive the severance payments and benefits described in the preceding paragraph, except that the severance payments would be in the following amount: three times the sum of such executive officer’s base salary and average annual bonus for the two fiscal years that ended prior to the date of such executive officer’s termination. In addition, each of Messrs. Jacobs, Castellano, Hoffman or Stern, and their eligible dependents, would be eligible for continued participation in our medical and dental benefit plans and receive age and service credit, as described above, except that the applicable period would be three years following the date of termination of service.</w:t>
      </w:r>
    </w:p>
    <w:p>
      <w:pPr>
        <w:spacing w:after="0" w:line="131"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In addition to the post-employment medical and dental benefits described above, following a termination of Mr. Jacobs’ service for any reason other than for cause, Mr. Jacobs and his eligible dependents would be eligible for continued participation in our medical and dental benefits plans for the remainder of</w:t>
      </w:r>
    </w:p>
    <w:p>
      <w:pPr>
        <w:spacing w:after="0" w:line="261" w:lineRule="auto"/>
        <w:rPr>
          <w:sz w:val="20"/>
          <w:szCs w:val="20"/>
          <w:color w:val="auto"/>
        </w:rPr>
      </w:pPr>
      <w:r>
        <w:rPr>
          <w:rFonts w:ascii="Arial" w:cs="Arial" w:eastAsia="Arial" w:hAnsi="Arial"/>
          <w:sz w:val="18"/>
          <w:szCs w:val="18"/>
          <w:color w:val="auto"/>
        </w:rPr>
        <w:t>Mr. Jacobs’ life and that of his current spouse, with Mr. Jacobs or his spouse paying the full cost of all premiums associated with such coverage (other than during the periods following a qualified termination described above).</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order to facilitate Mr. Jacobs’ performance of his duties, Mr. Jacobs’ amended retention agreement provides that he is entitled to limited personal use of the Company’s aircraft in a manner consistent with the policy adopted by the Compensation Committee of Lazard Ltd, and will be required to reimburse the Company for the cost of such personal usage.</w:t>
      </w:r>
    </w:p>
    <w:p>
      <w:pPr>
        <w:spacing w:after="0" w:line="12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u w:val="single" w:color="auto"/>
          <w:color w:val="auto"/>
        </w:rPr>
        <w:t>Change in Control Excise Tax Gross-up</w:t>
      </w:r>
      <w:r>
        <w:rPr>
          <w:rFonts w:ascii="Arial" w:cs="Arial" w:eastAsia="Arial" w:hAnsi="Arial"/>
          <w:sz w:val="16"/>
          <w:szCs w:val="16"/>
          <w:color w:val="auto"/>
        </w:rPr>
        <w:t>. Each retention agreement with our named executive officers provides that in the event that the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receipt of any payment made by us under the retention agreement or otherwise is subject to the excise tax imposed under Section 4999 of the Code, an additional payment will be made to restore the executive to the after-tax position that he would have been in if the excise tax had not been imposed.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i w:val="1"/>
          <w:iCs w:val="1"/>
          <w:u w:val="single" w:color="auto"/>
          <w:color w:val="auto"/>
        </w:rPr>
        <w:t>Noncompetition and Nonsolicitation of Clients</w:t>
      </w:r>
      <w:r>
        <w:rPr>
          <w:rFonts w:ascii="Arial" w:cs="Arial" w:eastAsia="Arial" w:hAnsi="Arial"/>
          <w:sz w:val="16"/>
          <w:szCs w:val="16"/>
          <w:color w:val="auto"/>
        </w:rPr>
        <w:t>. While providing services to the Company and during the three-month period following termination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services (one-month period in the event of such a termination by us without cause), the named executive officer may not:</w:t>
      </w:r>
    </w:p>
    <w:p>
      <w:pPr>
        <w:spacing w:after="0" w:line="1" w:lineRule="exact"/>
        <w:rPr>
          <w:sz w:val="20"/>
          <w:szCs w:val="20"/>
          <w:color w:val="auto"/>
        </w:rPr>
      </w:pPr>
    </w:p>
    <w:p>
      <w:pPr>
        <w:ind w:left="780" w:right="20" w:hanging="326"/>
        <w:spacing w:after="0" w:line="298" w:lineRule="auto"/>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Perform services in a line of business that is similar to any line of business in which the named executive officer provided services to us in a capacity that is similar to the capacity in which the named executive officer acted for us while providing services to us (“competing services”) for any business enterprise that engages in any activity, or owns a significant interest in any entity that engages in any activity, that competes with any activity in which we are engaged up to and including the date of termination of employment (a “competitive enterprise”),</w:t>
      </w:r>
    </w:p>
    <w:p>
      <w:pPr>
        <w:spacing w:after="0" w:line="18" w:lineRule="exact"/>
        <w:rPr>
          <w:rFonts w:ascii="Arial" w:cs="Arial" w:eastAsia="Arial" w:hAnsi="Arial"/>
          <w:sz w:val="16"/>
          <w:szCs w:val="16"/>
          <w:color w:val="auto"/>
        </w:rPr>
      </w:pPr>
    </w:p>
    <w:p>
      <w:pPr>
        <w:ind w:left="780" w:hanging="326"/>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Acquire an ownership or voting interest of 5% or more in any competitive enterprise, or</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Solicit any of our clients on behalf of a competitive enterprise in connection with the performance of services that would be competing services, or otherwise interfere with or disrupt any client’s relationship with us.</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i w:val="1"/>
          <w:iCs w:val="1"/>
          <w:u w:val="single" w:color="auto"/>
          <w:color w:val="auto"/>
        </w:rPr>
        <w:t>Nonsolicitation of Employees</w:t>
      </w:r>
      <w:r>
        <w:rPr>
          <w:rFonts w:ascii="Arial" w:cs="Arial" w:eastAsia="Arial" w:hAnsi="Arial"/>
          <w:sz w:val="16"/>
          <w:szCs w:val="16"/>
          <w:color w:val="auto"/>
        </w:rPr>
        <w:t>. While providing services to us and during the six-month period following termination of the named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the named executive officer may not, directly or indirectly, in any manner, solicit or hire any of our employees at the associate level or above to apply for, or accept employment with, any competitive enterprise, or otherwise interfere with any such employee’s relationship with us.</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u w:val="single" w:color="auto"/>
          <w:color w:val="auto"/>
        </w:rPr>
        <w:t>Transfer of Client Relationships, Nondisparagement and Notice Period Restrictions</w:t>
      </w:r>
      <w:r>
        <w:rPr>
          <w:rFonts w:ascii="Arial" w:cs="Arial" w:eastAsia="Arial" w:hAnsi="Arial"/>
          <w:sz w:val="16"/>
          <w:szCs w:val="16"/>
          <w:color w:val="auto"/>
        </w:rPr>
        <w:t>. The named executive officer is required, upon termination of his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us and during the 90-day period following termination, to take all actions and do all things reasonably requested by us to maintain for us the business, goodwill and business relationships with our clients with which he worked; provided that such actions and things do not materially interfere with other employment or professional activities of the named executive officer. In addition, while providing services to us and thereafter, the named executive officer generally may not disparage us, and before and during the three-month notice period prior to termination, the named executive officer is prohibited from entering into a written agreement to perform services for a competitive enterprise.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Retention Agreement with Mr. Bhutani.</w:t>
      </w:r>
    </w:p>
    <w:p>
      <w:pPr>
        <w:spacing w:after="0" w:line="7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i w:val="1"/>
          <w:iCs w:val="1"/>
          <w:u w:val="single" w:color="auto"/>
          <w:color w:val="auto"/>
        </w:rPr>
        <w:t>Compensation and Employee Benefits</w:t>
      </w:r>
      <w:r>
        <w:rPr>
          <w:rFonts w:ascii="Arial" w:cs="Arial" w:eastAsia="Arial" w:hAnsi="Arial"/>
          <w:sz w:val="16"/>
          <w:szCs w:val="16"/>
          <w:color w:val="auto"/>
        </w:rPr>
        <w:t>. Mr. Bhutani entered into a retention agreement with the Company on March 15, 2005 substantially in the form</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to all managing directors prior to Lazard Ltd’s equity public offering who were not then executive officers (including Messrs. Parr and Jordan).</w:t>
      </w:r>
    </w:p>
    <w:p>
      <w:pPr>
        <w:jc w:val="both"/>
        <w:ind w:right="80"/>
        <w:spacing w:after="0" w:line="255" w:lineRule="auto"/>
        <w:rPr>
          <w:sz w:val="20"/>
          <w:szCs w:val="20"/>
          <w:color w:val="auto"/>
        </w:rPr>
      </w:pPr>
      <w:r>
        <w:rPr>
          <w:rFonts w:ascii="Arial" w:cs="Arial" w:eastAsia="Arial" w:hAnsi="Arial"/>
          <w:sz w:val="18"/>
          <w:szCs w:val="18"/>
          <w:color w:val="auto"/>
        </w:rPr>
        <w:t>Mr. Bhutani’s retention agreement provides that he is entitled to a base salary in an amount no less than the amount of his base salary at the time of Lazard Ltd’s equity public offering. In addition, Mr. Bhutani is eligible for an annual bonus at the discretion of the Chief Executive Officer and is eligible to participate in any equity plan for executives of the Company.</w:t>
      </w:r>
    </w:p>
    <w:p>
      <w:pPr>
        <w:spacing w:after="0" w:line="13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the retention agreement with Mr. Bhutani provides that he is entitled to participate in employee retirement and welfare benefit plans and programs of the type made available to managing directors generally.</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u w:val="single" w:color="auto"/>
          <w:color w:val="auto"/>
        </w:rPr>
        <w:t>Payments and Benefits Upon Certain Terminations of Service</w:t>
      </w:r>
      <w:r>
        <w:rPr>
          <w:rFonts w:ascii="Arial" w:cs="Arial" w:eastAsia="Arial" w:hAnsi="Arial"/>
          <w:sz w:val="18"/>
          <w:szCs w:val="18"/>
          <w:color w:val="auto"/>
        </w:rPr>
        <w:t>. Mr. Bhutani’s retention agreement generally does not entitle Mr. Bhutani to any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or benefits upon a termination of employment; however, in the event that the Company terminates Mr. Bhutani’s employment without “cause” without providing three months’ notice, then the Company will provide him with three months continuation of base salary.</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u w:val="single" w:color="auto"/>
          <w:color w:val="auto"/>
        </w:rPr>
        <w:t>Restrictive Covenants</w:t>
      </w:r>
      <w:r>
        <w:rPr>
          <w:rFonts w:ascii="Arial" w:cs="Arial" w:eastAsia="Arial" w:hAnsi="Arial"/>
          <w:sz w:val="16"/>
          <w:szCs w:val="16"/>
          <w:color w:val="auto"/>
        </w:rPr>
        <w:t>. Mr. Bhutani’s retention agreement generally contains the same provisions regarding noncompetition and nonsolicitation of clients,</w:t>
      </w:r>
      <w:r>
        <w:rPr>
          <w:rFonts w:ascii="Arial" w:cs="Arial" w:eastAsia="Arial" w:hAnsi="Arial"/>
          <w:sz w:val="16"/>
          <w:szCs w:val="16"/>
          <w:i w:val="1"/>
          <w:iCs w:val="1"/>
          <w:color w:val="auto"/>
        </w:rPr>
        <w:t xml:space="preserve"> </w:t>
      </w:r>
      <w:r>
        <w:rPr>
          <w:rFonts w:ascii="Arial" w:cs="Arial" w:eastAsia="Arial" w:hAnsi="Arial"/>
          <w:sz w:val="16"/>
          <w:szCs w:val="16"/>
          <w:color w:val="auto"/>
        </w:rPr>
        <w:t>nonsolicitation of employees and transfer of client relationships, nondisparagement and notice period restrictions as the other named executive officers.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2010 Fiscal Year-End</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following table provides information about the number and value of RSUs held by the named executive officers as of December 31, 2010. The market value of the RSUs was calculated based on the closing price of Lazard Ltd’s Class A common stock on the NYSE on December 31, 2010 ($39.49). The table does not include RSU awards that relate to 2010 performance, which were granted in February 2011.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440" w:type="dxa"/>
            <w:vAlign w:val="bottom"/>
            <w:gridSpan w:val="2"/>
          </w:tcPr>
          <w:p>
            <w:pPr>
              <w:jc w:val="center"/>
              <w:ind w:right="1620"/>
              <w:spacing w:after="0"/>
              <w:rPr>
                <w:sz w:val="20"/>
                <w:szCs w:val="20"/>
                <w:color w:val="auto"/>
              </w:rPr>
            </w:pPr>
            <w:r>
              <w:rPr>
                <w:rFonts w:ascii="Arial" w:cs="Arial" w:eastAsia="Arial" w:hAnsi="Arial"/>
                <w:sz w:val="14"/>
                <w:szCs w:val="14"/>
                <w:b w:val="1"/>
                <w:bCs w:val="1"/>
                <w:color w:val="auto"/>
                <w:w w:val="86"/>
              </w:rPr>
              <w:t>Number of Shares of Restricted</w:t>
            </w: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w w:val="91"/>
              </w:rPr>
              <w:t>Market Value of Restricted Stock</w:t>
            </w: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440" w:type="dxa"/>
            <w:vAlign w:val="bottom"/>
            <w:gridSpan w:val="2"/>
          </w:tcPr>
          <w:p>
            <w:pPr>
              <w:jc w:val="center"/>
              <w:ind w:right="1640"/>
              <w:spacing w:after="0" w:line="149" w:lineRule="exact"/>
              <w:rPr>
                <w:sz w:val="20"/>
                <w:szCs w:val="20"/>
                <w:color w:val="auto"/>
              </w:rPr>
            </w:pPr>
            <w:r>
              <w:rPr>
                <w:rFonts w:ascii="Arial" w:cs="Arial" w:eastAsia="Arial" w:hAnsi="Arial"/>
                <w:sz w:val="14"/>
                <w:szCs w:val="14"/>
                <w:b w:val="1"/>
                <w:bCs w:val="1"/>
                <w:color w:val="auto"/>
                <w:w w:val="86"/>
              </w:rPr>
              <w:t>Stock and Restricted Stock</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and Restricted Stock Units That</w:t>
            </w:r>
          </w:p>
        </w:tc>
      </w:tr>
      <w:tr>
        <w:trPr>
          <w:trHeight w:val="161"/>
        </w:trPr>
        <w:tc>
          <w:tcPr>
            <w:tcW w:w="596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344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88"/>
              </w:rPr>
              <w:t>Units That Have Not Vested (1)</w:t>
            </w:r>
          </w:p>
        </w:tc>
        <w:tc>
          <w:tcPr>
            <w:tcW w:w="28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Have Not Vested</w:t>
            </w: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Kenneth M. Jacobs</w:t>
            </w:r>
          </w:p>
        </w:tc>
        <w:tc>
          <w:tcPr>
            <w:tcW w:w="440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481,662</w:t>
            </w:r>
          </w:p>
        </w:tc>
        <w:tc>
          <w:tcPr>
            <w:tcW w:w="16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19,020,832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Michael J. Castellano (2)</w:t>
            </w:r>
          </w:p>
        </w:tc>
        <w:tc>
          <w:tcPr>
            <w:tcW w:w="3440" w:type="dxa"/>
            <w:vAlign w:val="bottom"/>
            <w:gridSpan w:val="2"/>
          </w:tcPr>
          <w:p>
            <w:pPr>
              <w:jc w:val="right"/>
              <w:ind w:right="1620"/>
              <w:spacing w:after="0"/>
              <w:rPr>
                <w:sz w:val="20"/>
                <w:szCs w:val="20"/>
                <w:color w:val="auto"/>
              </w:rPr>
            </w:pPr>
            <w:r>
              <w:rPr>
                <w:rFonts w:ascii="Arial" w:cs="Arial" w:eastAsia="Arial" w:hAnsi="Arial"/>
                <w:sz w:val="18"/>
                <w:szCs w:val="18"/>
                <w:color w:val="auto"/>
              </w:rPr>
              <w:t>42,563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1,680,813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344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451,924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17,846,479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Scott D. Hoffman</w:t>
            </w:r>
          </w:p>
        </w:tc>
        <w:tc>
          <w:tcPr>
            <w:tcW w:w="3440" w:type="dxa"/>
            <w:vAlign w:val="bottom"/>
            <w:gridSpan w:val="2"/>
          </w:tcPr>
          <w:p>
            <w:pPr>
              <w:jc w:val="right"/>
              <w:ind w:right="1620"/>
              <w:spacing w:after="0"/>
              <w:rPr>
                <w:sz w:val="20"/>
                <w:szCs w:val="20"/>
                <w:color w:val="auto"/>
              </w:rPr>
            </w:pPr>
            <w:r>
              <w:rPr>
                <w:rFonts w:ascii="Arial" w:cs="Arial" w:eastAsia="Arial" w:hAnsi="Arial"/>
                <w:sz w:val="18"/>
                <w:szCs w:val="18"/>
                <w:color w:val="auto"/>
              </w:rPr>
              <w:t>121,442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4,795,745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344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146,786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5,796,579</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283"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RSU awards are typically granted to our named executive officers in February of each year under Lazard Ltd’s 2005 Equity Incentive Plan or the 2008 Incentive Compensation Plan, and relate to the prior year’s performance. The scheduled vesting dates for outstanding RSU awards granted to each of the named executive officers are as follows: (i) RSUs granted on February 11, 2010 will vest 33% on March 1, 2012 and 67% on March 1, 2013; (ii) RSUs granted on February 10, 2009 will vest on March 1, 2013; (iii) RSUs granted on January 30, 2008 will vest on March 31, 2011; and (iv) the remaining RSUs granted on January 23, 2007 will vest on March 31, 2011.</w:t>
      </w:r>
    </w:p>
    <w:p>
      <w:pPr>
        <w:spacing w:after="0" w:line="2" w:lineRule="exact"/>
        <w:rPr>
          <w:rFonts w:ascii="Arial" w:cs="Arial" w:eastAsia="Arial" w:hAnsi="Arial"/>
          <w:sz w:val="16"/>
          <w:szCs w:val="16"/>
          <w:color w:val="auto"/>
        </w:rPr>
      </w:pPr>
    </w:p>
    <w:p>
      <w:pPr>
        <w:ind w:left="460" w:right="460" w:hanging="452"/>
        <w:spacing w:after="0" w:line="254"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Castellano, who is currently eligible to retire, had all of his prior RSU awards vest in 2010 pursuant to Lazard Ltd’s RSU Retirement Policy. In accordance with that policy, Mr. Castellano received shares of restricted stock upon the vesting of his prior RSU awards, less shares withheld by the Company to cover certain tax liabilities. The restrictions on these shares will remain in place until the originally scheduled vesting date of each of the underlying RSU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Vested</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sets forth certain information concerning RSUs held by our named executive officers that vested in 2010. The value realized on vesting was calculated based on the closing price of Lazard Ltd’s Class A common stock on the NYSE on the date immediately preceding the vesting date.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8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5"/>
              </w:rPr>
              <w:t>Value Realized</w:t>
            </w:r>
          </w:p>
        </w:tc>
      </w:tr>
      <w:tr>
        <w:trPr>
          <w:trHeight w:val="161"/>
        </w:trPr>
        <w:tc>
          <w:tcPr>
            <w:tcW w:w="840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83"/>
              </w:rPr>
              <w:t>Acquired on Vesting</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on Vesting</w:t>
            </w: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Kenneth M. Jacobs</w:t>
            </w:r>
          </w:p>
        </w:tc>
        <w:tc>
          <w:tcPr>
            <w:tcW w:w="68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81,429</w:t>
            </w:r>
          </w:p>
        </w:tc>
        <w:tc>
          <w:tcPr>
            <w:tcW w:w="8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2,916,787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Michael J. Castellano (1)</w:t>
            </w:r>
          </w:p>
        </w:tc>
        <w:tc>
          <w:tcPr>
            <w:tcW w:w="1220" w:type="dxa"/>
            <w:vAlign w:val="bottom"/>
          </w:tcPr>
          <w:p>
            <w:pPr>
              <w:jc w:val="right"/>
              <w:spacing w:after="0"/>
              <w:rPr>
                <w:sz w:val="20"/>
                <w:szCs w:val="20"/>
                <w:color w:val="auto"/>
              </w:rPr>
            </w:pPr>
            <w:r>
              <w:rPr>
                <w:rFonts w:ascii="Arial" w:cs="Arial" w:eastAsia="Arial" w:hAnsi="Arial"/>
                <w:sz w:val="18"/>
                <w:szCs w:val="18"/>
                <w:color w:val="auto"/>
              </w:rPr>
              <w:t>49,046</w:t>
            </w:r>
          </w:p>
        </w:tc>
        <w:tc>
          <w:tcPr>
            <w:tcW w:w="96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1,723,593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Ashish Bhutani</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240,432</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7,619,939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Scott D. Hoffman</w:t>
            </w:r>
          </w:p>
        </w:tc>
        <w:tc>
          <w:tcPr>
            <w:tcW w:w="1220" w:type="dxa"/>
            <w:vAlign w:val="bottom"/>
          </w:tcPr>
          <w:p>
            <w:pPr>
              <w:jc w:val="right"/>
              <w:spacing w:after="0"/>
              <w:rPr>
                <w:sz w:val="20"/>
                <w:szCs w:val="20"/>
                <w:color w:val="auto"/>
              </w:rPr>
            </w:pPr>
            <w:r>
              <w:rPr>
                <w:rFonts w:ascii="Arial" w:cs="Arial" w:eastAsia="Arial" w:hAnsi="Arial"/>
                <w:sz w:val="18"/>
                <w:szCs w:val="18"/>
                <w:color w:val="auto"/>
              </w:rPr>
              <w:t>16,406</w:t>
            </w:r>
          </w:p>
        </w:tc>
        <w:tc>
          <w:tcPr>
            <w:tcW w:w="96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587,663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F. Stern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1,183,135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94"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Mr. Castellano, who is currently eligible to retire, had all of his prior RSU awards vest in 2010 pursuant to Lazard Ltd’s RSU Retirement Policy. In accordance with that policy, Mr. Castellano received shares of restricted stock upon the vesting of his prior RSU awards, less shares withheld by the Company to cover certain tax liabilities. The number of shares acquired on vesting and the value realized (i) reflects the shares withheld to cover certain tax liabilities triggered by the terms of our RSU Retirement Policy and (ii) the shares of restricted stock that became unrestricted on March 31, 2010 in accordance with the vesting scheduled of the underlying RSU award in January 2006.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provides information with respect to Lazard Frères &amp; Co. LLC Employees’ Pension Plan, a qualified defined-benefit pension plan, and a related supplemental defined-benefit pension plan. Each of Messrs.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Jacobs, Hoffman and Stern has an accrued benefit under the Lazard Frères &amp; Co. LLC Employees’ Pension Plan, and Messrs. Hoffman and Stern have accrued additional benefits under the related supplemental defined-benefit pension plan. The annual benefit under such plans, payable as a single life annuity commencing at age 65, would be $6,447 for Mr. Jacobs, $18,845 for Mr. Hoffman and $12,421 for Mr. Stern. Under the terms of the supplemental defined-benefit pension plan, the benefits are only payable in a single lump sum payment. These benefits accrued in each case prior to the applicable officer’s becoming a managing director of the Company. Benefit accruals under both of these plans were frozen for all participants effective January 31, 2005. For a discussion of the valuation method and all material assumptions applied in quantifying the present value of the current accrued benefit, see Note 17 of Notes to the Company’s Consolidated Financial Statements. Messrs. Bhutani and Castellano do not participate in any of these plans.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5"/>
              </w:rPr>
              <w:t>Number of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3"/>
              </w:rPr>
              <w:t>Present Value of</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Plan Name</w:t>
            </w:r>
          </w:p>
        </w:tc>
        <w:tc>
          <w:tcPr>
            <w:tcW w:w="680" w:type="dxa"/>
            <w:vAlign w:val="bottom"/>
          </w:tcPr>
          <w:p>
            <w:pPr>
              <w:spacing w:after="0"/>
              <w:rPr>
                <w:sz w:val="12"/>
                <w:szCs w:val="12"/>
                <w:color w:val="auto"/>
              </w:rPr>
            </w:pPr>
          </w:p>
        </w:tc>
        <w:tc>
          <w:tcPr>
            <w:tcW w:w="176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of Credited</w:t>
            </w:r>
          </w:p>
        </w:tc>
        <w:tc>
          <w:tcPr>
            <w:tcW w:w="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Accumulated</w:t>
            </w:r>
          </w:p>
        </w:tc>
        <w:tc>
          <w:tcPr>
            <w:tcW w:w="76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61"/>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660" w:type="dxa"/>
            <w:vAlign w:val="bottom"/>
          </w:tcPr>
          <w:p>
            <w:pPr>
              <w:spacing w:after="0"/>
              <w:rPr>
                <w:sz w:val="14"/>
                <w:szCs w:val="14"/>
                <w:color w:val="auto"/>
              </w:rPr>
            </w:pPr>
          </w:p>
        </w:tc>
        <w:tc>
          <w:tcPr>
            <w:tcW w:w="26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Service (1)</w:t>
            </w: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w w:val="96"/>
              </w:rPr>
              <w:t>Benefit ($) (2)</w:t>
            </w:r>
          </w:p>
        </w:tc>
        <w:tc>
          <w:tcPr>
            <w:tcW w:w="7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 xml:space="preserve">Fiscal Year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Kenneth M. Jacobs</w:t>
            </w:r>
          </w:p>
        </w:tc>
        <w:tc>
          <w:tcPr>
            <w:tcW w:w="1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Lazard Frères &amp; Co. LLC</w:t>
            </w:r>
          </w:p>
        </w:tc>
        <w:tc>
          <w:tcPr>
            <w:tcW w:w="6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Employees’ Pension Plan</w:t>
            </w:r>
          </w:p>
        </w:tc>
        <w:tc>
          <w:tcPr>
            <w:tcW w:w="24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35,979</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Scott D. Hoffman</w:t>
            </w:r>
          </w:p>
        </w:tc>
        <w:tc>
          <w:tcPr>
            <w:tcW w:w="3300" w:type="dxa"/>
            <w:vAlign w:val="bottom"/>
            <w:gridSpan w:val="2"/>
          </w:tcPr>
          <w:p>
            <w:pPr>
              <w:ind w:left="660"/>
              <w:spacing w:after="0"/>
              <w:rPr>
                <w:sz w:val="20"/>
                <w:szCs w:val="20"/>
                <w:color w:val="auto"/>
              </w:rPr>
            </w:pPr>
            <w:r>
              <w:rPr>
                <w:rFonts w:ascii="Arial" w:cs="Arial" w:eastAsia="Arial" w:hAnsi="Arial"/>
                <w:sz w:val="18"/>
                <w:szCs w:val="18"/>
                <w:color w:val="auto"/>
              </w:rPr>
              <w:t>Lazard Frères &amp; Co. LLC</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00" w:type="dxa"/>
            <w:vAlign w:val="bottom"/>
            <w:gridSpan w:val="2"/>
          </w:tcPr>
          <w:p>
            <w:pPr>
              <w:ind w:left="660"/>
              <w:spacing w:after="0"/>
              <w:rPr>
                <w:sz w:val="20"/>
                <w:szCs w:val="20"/>
                <w:color w:val="auto"/>
              </w:rPr>
            </w:pPr>
            <w:r>
              <w:rPr>
                <w:rFonts w:ascii="Arial" w:cs="Arial" w:eastAsia="Arial" w:hAnsi="Arial"/>
                <w:sz w:val="18"/>
                <w:szCs w:val="18"/>
                <w:color w:val="auto"/>
              </w:rPr>
              <w:t>Employees’ Pension Plan</w:t>
            </w:r>
          </w:p>
        </w:tc>
        <w:tc>
          <w:tcPr>
            <w:tcW w:w="2440" w:type="dxa"/>
            <w:vAlign w:val="bottom"/>
            <w:gridSpan w:val="3"/>
          </w:tcPr>
          <w:p>
            <w:pPr>
              <w:jc w:val="right"/>
              <w:ind w:right="7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48,599</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Supplemental Defined-Benefit</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40" w:type="dxa"/>
            <w:vAlign w:val="bottom"/>
            <w:gridSpan w:val="3"/>
            <w:vMerge w:val="restart"/>
          </w:tcPr>
          <w:p>
            <w:pPr>
              <w:spacing w:after="0"/>
              <w:rPr>
                <w:sz w:val="20"/>
                <w:szCs w:val="20"/>
                <w:color w:val="auto"/>
              </w:rPr>
            </w:pPr>
            <w:r>
              <w:rPr>
                <w:rFonts w:ascii="Arial" w:cs="Arial" w:eastAsia="Arial" w:hAnsi="Arial"/>
                <w:sz w:val="18"/>
                <w:szCs w:val="18"/>
                <w:color w:val="auto"/>
              </w:rPr>
              <w:t>Alexander F. Stern</w:t>
            </w:r>
          </w:p>
        </w:tc>
        <w:tc>
          <w:tcPr>
            <w:tcW w:w="3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Pension</w:t>
            </w:r>
          </w:p>
        </w:tc>
        <w:tc>
          <w:tcPr>
            <w:tcW w:w="24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37,808</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040" w:type="dxa"/>
            <w:vAlign w:val="bottom"/>
            <w:gridSpan w:val="3"/>
            <w:vMerge w:val="continue"/>
          </w:tcPr>
          <w:p>
            <w:pPr>
              <w:spacing w:after="0"/>
              <w:rPr>
                <w:sz w:val="18"/>
                <w:szCs w:val="18"/>
                <w:color w:val="auto"/>
              </w:rPr>
            </w:pPr>
          </w:p>
        </w:tc>
        <w:tc>
          <w:tcPr>
            <w:tcW w:w="3300" w:type="dxa"/>
            <w:vAlign w:val="bottom"/>
            <w:gridSpan w:val="2"/>
          </w:tcPr>
          <w:p>
            <w:pPr>
              <w:ind w:left="660"/>
              <w:spacing w:after="0"/>
              <w:rPr>
                <w:sz w:val="20"/>
                <w:szCs w:val="20"/>
                <w:color w:val="auto"/>
              </w:rPr>
            </w:pPr>
            <w:r>
              <w:rPr>
                <w:rFonts w:ascii="Arial" w:cs="Arial" w:eastAsia="Arial" w:hAnsi="Arial"/>
                <w:sz w:val="18"/>
                <w:szCs w:val="18"/>
                <w:color w:val="auto"/>
              </w:rPr>
              <w:t>Lazard Frères &amp; Co. LLC</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00" w:type="dxa"/>
            <w:vAlign w:val="bottom"/>
            <w:gridSpan w:val="2"/>
          </w:tcPr>
          <w:p>
            <w:pPr>
              <w:ind w:left="660"/>
              <w:spacing w:after="0"/>
              <w:rPr>
                <w:sz w:val="20"/>
                <w:szCs w:val="20"/>
                <w:color w:val="auto"/>
              </w:rPr>
            </w:pPr>
            <w:r>
              <w:rPr>
                <w:rFonts w:ascii="Arial" w:cs="Arial" w:eastAsia="Arial" w:hAnsi="Arial"/>
                <w:sz w:val="18"/>
                <w:szCs w:val="18"/>
                <w:color w:val="auto"/>
              </w:rPr>
              <w:t>Employees’ Pension Plan</w:t>
            </w:r>
          </w:p>
        </w:tc>
        <w:tc>
          <w:tcPr>
            <w:tcW w:w="2440" w:type="dxa"/>
            <w:vAlign w:val="bottom"/>
            <w:gridSpan w:val="3"/>
          </w:tcPr>
          <w:p>
            <w:pPr>
              <w:jc w:val="right"/>
              <w:ind w:right="7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42,332</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Supplemental Defined-Benefit</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Pension Plan</w:t>
            </w:r>
          </w:p>
        </w:tc>
        <w:tc>
          <w:tcPr>
            <w:tcW w:w="24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86"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Mr. Jacobs has been employed by the Company for 23 years, Mr. Hoffman 17 years and Mr. Stern 15 years. Mr. Jacobs became a managing director of the Company in 1991, Mr. Hoffman in 1999 and Mr. Stern in 2002, at which point they ceased accruing benefits under these plans.</w:t>
      </w:r>
    </w:p>
    <w:p>
      <w:pPr>
        <w:ind w:left="460" w:right="60" w:hanging="452"/>
        <w:spacing w:after="0" w:line="252"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calculating the present value of accumulated benefits outlined above, Messrs. Jacobs, Hoffman and Stern are assumed to live to age 65 and subsequently retire. They are also assumed to choose the single life annuity form of benefit under the Lazard Frères &amp; Co. LLC Employees’ Pension Plan and the lump sum form of benefit under the Supplemental Defined-Benefit Pension Plan (for Mr. Hoffman and Mr. Stern only). The interest rate and mortality used to determine the Employees’ Pension Plan present value is 5.60% for all years and the RP-2000 Mortality Table (with 9 years improvement and adjusted for white collar workers) after retirement only. The Supplemental Defined-Benefit Pension Plan assumes that the annuity benefit will be converted to a lump sum at age 65 using a 5.35% interest rate and the mortality outlined in IRS Notice 2008-85 applicable for lump sum payments (projected to the year participant attains age 65 using Scale AA). A 5.60% discount rate is used to determine the present value of this single payment at age 65 at December 31, 2010.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8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As described above, each of our named executive officers, other than Mr. Bhutani, has entered into a retention agreement with the Company that provides for certain severance benefits in the event of a termination by us other than for “cause” or by such named executive officer for “good reason” prior to</w:t>
      </w:r>
    </w:p>
    <w:p>
      <w:pPr>
        <w:ind w:right="40" w:firstLine="8"/>
        <w:spacing w:after="0" w:line="255" w:lineRule="auto"/>
        <w:tabs>
          <w:tab w:leader="none" w:pos="21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March 31, 2011 for Mr. Castellano and (ii) March 23, 2013 for Messrs. Jacobs, Hoffman and Stern. The level of the severance benefits depends on whether the applicable termination occurs prior to or following a “change in control of Lazard Ltd.” For a discussion of the severance benefits provided pursuant to the retention agreements, see “Retention Agreements with Named Executive Officers.”</w:t>
      </w:r>
    </w:p>
    <w:p>
      <w:pPr>
        <w:spacing w:after="0" w:line="13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of our named executive officers has received RSUs pursuant to Lazard Ltd’s 2005 Equity Incentive Plan or 2008 Incentive Compensation Plan. In the event of a “change in control” of Lazard Ltd, all RSUs granted under Lazard Ltd’s 2005 Equity Incentive Plan or 2008 Incentive Compensation Plan will automatically vest.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table shows the potential payments that would be made by the Company to each of the named executive officers assuming that such officers’ employment with the Company terminated, or a “change in control” occurred, on December 31, 2010 under the circumstances outlined in the table. As a result, the RSU awards granted in February 2011 (which relate to 2010 performance) are not reflected in the table. For purposes of this table, the price of Lazard Ltd’s Class A common stock is assumed to be $39.49, which was the closing price on December 31, 2010.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center"/>
              <w:ind w:left="655"/>
              <w:spacing w:after="0"/>
              <w:rPr>
                <w:sz w:val="20"/>
                <w:szCs w:val="20"/>
                <w:color w:val="auto"/>
              </w:rPr>
            </w:pPr>
            <w:r>
              <w:rPr>
                <w:rFonts w:ascii="Arial" w:cs="Arial" w:eastAsia="Arial" w:hAnsi="Arial"/>
                <w:sz w:val="14"/>
                <w:szCs w:val="14"/>
                <w:b w:val="1"/>
                <w:bCs w:val="1"/>
                <w:color w:val="auto"/>
                <w:w w:val="88"/>
              </w:rPr>
              <w:t>Prior to a Change in Control</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9"/>
              </w:rPr>
              <w:t>On or After a Change in Control</w:t>
            </w:r>
          </w:p>
        </w:tc>
      </w:tr>
      <w:tr>
        <w:trPr>
          <w:trHeight w:val="129"/>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92"/>
              </w:rPr>
              <w:t>Involuntary</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Termination</w:t>
            </w: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without</w:t>
            </w: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Involuntary</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“Cause”</w:t>
            </w: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Resignation for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or Resignation</w:t>
            </w: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Death 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without</w:t>
            </w:r>
          </w:p>
        </w:tc>
        <w:tc>
          <w:tcPr>
            <w:tcW w:w="100" w:type="dxa"/>
            <w:vAlign w:val="bottom"/>
          </w:tcPr>
          <w:p>
            <w:pPr>
              <w:spacing w:after="0"/>
              <w:rPr>
                <w:sz w:val="12"/>
                <w:szCs w:val="12"/>
                <w:color w:val="auto"/>
              </w:rPr>
            </w:pPr>
          </w:p>
        </w:tc>
        <w:tc>
          <w:tcPr>
            <w:tcW w:w="82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“Good</w:t>
            </w:r>
          </w:p>
        </w:tc>
        <w:tc>
          <w:tcPr>
            <w:tcW w:w="32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 Termination</w:t>
            </w:r>
          </w:p>
        </w:tc>
        <w:tc>
          <w:tcPr>
            <w:tcW w:w="1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Death or</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Named Executive Officer</w:t>
            </w:r>
          </w:p>
        </w:tc>
        <w:tc>
          <w:tcPr>
            <w:tcW w:w="100" w:type="dxa"/>
            <w:vAlign w:val="bottom"/>
          </w:tcPr>
          <w:p>
            <w:pPr>
              <w:spacing w:after="0"/>
              <w:rPr>
                <w:sz w:val="14"/>
                <w:szCs w:val="14"/>
                <w:color w:val="auto"/>
              </w:rPr>
            </w:pPr>
          </w:p>
        </w:tc>
        <w:tc>
          <w:tcPr>
            <w:tcW w:w="82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Disability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“Cause”</w:t>
            </w:r>
          </w:p>
        </w:tc>
        <w:tc>
          <w:tcPr>
            <w:tcW w:w="10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rPr>
              <w:t>Reason”</w:t>
            </w:r>
          </w:p>
        </w:tc>
        <w:tc>
          <w:tcPr>
            <w:tcW w:w="3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of Employment</w:t>
            </w: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Reason” (1)</w:t>
            </w: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2"/>
              </w:rPr>
              <w:t>Kenneth M. Jacobs</w:t>
            </w:r>
          </w:p>
        </w:tc>
        <w:tc>
          <w:tcPr>
            <w:tcW w:w="2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Severance Payment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20,916,345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20,916,345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20,916,345</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 Vesting (1)(2)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19,020,832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19,020,832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19,020,832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19,020,832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19,020,832</w:t>
            </w: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Pro-rata Annual Incentive Payment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13,900,000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13,900,000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13,900,000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13,900,000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13,900,000</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Excise Tax Gross-up Payment (4)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11,103,023</w:t>
            </w: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Michael J. Castellano</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4,600,000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6,900,000</w:t>
            </w: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RSU Vesting (1)(2)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Pro-rata Annual Incentive Payment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2,250,000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2,250,000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2,250,000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w:t>
            </w: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Excise Tax Gross-up Payment (4)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2,889,614</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Ashish Bhutani</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Severance Payment (5)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 Vesting (1)(2)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17,846,479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17,846,479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17,846,479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17,846,479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17,846,479</w:t>
            </w: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Pro-rata Annual Incentive Payment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13,250,000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13,250,000</w:t>
            </w:r>
          </w:p>
        </w:tc>
        <w:tc>
          <w:tcPr>
            <w:tcW w:w="1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Excise Tax Gross-up Payment (4)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Scott D. Hoffman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6,650,000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9,975,000</w:t>
            </w: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RSU Vesting (1)(2)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4,795,745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4,795,745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4,795,745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4,795,745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4,795,745</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Pro-rata Annual Incentive Payment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3,750,000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3,750,000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3,750,000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3,750,000</w:t>
            </w: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Excise Tax Gross-up Payment (4)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5,138,903</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Alexander F. Stern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Severance Payment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6,250,000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9,375,000</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RSU Vesting (1)(2)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5,796,579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5,796,579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5,796,579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5,796,579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5,796,579</w:t>
            </w: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Pro-rata Annual Incentive Payment (3)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5,750,000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5,750,000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5,750,000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5,750,000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5,750,000</w:t>
            </w: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Excise Tax Gross-up Payment (4)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4,399,285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305"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Valuation of all RSU awards is based upon the full value underlying Lazard Ltd’s Class A common stock at the close of business on December 31, 2010, without taking into account any discount for the present value of such awards. Upon a “change in control,” all RSU awards immediately vest in full.</w:t>
      </w:r>
    </w:p>
    <w:p>
      <w:pPr>
        <w:ind w:left="460" w:right="80" w:hanging="452"/>
        <w:spacing w:after="0" w:line="255"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death, all RSU awards vest upon the earlier of 30 days or the scheduled vesting date. Upon disability, or a termination without “cause”, the executive may be immediately taxed on 100% of the shares underlying the RSUs. Accordingly, 50% of the shares underlying the RSUs will be delivered to the executive immediately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2" w:lineRule="auto"/>
        <w:rPr>
          <w:sz w:val="20"/>
          <w:szCs w:val="20"/>
          <w:color w:val="auto"/>
        </w:rPr>
      </w:pPr>
      <w:r>
        <w:rPr>
          <w:rFonts w:ascii="Arial" w:cs="Arial" w:eastAsia="Arial" w:hAnsi="Arial"/>
          <w:sz w:val="18"/>
          <w:szCs w:val="18"/>
          <w:color w:val="auto"/>
        </w:rPr>
        <w:t xml:space="preserve">upon termination to allow payment of taxes, and the remaining 50% will be delivered on the original vesting dates;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executive does not violate his restrictive covenants. The scheduled vesting dates for outstanding RSU awards are as follows: (i) RSUs granted on February 11, 2010 will vest 33% on March 1, 2012 and 67% on March 1, 2013; (ii) RSUs granted on February 10, 2009 will vest on March 31, 2013; (iii) RSUs granted on January 30, 2008 will vest on March 31, 2011; and (iv) the remaining RSUs granted on January 23, 2007 will vest on March 31, 2011. </w:t>
      </w:r>
      <w:r>
        <w:rPr>
          <w:rFonts w:ascii="Arial" w:cs="Arial" w:eastAsia="Arial" w:hAnsi="Arial"/>
          <w:sz w:val="18"/>
          <w:szCs w:val="18"/>
          <w:i w:val="1"/>
          <w:iCs w:val="1"/>
          <w:color w:val="auto"/>
        </w:rPr>
        <w:t>See</w:t>
      </w:r>
      <w:r>
        <w:rPr>
          <w:rFonts w:ascii="Arial" w:cs="Arial" w:eastAsia="Arial" w:hAnsi="Arial"/>
          <w:sz w:val="18"/>
          <w:szCs w:val="18"/>
          <w:color w:val="auto"/>
        </w:rPr>
        <w:t xml:space="preserve"> Footnote (1) to the “Outstanding Equity Awards at 2010 Fiscal Year-End” table.</w:t>
      </w:r>
    </w:p>
    <w:p>
      <w:pPr>
        <w:jc w:val="both"/>
        <w:ind w:left="460" w:right="320" w:hanging="452"/>
        <w:spacing w:after="0" w:line="329" w:lineRule="auto"/>
        <w:tabs>
          <w:tab w:leader="none" w:pos="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Under the terms of the 2005 Bonus Plan, upon death or disability, each named executive officer may receive a pro-rated portion of the annual incentive compensation that he would have received in the absence of such termination. Assuming a December 31, 2010 death or disability, all named executive officers were assumed to have received their full incentive compensation award for 2010 (annual cash bonus plus value of RSU award).</w:t>
      </w:r>
    </w:p>
    <w:p>
      <w:pPr>
        <w:ind w:left="460"/>
        <w:spacing w:after="0" w:line="256" w:lineRule="auto"/>
        <w:rPr>
          <w:rFonts w:ascii="Arial" w:cs="Arial" w:eastAsia="Arial" w:hAnsi="Arial"/>
          <w:sz w:val="15"/>
          <w:szCs w:val="15"/>
          <w:color w:val="auto"/>
        </w:rPr>
      </w:pPr>
      <w:r>
        <w:rPr>
          <w:rFonts w:ascii="Arial" w:cs="Arial" w:eastAsia="Arial" w:hAnsi="Arial"/>
          <w:sz w:val="18"/>
          <w:szCs w:val="18"/>
          <w:color w:val="auto"/>
        </w:rPr>
        <w:t>Pursuant to their retention agreements, in the event of an involuntary termination without “cause” or resignation for “good reason”, each of Messrs. Jacobs, Castellano, Hoffman and Stern is entitled to a pro-rated portion of the bonus payment that he would have received in the absence of such termination. Under such circumstances, we have assumed that each named executive officer would receive his full incentive compensation award for 2010 (annual cash bonus plus value of RSU award).</w:t>
      </w:r>
    </w:p>
    <w:p>
      <w:pPr>
        <w:spacing w:after="0" w:line="48" w:lineRule="exact"/>
        <w:rPr>
          <w:rFonts w:ascii="Arial" w:cs="Arial" w:eastAsia="Arial" w:hAnsi="Arial"/>
          <w:sz w:val="15"/>
          <w:szCs w:val="15"/>
          <w:color w:val="auto"/>
        </w:rPr>
      </w:pPr>
    </w:p>
    <w:p>
      <w:pPr>
        <w:jc w:val="both"/>
        <w:ind w:left="460" w:right="320" w:hanging="452"/>
        <w:spacing w:after="0" w:line="303" w:lineRule="auto"/>
        <w:tabs>
          <w:tab w:leader="none" w:pos="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Amounts represent the amount needed to pay each named executive officer in order to provide him with a gross-up for his excise tax obligations under Section 4999 of the Code, which imposes an excise tax on certain payments made in connection with a “change in control”, and any additional tax cost related to the gross-up payment, assuming that a “change in control” and a qualifying termination of employment occurred on December 31, 2010.</w:t>
      </w:r>
    </w:p>
    <w:p>
      <w:pPr>
        <w:spacing w:after="0" w:line="1" w:lineRule="exact"/>
        <w:rPr>
          <w:rFonts w:ascii="Arial" w:cs="Arial" w:eastAsia="Arial" w:hAnsi="Arial"/>
          <w:sz w:val="15"/>
          <w:szCs w:val="15"/>
          <w:color w:val="auto"/>
        </w:rPr>
      </w:pPr>
    </w:p>
    <w:p>
      <w:pPr>
        <w:jc w:val="both"/>
        <w:ind w:left="460" w:right="60"/>
        <w:spacing w:after="0" w:line="250" w:lineRule="auto"/>
        <w:rPr>
          <w:rFonts w:ascii="Arial" w:cs="Arial" w:eastAsia="Arial" w:hAnsi="Arial"/>
          <w:sz w:val="15"/>
          <w:szCs w:val="15"/>
          <w:color w:val="auto"/>
        </w:rPr>
      </w:pPr>
      <w:r>
        <w:rPr>
          <w:rFonts w:ascii="Arial" w:cs="Arial" w:eastAsia="Arial" w:hAnsi="Arial"/>
          <w:sz w:val="18"/>
          <w:szCs w:val="18"/>
          <w:color w:val="auto"/>
        </w:rPr>
        <w:t>Amounts were determined in accordance with Section 280G of the Code and the regulations issued thereunder, assuming a regular income tax rate ranging from 43.0% to 45.6% based on each named executive officer’s work location and personal residence, each named executive officer’s compensation for the period from 2005-2009 and an interest rate equal to 0.38%.</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Mr. Bhutani is generally not eligible for payments or benefits upon a termination of employment; however, in the event that the Company terminates</w:t>
      </w:r>
    </w:p>
    <w:p>
      <w:pPr>
        <w:spacing w:after="0" w:line="32" w:lineRule="exact"/>
        <w:rPr>
          <w:rFonts w:ascii="Arial" w:cs="Arial" w:eastAsia="Arial" w:hAnsi="Arial"/>
          <w:sz w:val="16"/>
          <w:szCs w:val="16"/>
          <w:color w:val="auto"/>
        </w:rPr>
      </w:pPr>
    </w:p>
    <w:p>
      <w:pPr>
        <w:ind w:left="460" w:right="40"/>
        <w:spacing w:after="0" w:line="255" w:lineRule="auto"/>
        <w:rPr>
          <w:rFonts w:ascii="Arial" w:cs="Arial" w:eastAsia="Arial" w:hAnsi="Arial"/>
          <w:sz w:val="16"/>
          <w:szCs w:val="16"/>
          <w:color w:val="auto"/>
        </w:rPr>
      </w:pPr>
      <w:r>
        <w:rPr>
          <w:rFonts w:ascii="Arial" w:cs="Arial" w:eastAsia="Arial" w:hAnsi="Arial"/>
          <w:sz w:val="18"/>
          <w:szCs w:val="18"/>
          <w:color w:val="auto"/>
        </w:rPr>
        <w:t>Mr. Bhutani’s employment without “cause” without providing three months’ notice, then, in addition to the vesting of his RSUs, the Company will provide him with three months continuation of base salary. For purposes of this chart, it is assumed that the Company will provide Mr. Bhutani with the required notice.</w:t>
      </w:r>
    </w:p>
    <w:p>
      <w:pPr>
        <w:spacing w:after="0" w:line="13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a named executive officer had voluntarily resigned or retired from the Company on December 31, 2010 without “good reason” or was terminated by the Company for cause, he would not have been entitled to receive any severance payments from the Company, and any unvested RSUs would have been forfeited.</w:t>
      </w:r>
    </w:p>
    <w:p>
      <w:pPr>
        <w:spacing w:after="0" w:line="4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With respect to a termination for “cause” of a named executive officer, the term “cause” generally means: (i) conviction of, or a guilty plea or plea of </w:t>
      </w:r>
      <w:r>
        <w:rPr>
          <w:rFonts w:ascii="Arial" w:cs="Arial" w:eastAsia="Arial" w:hAnsi="Arial"/>
          <w:sz w:val="16"/>
          <w:szCs w:val="16"/>
          <w:i w:val="1"/>
          <w:iCs w:val="1"/>
          <w:color w:val="auto"/>
        </w:rPr>
        <w:t>nolo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contendere </w:t>
      </w:r>
      <w:r>
        <w:rPr>
          <w:rFonts w:ascii="Arial" w:cs="Arial" w:eastAsia="Arial" w:hAnsi="Arial"/>
          <w:sz w:val="16"/>
          <w:szCs w:val="16"/>
          <w:color w:val="auto"/>
        </w:rPr>
        <w:t>to, a felony, or of any other crime that legally prohibits the named executive officer from working for the Company; (ii) a breach of a regulatory rule</w:t>
      </w:r>
      <w:r>
        <w:rPr>
          <w:rFonts w:ascii="Arial" w:cs="Arial" w:eastAsia="Arial" w:hAnsi="Arial"/>
          <w:sz w:val="16"/>
          <w:szCs w:val="16"/>
          <w:i w:val="1"/>
          <w:iCs w:val="1"/>
          <w:color w:val="auto"/>
        </w:rPr>
        <w:t xml:space="preserve"> </w:t>
      </w:r>
      <w:r>
        <w:rPr>
          <w:rFonts w:ascii="Arial" w:cs="Arial" w:eastAsia="Arial" w:hAnsi="Arial"/>
          <w:sz w:val="16"/>
          <w:szCs w:val="16"/>
          <w:color w:val="auto"/>
        </w:rPr>
        <w:t>that materially adversely affects the named executive officer’s ability to perform his duties for the Company; (iii) willful and deliberate failure on the part of the named executive officer (A) to perform his employment duties in any material respect or (B) to follow specific reasonable directions received from the Company; or (iv) a breach of the covenants contained in the retention agreements that is (individually or combined with other such breaches) demonstrably and materially injurious to the Company or any of its affiliates. Notwithstanding the foregoing, with respect to the events described in clauses (ii) and (iii)(A) of the prior sentence, the named executive officer’s acts or failure to act shall not constitute cause to the extent taken (or not taken) based upon the direct instructions of the Chief Executive Officer or the Board or a more senior executive officer of the Company.</w:t>
      </w:r>
    </w:p>
    <w:p>
      <w:pPr>
        <w:spacing w:after="0" w:line="105"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With respect to a termination of any of Messrs. Jacobs, Castellano, Hoffman or Stern for “good reason,” their retention agreements generally define “good reason” as: (i) the assignment of the named executive officer to any duties inconsistent in any material respect with his position (including status, offices, titles and reporting requirements), authority, duties or responsibilities as in effect as of (A) May 7, 2008 with respect to Messrs. Castellano and Hoffman or</w:t>
      </w:r>
    </w:p>
    <w:p>
      <w:pPr>
        <w:spacing w:after="0" w:line="1" w:lineRule="exact"/>
        <w:rPr>
          <w:sz w:val="20"/>
          <w:szCs w:val="20"/>
          <w:color w:val="auto"/>
        </w:rPr>
      </w:pPr>
    </w:p>
    <w:p>
      <w:pPr>
        <w:ind w:left="5580" w:right="5460" w:hanging="5572"/>
        <w:spacing w:after="0" w:line="568" w:lineRule="auto"/>
        <w:tabs>
          <w:tab w:leader="none" w:pos="284" w:val="left"/>
        </w:tabs>
        <w:numPr>
          <w:ilvl w:val="0"/>
          <w:numId w:val="86"/>
        </w:numPr>
        <w:rPr>
          <w:rFonts w:ascii="Arial" w:cs="Arial" w:eastAsia="Arial" w:hAnsi="Arial"/>
          <w:sz w:val="15"/>
          <w:szCs w:val="15"/>
          <w:color w:val="auto"/>
        </w:rPr>
      </w:pPr>
      <w:r>
        <w:rPr>
          <w:rFonts w:ascii="Arial" w:cs="Arial" w:eastAsia="Arial" w:hAnsi="Arial"/>
          <w:sz w:val="15"/>
          <w:szCs w:val="15"/>
          <w:color w:val="auto"/>
        </w:rPr>
        <w:t>March 23, 2010 with respect to Messrs. Jacobs and Stern, or any other action by 152</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Company which results in a material diminution in such position, authority, duties or responsibilities from the level in effect as of such date; (ii) a material breach by the Company of the terms of the retention agreement; or (iii) any requirement that the named executive officer’s principal place of employment be relocated to a location that increases the executive’s commute from his primary residence by more than 30 miles.</w:t>
      </w:r>
    </w:p>
    <w:p>
      <w:pPr>
        <w:spacing w:after="0" w:line="9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term “change in control,” as used in the retention agreements, Lazard Ltd’s 2005 Equity Incentive Plan and 2008 Incentive Compensation Plan, generally means any of the following events: (i) an acquisition (other than directly from Lazard Ltd) by an individual, entity or a group (excluding Lazard Ltd or an employee benefit plan of Lazard Ltd or a corporation controlled by Lazard Ltd’s shareholders) of 20% (30% for purposes of the 2008 Incentive Compensation Plan) or more of either (A) the then-outstanding shares of Class A common stock of Lazard Ltd (treating, for this purpose, the then-outstanding Class II interests of LAZ-MD Holdings (“Class II interests”) as shares of Class A common stock of Lazard Ltd on an as-if fully exchanged basis in accordance with the Master Separation Agreement) (the “Outstanding Lazard Ltd Common Stock”), assuming the full exchange of all of the then-outstanding Class II interests for shares of Class A common stock of Lazard Ltd in accordance with the Master Separation Agreement or (B) the combined voting power of the then-outstanding voting securities of Lazard Ltd entitled to vote generally in the election of directors (the “Outstanding Lazard Ltd Voting Securities”); (ii) a change in a majority of the current Board (the “Incumbent Board”) (excluding any persons approved by a vote of at least a majority of the Incumbent Board other than in connection with an actual or a threatened proxy contest); (iii) consummation of a merger, consolidation or sale of all or substantially all of Lazard Ltd’s assets (collectively, a “Business Combination”) other than a Business Combination in which all or substantially all of the individuals and entities who are the beneficial owners, respectively, of the Outstanding Lazard Ltd Common Stock and Outstanding Lazard Ltd Voting Securities immediately prior to such Business Combination (assuming in each case the full exchange of the Class II interests for shares of Lazard Ltd Class A common stock in accordance with the Master Separation Agreement) will beneficially own, directly or indirectly, more than 50% of, respectively, the outstanding shares of common stock, and the combined voting power of the then-outstanding voting securities entitled to vote generally in the election of directors, as the case may be, of the corporation resulting from such Business Combination, at least a majority of the board of directors of the resulting corporation were members of the Incumbent Board, and after which no Person owns 20% (30% for purposes of Lazard Ltd’s 2008 Incentive Compensation Plan) or more of the stock of the resulting corporation, who did not own such stock immediately before the Business Combination; or (iv) shareholder approval of a complete liquidation or dissolution of Lazard Ltd.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2010</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Directors who are officers of the Company do not receive any fees for their service as directors. In 2010, our directors’ compensation program provided that each of our non-executive directors would receive an annual cash retainer of $96,750 and an annual award of deferred stock units of Lazard Ltd (“DSUs”) with a grant date value of $118,250. An additional annual retainer is paid to the Company’s Lead Director and the chairs of each of Lazard Ltd’s Board of Directors’ standing committees as follows: the Lead Director, $40,000; the chair of the Audit Committee, $30,000; the chair of the Nominating &amp; Governance Committee, $20,000; and the chair of the Compensation Committee, $20,000; in each case 45% of which is paid in cash and 55% in DSUs. The other members of Lazard Ltd’s Audit Committee are paid an additional annual retainer of $20,000 and the other members of Lazard Ltd’s Nominating &amp; Governance Committee and Lazard Ltd’s Compensation Committee are paid an additional annual retainer of $15,000, in each case 45% of which is paid in cash and 55% in DSUs. Cash compensation is paid out on a quarterly basis (on February 15</w:t>
      </w:r>
      <w:r>
        <w:rPr>
          <w:rFonts w:ascii="Arial" w:cs="Arial" w:eastAsia="Arial" w:hAnsi="Arial"/>
          <w:sz w:val="10"/>
          <w:szCs w:val="10"/>
          <w:color w:val="auto"/>
        </w:rPr>
        <w:t>th</w:t>
      </w:r>
      <w:r>
        <w:rPr>
          <w:rFonts w:ascii="Arial" w:cs="Arial" w:eastAsia="Arial" w:hAnsi="Arial"/>
          <w:sz w:val="16"/>
          <w:szCs w:val="16"/>
          <w:color w:val="auto"/>
        </w:rPr>
        <w:t>, May 15</w:t>
      </w:r>
      <w:r>
        <w:rPr>
          <w:rFonts w:ascii="Arial" w:cs="Arial" w:eastAsia="Arial" w:hAnsi="Arial"/>
          <w:sz w:val="10"/>
          <w:szCs w:val="10"/>
          <w:color w:val="auto"/>
        </w:rPr>
        <w:t>th</w:t>
      </w:r>
      <w:r>
        <w:rPr>
          <w:rFonts w:ascii="Arial" w:cs="Arial" w:eastAsia="Arial" w:hAnsi="Arial"/>
          <w:sz w:val="16"/>
          <w:szCs w:val="16"/>
          <w:color w:val="auto"/>
        </w:rPr>
        <w:t>, August 15</w:t>
      </w:r>
      <w:r>
        <w:rPr>
          <w:rFonts w:ascii="Arial" w:cs="Arial" w:eastAsia="Arial" w:hAnsi="Arial"/>
          <w:sz w:val="10"/>
          <w:szCs w:val="10"/>
          <w:color w:val="auto"/>
        </w:rPr>
        <w:t>th</w:t>
      </w:r>
      <w:r>
        <w:rPr>
          <w:rFonts w:ascii="Arial" w:cs="Arial" w:eastAsia="Arial" w:hAnsi="Arial"/>
          <w:sz w:val="16"/>
          <w:szCs w:val="16"/>
          <w:color w:val="auto"/>
        </w:rPr>
        <w:t xml:space="preserve"> and November 15</w:t>
      </w:r>
      <w:r>
        <w:rPr>
          <w:rFonts w:ascii="Arial" w:cs="Arial" w:eastAsia="Arial" w:hAnsi="Arial"/>
          <w:sz w:val="10"/>
          <w:szCs w:val="10"/>
          <w:color w:val="auto"/>
        </w:rPr>
        <w:t>th</w:t>
      </w:r>
      <w:r>
        <w:rPr>
          <w:rFonts w:ascii="Arial" w:cs="Arial" w:eastAsia="Arial" w:hAnsi="Arial"/>
          <w:sz w:val="16"/>
          <w:szCs w:val="16"/>
          <w:color w:val="auto"/>
        </w:rPr>
        <w:t>) and the DSU awards described above are granted on an annual basis on June 1</w:t>
      </w:r>
      <w:r>
        <w:rPr>
          <w:rFonts w:ascii="Arial" w:cs="Arial" w:eastAsia="Arial" w:hAnsi="Arial"/>
          <w:sz w:val="10"/>
          <w:szCs w:val="10"/>
          <w:color w:val="auto"/>
        </w:rPr>
        <w:t>st</w:t>
      </w:r>
      <w:r>
        <w:rPr>
          <w:rFonts w:ascii="Arial" w:cs="Arial" w:eastAsia="Arial" w:hAnsi="Arial"/>
          <w:sz w:val="16"/>
          <w:szCs w:val="16"/>
          <w:color w:val="auto"/>
        </w:rPr>
        <w:t xml:space="preserve"> of each year, except for initial pro-rated grants made to new directors upon their joining the Board. The number of DSUs granted is based on the closing price of Lazard Ltd’s Class A common stock on the NYSE on the date of grant.</w:t>
      </w:r>
    </w:p>
    <w:p>
      <w:pPr>
        <w:spacing w:after="0" w:line="10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Non-executive directors may elect to receive additional DSUs in lieu of some or all of their cash compensation pursuant to the Directors Fee Deferral Unit Plan, which was approved by Lazard Ltd’s Board of Directors on May 9, 2006. DSUs awarded under this plan are granted on the same quarterly payment dates as cash compensation would have been received and the number of DSUs is calculated based on the closing price of Lazard Ltd’s Class A common stock on the NYSE on the date of grant.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All DSUs awarded under these arrangements (1) were issued under the Lazard Ltd 2008 Incentive Compensation Plan, and (2) are converted to Class A common stock of Lazard Ltd on a one-for-one basis and distributed to the director after he or she resigns or otherwise ceases to be a member of our Board. All DSUs receive dividend equivalents, which are paid in cash, at the same rate and time that dividends are paid on shares of Class A common stock of Lazard Ltd.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020" w:type="dxa"/>
            <w:vAlign w:val="bottom"/>
            <w:gridSpan w:val="3"/>
          </w:tcPr>
          <w:p>
            <w:pPr>
              <w:ind w:left="2140"/>
              <w:spacing w:after="0"/>
              <w:rPr>
                <w:sz w:val="20"/>
                <w:szCs w:val="20"/>
                <w:color w:val="auto"/>
              </w:rPr>
            </w:pPr>
            <w:r>
              <w:rPr>
                <w:rFonts w:ascii="Arial" w:cs="Arial" w:eastAsia="Arial" w:hAnsi="Arial"/>
                <w:sz w:val="14"/>
                <w:szCs w:val="14"/>
                <w:b w:val="1"/>
                <w:bCs w:val="1"/>
                <w:color w:val="auto"/>
                <w:w w:val="84"/>
              </w:rPr>
              <w:t>Fees Earned or</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21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Paid in Cash</w:t>
            </w:r>
          </w:p>
        </w:tc>
        <w:tc>
          <w:tcPr>
            <w:tcW w:w="7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4"/>
              </w:rPr>
              <w:t>Stock Awards (1)</w:t>
            </w:r>
          </w:p>
        </w:tc>
        <w:tc>
          <w:tcPr>
            <w:tcW w:w="7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4"/>
              </w:rPr>
              <w:t>Compensation (2)</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Doerfler</w:t>
            </w:r>
          </w:p>
        </w:tc>
        <w:tc>
          <w:tcPr>
            <w:tcW w:w="23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110,250</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134,785</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Steven J. Heyer (3)</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297,082</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311,139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Sylvia Jay</w:t>
            </w:r>
          </w:p>
        </w:tc>
        <w:tc>
          <w:tcPr>
            <w:tcW w:w="23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110,250</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134,816</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Ellis Jones (3)(4)</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43,329</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A. Laskawy</w:t>
            </w:r>
          </w:p>
        </w:tc>
        <w:tc>
          <w:tcPr>
            <w:tcW w:w="23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105,750</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129,301</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Laurent Mignon (3)</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215,122</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3,494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Hal S. Scott</w:t>
            </w:r>
          </w:p>
        </w:tc>
        <w:tc>
          <w:tcPr>
            <w:tcW w:w="234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114,750</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140,331</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262,540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Michael J. Turner</w:t>
            </w:r>
          </w:p>
        </w:tc>
        <w:tc>
          <w:tcPr>
            <w:tcW w:w="234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110,250</w:t>
            </w:r>
          </w:p>
        </w:tc>
        <w:tc>
          <w:tcPr>
            <w:tcW w:w="9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134,816</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252,188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83"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The value of the DSUs reported in the table above is based on the grant date fair value of awards computed in accordance with FASB ASC Topic 718.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16 of Notes to the Company’s Consolidated Financial Statements for a discussion of the assumptions used in the valuation of the DSUs. The number and grant date fair value of DSUs granted on June 1, 2010 under FASB ASC Topic 718 (based on the closing price of Class A common stock of Lazard Ltd on the NYSE at the time of the grant) were as follows: Mr. Doerfler, 4,399, valued at $134,785; Mr. Heyer, 5,729, valued at $175,537; Lady Jay, 4,400, valued at $134,816; Mr. Laskawy, 4,220, valued at $129,301; Mr. Mignon, 3,860, valued at $118,271; Mr. Scott, 4,580, valued at $140,331; and Mr. Turner, 4,400, valued at $134,816. The total number of DSUs held by each of our non-executive directors as of December 31, 2010 was as follows: Mr. Doerfler, 16,120; Mr. Heyer, 33,224; Lady Jay, 16,445; Mr. Laskawy, 11,641; Mr. Mignon, 10,654; Mr. Scott, 17,208; and Mr. Turner, 16,445.</w:t>
      </w: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cash dividends paid on the DSUs held by each of the directors listed in the table.</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Messrs. Heyer, Jones and Mignon elected to defer their quarterly cash compensation into additional DSUs, pursuant to the terms of Lazard Ltd’s Directors Fee Deferral Unit Plan. As a result, Messrs. Heyer, Jones and Mignon received an additional 3,492 DSUs, 1,167 DSUs and 2,779 DSUs in lieu of cash, respectively, in 2010.</w:t>
      </w:r>
    </w:p>
    <w:p>
      <w:pPr>
        <w:spacing w:after="0" w:line="1" w:lineRule="exact"/>
        <w:rPr>
          <w:rFonts w:ascii="Arial" w:cs="Arial" w:eastAsia="Arial" w:hAnsi="Arial"/>
          <w:sz w:val="18"/>
          <w:szCs w:val="18"/>
          <w:color w:val="auto"/>
        </w:rPr>
      </w:pPr>
    </w:p>
    <w:p>
      <w:pPr>
        <w:ind w:left="460" w:right="280" w:hanging="452"/>
        <w:spacing w:after="0" w:line="255"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Pursuant to a letter agreement dated as of March 16, 2010 among Lazard Ltd, the Company and Trustees of the Cranberry Dune 1998 Long-Term Trust, Mr. Jones did not stand for reelection to the Board of Directors at Lazard Ltd’s 2010 Annual General Meeting of Shareholders. As a result, Mr. Jones’ tenure as a director ended on April 27, 2010.</w:t>
      </w:r>
    </w:p>
    <w:p>
      <w:pPr>
        <w:spacing w:after="0" w:line="1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Vernon E. Jordan, Jr. is a member of our Board and is a senior managing director of the Company. Gary W. Parr is also a member of our Board and is a Vice Chairman of the Company. Neither Mr. Jordan nor Mr. Parr is an executive officer of the Company, as that term is defined in the rules and regulations promulgated under the Securities Exchange Act of 1934, as amended (the “Exchange Act”), and were therefore not included in the Summary Compensation Table. Messrs. Jordan and Parr did not receive any fees for their service as directors of the Company. In connection with our recapitalization in May 2005, each of them entered into retention agreements, as amended from time to time, consistent with the form applicable to all of our managing directors who were not executive officers at the time of Lazard Ltd’s equity public offering. See “Retention Agreements with Named Executive Officers—Retention Agreement with Mr. Bhutani.” Their total compensation for 2010, as viewed by senior management and the Compensation Committee,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Annual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Restricted</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4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Annual Cash</w:t>
            </w:r>
          </w:p>
        </w:tc>
        <w:tc>
          <w:tcPr>
            <w:tcW w:w="13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Stock and Unit</w:t>
            </w:r>
          </w:p>
        </w:tc>
        <w:tc>
          <w:tcPr>
            <w:tcW w:w="14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106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Salary</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2"/>
              </w:rPr>
              <w:t>Bonus</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Awards</w:t>
            </w:r>
          </w:p>
        </w:tc>
        <w:tc>
          <w:tcPr>
            <w:tcW w:w="32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4"/>
              </w:rPr>
              <w:t>Compensation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Vernon E. Jordan, Jr.</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2010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500,000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1,080,000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1,270,000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527,344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Gary W. Parr (1)</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750,000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4,250,000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5,000,000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58,597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10,058,597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6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addition, Mr. Parr received a special retention award on April 27, 2010 of 54,437 shares of restricted stock with a grant date value of $2.0 million that will vest on August 31, 2012, subject to Mr. Parr’s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continued employment with the Company. Lazard Ltd made the retention grant in recognition of Mr. Parr’s service to the Company and the importance of retaining him following the death of our former Chairman and Chief Executive Officer.</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presentation differs from the presentation in the table below by (i) including the full grant date value of RSUs awarded on February 10, 2011, which related to 2010 performance but are not reflected in the table because they were granted after the end of our 2010 fiscal year and (ii) excluding the full grant date value of the RSUs granted on February 11, 2010, which related to 2009 performance.</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sets forth the compensation for each of Messrs. Jordan and Parr for 2010 as required under SEC rules for director compensation disclosure in proxy statements.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44"/>
              <w:spacing w:after="0"/>
              <w:rPr>
                <w:sz w:val="20"/>
                <w:szCs w:val="20"/>
                <w:color w:val="auto"/>
              </w:rPr>
            </w:pPr>
            <w:r>
              <w:rPr>
                <w:rFonts w:ascii="Arial" w:cs="Arial" w:eastAsia="Arial" w:hAnsi="Arial"/>
                <w:sz w:val="14"/>
                <w:szCs w:val="14"/>
                <w:b w:val="1"/>
                <w:bCs w:val="1"/>
                <w:color w:val="auto"/>
                <w:w w:val="88"/>
              </w:rPr>
              <w:t>Annual</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4"/>
              </w:rPr>
              <w:t>Restricted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4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 Cash</w:t>
            </w:r>
          </w:p>
        </w:tc>
        <w:tc>
          <w:tcPr>
            <w:tcW w:w="3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Stock and Unit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219"/>
              <w:spacing w:after="0" w:line="149" w:lineRule="exact"/>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Salary</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Bonus</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6"/>
              </w:rPr>
              <w:t>Awards (1)</w:t>
            </w:r>
          </w:p>
        </w:tc>
        <w:tc>
          <w:tcPr>
            <w:tcW w:w="32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Compensation (2)</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2"/>
              </w:rPr>
              <w:t>Compensation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Vernon E. Jordan, Jr.</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2010</w:t>
            </w:r>
          </w:p>
        </w:tc>
        <w:tc>
          <w:tcPr>
            <w:tcW w:w="90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2"/>
              </w:rPr>
              <w:t>$ 500,000</w:t>
            </w:r>
          </w:p>
        </w:tc>
        <w:tc>
          <w:tcPr>
            <w:tcW w:w="11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$ 1,080,000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1,077,500</w:t>
            </w: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527,344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3,184,844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Gary W. Parr</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2010</w:t>
            </w:r>
          </w:p>
        </w:tc>
        <w:tc>
          <w:tcPr>
            <w:tcW w:w="900" w:type="dxa"/>
            <w:vAlign w:val="bottom"/>
            <w:gridSpan w:val="2"/>
          </w:tcPr>
          <w:p>
            <w:pPr>
              <w:jc w:val="center"/>
              <w:ind w:left="72"/>
              <w:spacing w:after="0"/>
              <w:rPr>
                <w:sz w:val="20"/>
                <w:szCs w:val="20"/>
                <w:color w:val="auto"/>
              </w:rPr>
            </w:pPr>
            <w:r>
              <w:rPr>
                <w:rFonts w:ascii="Arial" w:cs="Arial" w:eastAsia="Arial" w:hAnsi="Arial"/>
                <w:sz w:val="18"/>
                <w:szCs w:val="18"/>
                <w:color w:val="auto"/>
                <w:w w:val="92"/>
              </w:rPr>
              <w:t>$ 750,000</w:t>
            </w:r>
          </w:p>
        </w:tc>
        <w:tc>
          <w:tcPr>
            <w:tcW w:w="116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$ 4,250,000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7,000,000</w:t>
            </w:r>
          </w:p>
        </w:tc>
        <w:tc>
          <w:tcPr>
            <w:tcW w:w="5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58,597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12,058,597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82"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The value of the RSUs and restricted stock is based on the grant date fair value of awards computed in accordance with FASB ASC Topic 718 for the 2010 fiscal year. See the narrative discussion under the heading “Grants of Plan-Based Awards” for a description of the terms and conditions of the February 2010 RSU grants. As of December 31, 2010, Mr. Parr held 1,241,512 RSUs and 54,437 shares of restricted stock. Mr. Jordan, who is currently eligible to retire, had all of his prior RSU awards vest in 2010 pursuant to Lazard Ltd’s RSU Retirement Policy. </w:t>
      </w:r>
      <w:r>
        <w:rPr>
          <w:rFonts w:ascii="Arial" w:cs="Arial" w:eastAsia="Arial" w:hAnsi="Arial"/>
          <w:sz w:val="16"/>
          <w:szCs w:val="16"/>
          <w:i w:val="1"/>
          <w:iCs w:val="1"/>
          <w:color w:val="auto"/>
        </w:rPr>
        <w:t>See</w:t>
      </w:r>
      <w:r>
        <w:rPr>
          <w:rFonts w:ascii="Arial" w:cs="Arial" w:eastAsia="Arial" w:hAnsi="Arial"/>
          <w:sz w:val="16"/>
          <w:szCs w:val="16"/>
          <w:color w:val="auto"/>
        </w:rPr>
        <w:t xml:space="preserve"> “Compensation Discussion and Analysis—Design of Our Compensation Programs—Incentive Compensation” for a discussion of Lazard Ltd’s RSU Retirement Policy. The shares Mr. Jordan received upon the RSU vesting (less shares withheld to cover certain tax liabilities) remain subject to all restrictive covenants, including continued compliance with the non-compete, non-solicit and other provisions, contained in the original RSU award agreement through the original vesting date of the RSUs. Although not reflected in this table, on February 10, 2011, Mr. Parr received an RSU award with a grant date value of $5.0 million, and Mr. Jordan, because he is retirement eligible and any RSUs granted to him would vest pursuant to Lazard Ltd’s RSU Retirement Policy, received a restricted stock award in lieu of an RSU award with a grant date value of $1.27 million (a portion of which was withheld to cover certain tax liabilities). Each of these awards related to 2010 performance. See the narrative discussion under the heading “Compensation Discussion and Analysis—Design of Our Compensation Programs—Incentive Compensation” for a description of the terms and conditions of the February 2011 RSU and restricted stock grants.</w:t>
      </w:r>
    </w:p>
    <w:p>
      <w:pPr>
        <w:spacing w:after="0" w:line="5"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Messrs. Jordan and Parr are the beneficiaries of a Company provided life insurance, long-term disability insurance and excess liability insurance policies. In addition, the firm pays a portion of each of their health insurance premiums, as it does for all U.S. employees.</w:t>
      </w:r>
    </w:p>
    <w:p>
      <w:pPr>
        <w:spacing w:after="0" w:line="43" w:lineRule="exact"/>
        <w:rPr>
          <w:rFonts w:ascii="Arial" w:cs="Arial" w:eastAsia="Arial" w:hAnsi="Arial"/>
          <w:sz w:val="18"/>
          <w:szCs w:val="18"/>
          <w:color w:val="auto"/>
        </w:rPr>
      </w:pPr>
    </w:p>
    <w:p>
      <w:pPr>
        <w:ind w:left="460" w:right="140"/>
        <w:spacing w:after="0" w:line="268" w:lineRule="auto"/>
        <w:rPr>
          <w:rFonts w:ascii="Arial" w:cs="Arial" w:eastAsia="Arial" w:hAnsi="Arial"/>
          <w:sz w:val="18"/>
          <w:szCs w:val="18"/>
          <w:color w:val="auto"/>
        </w:rPr>
      </w:pPr>
      <w:r>
        <w:rPr>
          <w:rFonts w:ascii="Arial" w:cs="Arial" w:eastAsia="Arial" w:hAnsi="Arial"/>
          <w:sz w:val="18"/>
          <w:szCs w:val="18"/>
          <w:color w:val="auto"/>
        </w:rPr>
        <w:t>Messrs. Jordan and Parr each received one final interest payment in 2010 on the deferred cash awards they were granted as part of the 2008 compensation cycle in the amount of $4,688 and $36,000, respectively.</w:t>
      </w:r>
    </w:p>
    <w:p>
      <w:pPr>
        <w:spacing w:after="0" w:line="37" w:lineRule="exact"/>
        <w:rPr>
          <w:rFonts w:ascii="Arial" w:cs="Arial" w:eastAsia="Arial" w:hAnsi="Arial"/>
          <w:sz w:val="18"/>
          <w:szCs w:val="18"/>
          <w:color w:val="auto"/>
        </w:rPr>
      </w:pPr>
    </w:p>
    <w:p>
      <w:pPr>
        <w:ind w:left="460" w:right="40"/>
        <w:spacing w:after="0" w:line="256" w:lineRule="auto"/>
        <w:rPr>
          <w:rFonts w:ascii="Arial" w:cs="Arial" w:eastAsia="Arial" w:hAnsi="Arial"/>
          <w:sz w:val="18"/>
          <w:szCs w:val="18"/>
          <w:color w:val="auto"/>
        </w:rPr>
      </w:pPr>
      <w:r>
        <w:rPr>
          <w:rFonts w:ascii="Arial" w:cs="Arial" w:eastAsia="Arial" w:hAnsi="Arial"/>
          <w:sz w:val="18"/>
          <w:szCs w:val="18"/>
          <w:color w:val="auto"/>
        </w:rPr>
        <w:t>Pursuant to a letter agreement entered into with Mr. Jordan in 1999, and subsequently amended on January 1, 2004, Mr. Jordan is entitled to benefits on the same basis as other managing directors and to use, on a priority basis, a corporate apartment in New York. The incremental cost to the Company of providing Mr. Jordan with use of this apartment was $288,000 in 2010. Mr. Jordan also received a tax gross-up payment of $217,356 as reimbursement for taxes paid on the imputed income from the use of the apartment.</w:t>
      </w:r>
    </w:p>
    <w:p>
      <w:pPr>
        <w:spacing w:after="0" w:line="48"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Perquisite compensation for Mr. Parr includes the incremental cost to the Company of providing U.S. tax advice and preparation of year-end personal tax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Mr. Parr’s retention agreement was supplemented by a letter agreement dated as of April 21, 2010, which sets forth his right to a guaranteed level of compensation through calendar year 2012. So long as Mr. Parr remains employed by the Company at the end of the relevant year, or if he is terminated without “cause”, he is entitled to receive a guaranteed annual payment of no less than $10 million (the “Annual Payment”), with at least $750,000 payable as annual base salary in accordance with the Company’s normal practices. The cash portion of Mr. Parr’s Annual Payment will be the greater of (i) $5 million and (ii) an amount calculated by multiplying the percentage of the average cash portion of annual total compensation paid to the Company’s Deputy Chairmen in the relevant year by the Annual Payment. The remaining portion of the Annual Payment will be granted in RSUs upon the same terms and conditions as grants made to the Company’s Deputy Chairmen in the relevant year. In accordance with a prior letter agreement with Mr. Parr, the letter agreement includes a gross-up payment in connection with any excise tax imposed under Section 4999 of the Code. In the event that Mr. Parr receives any payment made by us under the letter agreement or otherwise that is subject to the excise tax imposed under Section 4999 of the Code, an additional payment will be made to restore him to the after-tax position that he would have been in if the excise tax had not been imposed.</w:t>
      </w:r>
    </w:p>
    <w:p>
      <w:pPr>
        <w:spacing w:after="0" w:line="10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February 24, 2011, based on the recommendation of the Nominating &amp; Governance Committee of Lazard Ltd, the Board of Directors approved an increase in non-executive director compensation payable in 2011. Pursuant thereto, non-executive directors will receive an annual cash retainer of $119,250 and an annual award of DSUs with a grant date value of $145,750 (subject to any individual director’s election to defer cash compensation into additional DSUs). Lead Director and Board committee fees remained unchanged.</w:t>
      </w:r>
    </w:p>
    <w:p>
      <w:pPr>
        <w:spacing w:after="0" w:line="1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2010, approximately 94.0% and 6.0% of our common membership interests are held by wholly-owned subsidiaries of Lazard Ltd and by LAZ-MD Holdings LLC, respectively. Our managing member interests are held by two indirect wholly owned subsidiaries of Lazard Ltd and our profit participation interests are held by various managing directors.</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Pursuant to the corporate governance listing standards of the NYSE, the Board of Directors has adopted standards for determining whether directors have material relationships with Lazard. Under these standards, a director employed by Lazard cannot be deemed to be an “independent director,” and consequently Messrs. Jacobs, Bhutani, Jordan and Parr are not independent directors of Lazard.</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Board has determined that Messrs. Doerfler, Heyer, Laskawy, Scott, Turner and Lady Jay do not have a material relationship with Lazard under the Board’s standards for independence and accordingly each is independent under the NYSE corporate governance listing standards. In making its independence determinations the Board considered the engagement of Lazard in 2010 by L’Oreal USA, Inc., a sister company of L’Oreal UK. Lady Jay is Vice Chairman of L’Oreal UK. Lazard provided M&amp;A advisory services in the ordinary course of business and the engagement was deemed per se immaterial pursuant to Lazard’s Standards of Director Independence.</w:t>
      </w:r>
    </w:p>
    <w:p>
      <w:pPr>
        <w:spacing w:after="0" w:line="12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Board also determined that Mr. Mignon was independent, after giving careful consideration to the relationship between Lazard and Natixis, of which Mr. Mignon is the Chief Executive Officer. Natixis is the successor entity in a merger with IXIS Corporate &amp; Investment Bank, which participated as an investor in our recapitalization transactions in May 2005, purchasing $150 million of Lazard Ltd’s equity security units and 2,000,000 shares of Class A common stock of Lazard Ltd at the equity public offering price of $25 per share. In May 2008, Natixis acquired 4,999,800 additional shares of Lazard Ltd’s Class A common stock upon the settlement of the purchase contracts comprising a portion of the equity security units. In connection with the original investment by Natixis in May 2005, Lazard agreed to nominate one person designated by Natixis to our Board of Directors, currently Mr. Mignon. Lazard also has a cooperation arrangement with Natixis in France.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cooperation arrangement provides that Lazard Group and Natixis will place and underwrite securities on the French capital markets under a common brand, “Lazard-Natixis,” and cooperate in their respective origination, syndication, placement and other activities. In 2010, the cooperation arrangement generated approximately $3.6 million of gross revenue for Natixis and $3.0 million of gross revenue for Lazard. We also received advisory fees in 2010 of $2.5 million with respect to one transaction involving Natixis. In 2009 and 2008, we received advisory fees of $2.1 million and $600,000, respectively, with respect to one transaction in each year involving Natixis. The Board determined, in its business judgment, that these relationships were not material, noting that 2010 gross revenue generated pursuant to the cooperation arrangement and other transactions referenced above were less than 1.0% of Lazard’s gross revenue for 2010 and less than 1.0% of the annual gross revenue of Natixis for 2010. See “Agreement with Natixis” and “Certain Relationships with Our Directors, Executive Officers and Employees.”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Related Party Transactions</w:t>
      </w:r>
    </w:p>
    <w:p>
      <w:pPr>
        <w:spacing w:after="0" w:line="83"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Our Board of Directors has adopted a written policy requiring that all “Interested Transactions” (as defined below) be approved or ratified by either the Nominating &amp; Governance Committee of Lazard Ltd or, under certain circumstances, the Chair of the Nominating &amp; Governance Committee of Lazard Ltd. The Nominating &amp; Governance Committee of Lazard Ltd is required to review the material facts of all Interested Transactions that require the Committee’s approval or ratification and either approve or disapprove of the entry into the Interested Transaction. In determining whether to approve or ratify an Interested Transaction, the Nominating &amp; Governance Committee of Lazard Ltd takes into account, among other factors it deems appropriate, whether the Interested Transaction is on terms no less favorable than terms generally available to an unaffiliated third-party under the same or similar circumstances and the extent of the interest of the “Related Party” (as defined below) in the transaction. In addition, the Board of Directors has delegated to the Chair of the Nominating &amp; Governance Committee of Lazard Ltd the authority to pre-approve or ratify (as applicable) any Interested Transaction with a Related Party in which the aggregate amount involved is expected to be less than $1 million. A report is then made to the Nominating &amp; Governance Committee of Lazard Ltd at its next regularly scheduled meeting of each new Interested Transaction pre-approved by the Chair of the Nominating &amp; Governance Committee of Lazard Ltd. Any director who is a Related Party with respect to an Interested Transaction may not participate in any discussion or approval of such Interested Transaction. An “Interested Transaction” is one in which</w:t>
      </w:r>
    </w:p>
    <w:p>
      <w:pPr>
        <w:spacing w:after="0" w:line="4" w:lineRule="exact"/>
        <w:rPr>
          <w:sz w:val="20"/>
          <w:szCs w:val="20"/>
          <w:color w:val="auto"/>
        </w:rPr>
      </w:pPr>
    </w:p>
    <w:p>
      <w:pPr>
        <w:ind w:right="40" w:firstLine="8"/>
        <w:spacing w:after="0" w:line="302" w:lineRule="auto"/>
        <w:tabs>
          <w:tab w:leader="none" w:pos="21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are a participant, (ii) the aggregate amount involved will or may be expected to exceed $120,000, (iii) one of our executive officers, directors, director nominees, 5% shareholders, or their family members (each a “Related Party”) has a direct or indirect material interest in the transaction and (iv) the transaction is required to be disclosed in Lazard Ltd’s Proxy Statement or its Annual Report on Form 10-K pursuant to the rules and regulations promulgated by the SEC.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10, 2005, as part of Lazard Ltd’s equity public offering of Class A common stock, we completed a series of financing transactions the net proceeds of which were primarily used to redeem the outstanding Lazard Group membership interests of Lazard Group’s historical partners. In the discussions below, we refer to these financing transactions and the equity public offering, collectively, as the “recapitalization.” Concurrently, on May 10, 2005, Lazard Group transferred its capital markets business, which consisted of equity, fixed income and convertibles sales and trading, broking, research and underwriting services, its fund management activities outside of France and specified non-operating assets and liabilities, to LFCM Holdings. In the discussions below, we refer to these businesses, assets and liabilities as the “separated businesses” and these transfers collectively as the “separation.”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Relationship with LAZ-MD Holdings and LFCM Holdings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December 31, 2010, LAZ-MD Holdings owned approximately 6.0% of the voting power of all shares of Lazard Ltd’s voting stock through its ownership of the Class B common stock of Lazard Ltd. LAZ-MD Holdings’ voting power in Lazard Ltd is intended to mirror its economic interest in Lazard Group, and its voting power will continue to decrease over time in connection with the exchange of the LAZ-MD Holdings exchangeable interests by the current and former working members of Lazard Group for shares of Lazard Ltd’s Class A common stock. The current and former working members of Lazard Group, including our managing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directors who held working member interests at the time of the recapitalization, own LAZ-MD Holdings exchangeable interests and, through the LAZ-MD Holdings stockholders’ agreement, have the right to cause LAZ-MD Holdings to vote its Class B common stock on an as-if-exchanged basis.</w:t>
      </w:r>
    </w:p>
    <w:p>
      <w:pPr>
        <w:spacing w:after="0" w:line="7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LFCM Holdings, which is the entity that owns and operates the separated businesses, ceased to be a subsidiary of Lazard Group and LAZ-MD Holdings at the time of the separation. It is owned by current and former working members of Lazard Group, including our managing directors and named executive officers, who are members of LAZ-MD Holdings. A managing director of Lazard Frères &amp; Co LLC, a wholly owned subsidiary of Lazard Group, is the chairman of LFCM Holdings. LFCM Holdings shall reimburse Lazard Group approximately $4.0 million for a portion of his salary and bonus in 2010 for services that he rendered to LFCM Holdings as its chairman.</w:t>
      </w:r>
    </w:p>
    <w:p>
      <w:pPr>
        <w:spacing w:after="0" w:line="12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entered into several agreements with Lazard Ltd, LAZ-MD Holdings and LFCM Holdings to effect the separation and recapitalization transactions and to define and regulate the relationships of the parties. Except as described in this section, we do not have any material arrangements with LAZ-MD Holdings and LFCM Holdings other than ordinary course business relationships on arm’s length terms.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a Prospectus Supplement dated August 3, 2010, certain holders of LAZ-MD Holdings exchangeable interests (including certain members of our Board of Directors) exchanged their interests for Lazard Ltd Class A common stock (the “selling shareholders”) and sold 7,397,837 shares of Lazard Ltd Class A common stock to Goldman, Sachs &amp; Co. (“Goldman Sachs”) at a price of $30.32 per share. In connection with this offering, Lazard Group purchased an additional 2,500,000 shares of Lazard Ltd Class A common stock from the selling shareholders through Goldman Sachs, as agent, at the price of $30.32 per share. In the aggregate, the selling shareholders sold a total of 9,897,837 shares of Lazard Ltd Class A common stock. Lazard Ltd and Lazard Group did not receive any net proceeds from the sale of such Class A common stock. The purchase price was agreed upon based upon negotiations between a committee for the selling shareholders and Goldman Sachs. In addition, pursuant to a Prospectus Supplement dated November 1, 2010, certain holders of LAZ-MD Holdings exchangeable interests (including certain of our executive officers and members of our Board of Directors) exchanged their interests for Lazard Ltd Class A common stock and sold 3,000,000 shares of Lazard Ltd Class A common stock to Citigroup Global Markets Inc. (“Citigroup”) at a price of $35.77 per share. In connection with this offering, Lazard Group purchased an additional 1,220,714 shares of Lazard Ltd Class A common stock from the selling shareholders through Citigroup, as agent, at the price of $35.77 per share. In the aggregate, the selling shareholders sold a total of 4,220,714 shares of Lazard Ltd Class A common stock. Lazard Ltd and Lazard Group did not receive any net proceeds from the sale of such Class A common stock. The purchase price was agreed upon based upon negotiations between a committee for the selling shareholders and Citigroup. Both of these transactions were approved by our Board of Directors.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Agreements with LAZ-MD Holdings and LFCM Holdings</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provided below summary descriptions of the master separation agreement and the other key related agreements we entered into with Lazard Ltd, LAZ-MD Holdings and LFCM Holdings in connection with the separation and recapitalization transactions, as well as any material amendments thereto. These agreements effected the separation and recapitalization transactions and also provide a framework for our ongoing relationship with LAZ-MD Holdings and LFCM Holdings. These agreements include:</w:t>
      </w:r>
    </w:p>
    <w:p>
      <w:pPr>
        <w:spacing w:after="0" w:line="49" w:lineRule="exact"/>
        <w:rPr>
          <w:sz w:val="20"/>
          <w:szCs w:val="20"/>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master separation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license agreement,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administrative services agreement,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business alliance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descriptions set forth below, which summarize selected terms of these agreements, are not complete. Copies of these agreements have been filed as exhibits to our Annual Report on Form 10-K and are available to the public from the SEC’s internet site at www.sec.gov.</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Master Separation Agreement</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10, 2005, Lazard Ltd entered into the master separation agreement with Lazard Group, LAZ-MD Holdings and LFCM Holdings. The master separation agreement contains key provisions relating to the separation and recapitalization transactions and the relationship among the parties after completion of the separation and recapitalization. The master separation agreement identified the assets, liabilities and businesses of Lazard Group that were transferred to LFCM Holdings in connection with the separation and recapitalization and described when and how the separation and recapitalization occurred. In addition, the master separation agreement continues to regulate aspects of the relationship among the parties, including the exchange mechanics of the LAZ-MD Holdings exchangeable interests.</w:t>
      </w:r>
    </w:p>
    <w:p>
      <w:pPr>
        <w:spacing w:after="0" w:line="13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Relationship Among Lazard Ltd, Lazard Group, LAZ-MD Holdings and LFCM Holdings. </w:t>
      </w:r>
      <w:r>
        <w:rPr>
          <w:rFonts w:ascii="Arial" w:cs="Arial" w:eastAsia="Arial" w:hAnsi="Arial"/>
          <w:sz w:val="18"/>
          <w:szCs w:val="18"/>
          <w:color w:val="auto"/>
        </w:rPr>
        <w:t>The master separation agreement contains various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the relationship among Lazard Ltd, Lazard Group, LAZ-MD Holdings and LFCM Holdings after the separation and recapitalization, including with respect to the following matters.</w:t>
      </w:r>
    </w:p>
    <w:p>
      <w:pPr>
        <w:spacing w:after="0" w:line="12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i w:val="1"/>
          <w:iCs w:val="1"/>
          <w:color w:val="auto"/>
        </w:rPr>
        <w:t>Limitation on Scope of LAZ-MD Holdings’ Operations</w:t>
      </w:r>
      <w:r>
        <w:rPr>
          <w:rFonts w:ascii="Arial" w:cs="Arial" w:eastAsia="Arial" w:hAnsi="Arial"/>
          <w:sz w:val="18"/>
          <w:szCs w:val="18"/>
          <w:color w:val="auto"/>
        </w:rPr>
        <w:t>. The master separation agreement provides that LAZ-MD Holdings will not engage in any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other than to act as the holding company for the working members’ interests in Lazard Group and Lazard Ltd’s Class B common stock and actions incidental thereto, except as otherwise agreed by Lazard Ltd.</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Parity of Lazard Group Common Membership Interests and Lazard Ltd’s common stock</w:t>
      </w:r>
      <w:r>
        <w:rPr>
          <w:rFonts w:ascii="Arial" w:cs="Arial" w:eastAsia="Arial" w:hAnsi="Arial"/>
          <w:sz w:val="16"/>
          <w:szCs w:val="16"/>
          <w:color w:val="auto"/>
        </w:rPr>
        <w:t>. The master separation agreement sets forth the intention of</w:t>
      </w:r>
      <w:r>
        <w:rPr>
          <w:rFonts w:ascii="Arial" w:cs="Arial" w:eastAsia="Arial" w:hAnsi="Arial"/>
          <w:sz w:val="16"/>
          <w:szCs w:val="16"/>
          <w:i w:val="1"/>
          <w:iCs w:val="1"/>
          <w:color w:val="auto"/>
        </w:rPr>
        <w:t xml:space="preserve"> </w:t>
      </w:r>
      <w:r>
        <w:rPr>
          <w:rFonts w:ascii="Arial" w:cs="Arial" w:eastAsia="Arial" w:hAnsi="Arial"/>
          <w:sz w:val="16"/>
          <w:szCs w:val="16"/>
          <w:color w:val="auto"/>
        </w:rPr>
        <w:t>Lazard Group and Lazard Ltd that the number of Lazard Group common membership interests held by Lazard Ltd (or its subsidiaries) will at all times be equal in number to the number of outstanding shares of Lazard Ltd’s common stock, subject to customary anti-dilution adjustments.</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master separation agreement sets forth the intention of Lazard Group to reimburse Lazard Ltd for its costs and expenses incurred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business.</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i w:val="1"/>
          <w:iCs w:val="1"/>
          <w:color w:val="auto"/>
        </w:rPr>
        <w:t xml:space="preserve">LAZ-MD Holdings Exchangeable Interests. </w:t>
      </w:r>
      <w:r>
        <w:rPr>
          <w:rFonts w:ascii="Arial" w:cs="Arial" w:eastAsia="Arial" w:hAnsi="Arial"/>
          <w:sz w:val="18"/>
          <w:szCs w:val="18"/>
          <w:color w:val="auto"/>
        </w:rPr>
        <w:t>The master separation agreement sets forth the terms and arrangements with respect to the LAZ-MD</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exchangeable interests, including the exchange rate and timing of exchangeability of those interests.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In general, under the master separation agreement, Lazard Group indemnifies LFCM Holdings, LAZ-MD Holdings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and affiliates for any and all losses (including tax losses) that such persons incur to the extent arising out of or relating to our business (both historically and in the future) and any and all losses that LFCM Holdings, LAZ-MD Holdings and their respective representatives and affiliates incur arising out of or relating to any breach of the master separation agreement by Lazard Group or Lazard Ltd.</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general, under the master separation agreement, LFCM Holdings indemnifies Lazard Ltd, Lazard Group, LAZ-MD Holdings and their respective representatives and affiliates for any and all losses (including tax losses) that such persons incur arising out of or relating to the separated businesses and the businesses conducted by LFCM Holdings (both historically and in the future) and any and all losses that Lazard Ltd, Lazard Group, LAZ-MD Holdings and their respective representatives or affiliates incur arising out of or relating to any breach of the master separation agreement by LFCM Holdings.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general, under the master separation agreement, LAZ-MD Holdings indemnifies Lazard Ltd, Lazard Group, LFCM Holdings and their respective representatives and affiliates for any and all losses that such persons incur to the extent arising out of or relating to any breach of the master separation agreement by LAZ-MD Holdings.</w:t>
      </w:r>
    </w:p>
    <w:p>
      <w:pPr>
        <w:spacing w:after="0" w:line="12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indemnification amounts are reduced by any insurance proceeds and other offsetting amounts recovered by the indemnitee. The master separation agreement specifies procedures with respect to claims subject to indemnification and related matters.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The master separation agreement also contains provisions governing the sharing of information between Lazard Ltd and Lazard Group,</w:t>
      </w:r>
      <w:r>
        <w:rPr>
          <w:rFonts w:ascii="Arial" w:cs="Arial" w:eastAsia="Arial" w:hAnsi="Arial"/>
          <w:sz w:val="18"/>
          <w:szCs w:val="18"/>
          <w:i w:val="1"/>
          <w:iCs w:val="1"/>
          <w:color w:val="auto"/>
        </w:rPr>
        <w:t xml:space="preserve"> </w:t>
      </w:r>
      <w:r>
        <w:rPr>
          <w:rFonts w:ascii="Arial" w:cs="Arial" w:eastAsia="Arial" w:hAnsi="Arial"/>
          <w:sz w:val="18"/>
          <w:szCs w:val="18"/>
          <w:color w:val="auto"/>
        </w:rPr>
        <w:t>on the one hand, and LAZ-MD Holdings and LFCM Holdings, on the other hand.</w:t>
      </w:r>
    </w:p>
    <w:p>
      <w:pPr>
        <w:spacing w:after="0" w:line="118" w:lineRule="exact"/>
        <w:rPr>
          <w:sz w:val="20"/>
          <w:szCs w:val="20"/>
          <w:color w:val="auto"/>
        </w:rPr>
      </w:pPr>
    </w:p>
    <w:p>
      <w:pPr>
        <w:ind w:right="680" w:firstLine="456"/>
        <w:spacing w:after="0" w:line="259" w:lineRule="auto"/>
        <w:rPr>
          <w:sz w:val="20"/>
          <w:szCs w:val="20"/>
          <w:color w:val="auto"/>
        </w:rPr>
      </w:pPr>
      <w:r>
        <w:rPr>
          <w:rFonts w:ascii="Arial" w:cs="Arial" w:eastAsia="Arial" w:hAnsi="Arial"/>
          <w:sz w:val="18"/>
          <w:szCs w:val="18"/>
          <w:color w:val="auto"/>
        </w:rPr>
        <w:t>On November 6, 2006, Lazard Ltd, Lazard Group and LAZ-MD Holdings entered into Amendment No. 1 to the master separation agreement (the “amendment”). The amendment modified the provisions of the master separation agreement relating to the exchange terms of the LAZ-MD Holdings exchangeable interests. The modifications included the following:</w:t>
      </w:r>
    </w:p>
    <w:p>
      <w:pPr>
        <w:spacing w:after="0" w:line="46" w:lineRule="exact"/>
        <w:rPr>
          <w:sz w:val="20"/>
          <w:szCs w:val="20"/>
          <w:color w:val="auto"/>
        </w:rPr>
      </w:pPr>
    </w:p>
    <w:p>
      <w:pPr>
        <w:ind w:left="780" w:right="120" w:hanging="326"/>
        <w:spacing w:after="0" w:line="268"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exchange of LAZ-MD Holdings exchangeable interests may be conditioned upon the actual sale of all or any portion (such amount designated by the holder) of the LAZ-MD Holdings exchangeable interests in connection with a registered offering.</w:t>
      </w:r>
    </w:p>
    <w:p>
      <w:pPr>
        <w:spacing w:after="0" w:line="37" w:lineRule="exact"/>
        <w:rPr>
          <w:rFonts w:ascii="Arial" w:cs="Arial" w:eastAsia="Arial" w:hAnsi="Arial"/>
          <w:sz w:val="18"/>
          <w:szCs w:val="18"/>
          <w:color w:val="auto"/>
        </w:rPr>
      </w:pPr>
    </w:p>
    <w:p>
      <w:pPr>
        <w:jc w:val="both"/>
        <w:ind w:left="780" w:right="40" w:hanging="326"/>
        <w:spacing w:after="0" w:line="259"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Holders of LAZ-MD Holdings exchangeable interests that are then exchangeable may exchange these interests not only at annual registration periods, but also in connection with demand and piggy-back registration opportunities and during window periods after the filing of selected Quarterly Reports on Form 10-Q and Annual Reports on Form 10-K by Lazard Ltd.</w:t>
      </w:r>
    </w:p>
    <w:p>
      <w:pPr>
        <w:spacing w:after="0" w:line="45" w:lineRule="exact"/>
        <w:rPr>
          <w:rFonts w:ascii="Arial" w:cs="Arial" w:eastAsia="Arial" w:hAnsi="Arial"/>
          <w:sz w:val="18"/>
          <w:szCs w:val="18"/>
          <w:color w:val="auto"/>
        </w:rPr>
      </w:pPr>
    </w:p>
    <w:p>
      <w:pPr>
        <w:ind w:left="780" w:right="80" w:hanging="326"/>
        <w:spacing w:after="0" w:line="335" w:lineRule="auto"/>
        <w:tabs>
          <w:tab w:leader="none" w:pos="78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In addition to requiring the consent of Lazard Ltd, Lazard Group and LAZ-MD Holdings to amend the exchangeability provisions, any amendment that materially and adversely impacts the rights of any holder thereunder requires the consent of such holder, or it will not apply to such person unless such amendment applies to, and affects the rights of all holders equally, regardless of whether or not such person is providing services to Lazard Ltd.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License Agreement</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logo, trademarks, trade names and service marks of Lazard are currently property of various wholly-owned subsidiaries of Lazard Group. Pursuant to the master separation agreement, Lazard Group and those subsidiaries entered into a license agreement with LFCM Holdings that governs the use of the Lazard and LF names by LFCM Holdings in connection with the separated businesses.</w:t>
      </w:r>
    </w:p>
    <w:p>
      <w:pPr>
        <w:spacing w:after="0" w:line="127"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In general, LFCM Holdings is permitted to use the Lazard and LF names to the extent that the Lazard name was being used at the time of the separation and recapitalization by the separated businesses and is permitted to use the LF name solely for the use of the name LFCM Holdings LLC in its capacity as a holding company for the separated businesses. Under the agreement, LFCM Holdings pays $100,000 per year for the right to license the Lazard name. The license survives with respect to capital markets activities until the expiration or termination of the business alliance provided for in the business alliance agreement that LFCM Holdings entered into with Lazard Group. With respect to alternative investment (including private equity) activities, LFCM Holdings’ license survives until the earlier of the expiration, termination or closing of the options to purchase the North American and European fund management activities, granted in the business alliance agreement, as described in “—Business Alliance Agreement”, or until the business alliance agreement is terminated. The license for the LF name in LFCM Holdings LLC may be terminated by either party for any reason after the license with respect to the capital markets business and the license for the alternative investment activities have both expired or been terminated. Upon termination of either the license with respect to the capital markets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business or the license for the alternative investment activities, the license fee for the calendar year following the termination and each year thereafter will be</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$75,000 per year. If both of those licenses are terminated, the license fee for the calendar year following the termination and each year thereafter will be $25,000 per year.</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entered into an administrative services agreement with LAZ-MD Holdings and LFCM Holdings regarding the provision of administrative and support services after the separation and recapitalization.</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administrative services agreement, Lazard Group provides selected administrative and support services to LAZ-MD Holdings and LFCM Holdings, such as:</w:t>
      </w:r>
    </w:p>
    <w:p>
      <w:pPr>
        <w:spacing w:after="0" w:line="37" w:lineRule="exact"/>
        <w:rPr>
          <w:sz w:val="20"/>
          <w:szCs w:val="20"/>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cash management and debt service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accounting and financing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payroll,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human resources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financial transaction support,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information technology,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public communications,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data processing,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procurement,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real estate management,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other general administrative functions.</w:t>
      </w:r>
    </w:p>
    <w:p>
      <w:pPr>
        <w:spacing w:after="0" w:line="185"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Lazard Group charges LFCM Holdings for the above services based on Lazard Group’s cost allocation methodology. Notwithstanding Lazard Group’s providing data processing services, Lazard Group does not provide any security administration services, as such services were transferred to LFCM Holdings.</w:t>
      </w:r>
    </w:p>
    <w:p>
      <w:pPr>
        <w:spacing w:after="0" w:line="4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administrative services agreement, Lazard Group also provides tax services to LAZ-MD Holdings and LFCM Holdings provides security administrative services to Lazard Group.</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services provided by Lazard Group to LFCM Holdings, and by LFCM Holdings to Lazard Group, under the administrative services agreement generally were to be provided until December 31, 2008, and were subject to automatic annual renewal, unless either party gives 180 days’ notice of termination. As of December 31, 2010, neither party has given notice of termination, and the agreement has been automatically renewed for an additional one-year period. LFCM Holdings and Lazard Group have a right to terminate the services earlier if there is a change of control of either party or the business alliance provided in the business alliance agreement expires or is terminated. The party receiving a service may also terminate a service earlier upon 180 days’ notice as long as such receiving party pays the service provider an additional 3 months of service fee for the terminated service. The services provided by Lazard Group to LAZ-MD Holdings will generally be provided until December 31, 2014, unless terminated earlier because of a change of control of either party. See Note 20 of Notes to the Company’s Consolidated Financial Statements for a discussion of payments made in 2010 under the administrative services agreement.</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in connection with the various agreements entered into in connection with the CP II MgmtCo Spin-Off, Lazard Group agreed to provide certain specified services to LFCM Holdings (which, in turn, LFCM Holdings may provide to CP II MgmtCo) pursuant to the administrative services agreement. See “— Business Alliance Agreement” for a discussion of the CP II MgmtCo Spin-Off.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the absence of gross negligence or willful misconduct, the party receiving services under the administrative services agreement waives any rights and claims it may have against the service provider in respect of any services provided under the administrative services agreement.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Alliance Agreement</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Lazard Group and LFCM Holdings entered into a business alliance agreement that provides for the continuation of Lazard Group’s and LFCM Holdings’ business relationships in the areas and on the terms summarized below.</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business alliance agreement provides that Lazard Group will refer to LFCM Holdings selected opportunities for underwriting and distribution of securities. In addition, Lazard Group will provide assistance in the execution of any such referred business. In exchange for this referral obligation and assistance, Lazard Group is entitled to a referral fee from LFCM Holdings equal to approximately half of the revenue obtained by LFCM Holdings in respect of any underwriting or distribution opportunity. In addition, LFCM Holdings will refer opportunities in the Financial Advisory and Asset Management businesses to Lazard Group. In exchange for this referral, LFCM Holdings is entitled to a customary finders’ fee from Lazard Group. In addition, the business alliance agreement further provides that, during the term of the business alliance, Lazard Frères &amp; Co. LLC and LAM Securities will introduce execution and settlement transactions to newly formed broker-dealer entities affiliated with LFCM Holdings. The business alliance agreement is subject to periodic automatic renewal, unless either party elects to terminate in connection with any such renewal or elects to terminate on account of a change of control of either party. See Note 20 of Notes to the Company’s Consolidated Financial Statements for a discussion of payments made in 2010 under the business alliance agreement.</w:t>
      </w:r>
    </w:p>
    <w:p>
      <w:pPr>
        <w:spacing w:after="0" w:line="10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addition, the business alliance agreement granted Lazard Group an option to purchase the North American fund management activities of Lazard Alternative Investments Holdings LLC, or “LAI,” the subsidiary of LFCM Holdings that owns and operates LFCM Holdings’ alternative investment activities. This option is currently exercisable at any time prior to May 10, 2014 for a purchase price of $2.5 million. The option price for the North American fund management activities reflects a reduction of $1.5 million due to the payment of a like amount to LFCM Holdings in February 2008 in connection with the initial public offering of Sapphire Industrials Corp., a special purpose acquisition company formed by a subsidiary of Lazard Group and a reduction of $4 million due to the payment of a like amount in February 2009 to LFCM Holdings in connection with the spin-off of Corporate Partners II Limited (“CP II”) to the investment professionals who managed CP II (the “CP II MgmtCo Spin-Off”) and the amendments to the business alliance agreement described below. LAI’s fund management activities initially consisted of fund management and general partner entities that were transferred to LFCM Holdings in connection with the separation. The business alliance agreement provides that, prior to the expiration, termination or exercise of the option, Lazard Group has certain governance rights with respect to LAI, and LFCM Holdings is required to support the business of LAI. Lazard Group may agree to new capital commitments and other obligations with respect to newly formed funds in its sole discretion. Lazard Group may be entitled to receive from LFCM Holdings all or a portion of payments from the incentive fees attributable to newly established LAI funds less compensation payable to investment professionals who manage these funds. In addition, Lazard Group is obligated to abide by obligations that existed as of the date of the separation and recapitalization with respect to funds existing as of such date. In February 2009, pursuant to agreements entered into by us, a subsidiary of LAI (“LAI North America”), LFCM Holdings and the investment professionals who manage CP II, equity ownership of the management company of CP II (“CP II MgmtCo”) was transferred from LAI North America to the investment professionals who manage CP II. In connection with the CP II MgmtCo Spin-Off, Lazard Group made a $4 million cash payment to LFCM Holdings. In consideration for this payment, the business alliance agreement was amended to remove any restriction on Lazard Group engaging in private equity businesses in North America and to reduce the price of our option to acquire the fund management activities of LAI in North America from $6.5 million to $2.5 million. See Note 20 of Notes to the Company’s Consolidated Financial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Pursuant to the business alliance agreement, LFCM Holdings agreed not to compete with any existing Lazard Group businesses until the latest to occur of the termination of the license agreement, the expiration, termination or exercise of the option to purchase the North American merchant banking activities or the expiration or termination of the business alliance.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LAZ-MD Holdings’ Stockholders’ Agreement</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Members of LAZ-MD Holdings, consisting of the current and former working members of Lazard Group, including our managing directors and named executive officers, have entered into a stockholders’ agreement with LAZ-MD Holdings and Lazard Ltd that addresses, among other things, LAZ-MD Holdings’ voting of its share of Class B common stock of Lazard Ltd and registration rights in favor of the shareholders who are party to the agreement. Every working member at the time of the separation and recapitalization was offered the opportunity to become a party to the LAZ-MD Holdings stockholders’ agreement.</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LAZ-MD Holdings stockholders’ agreement will continue in effect until all LAZ-MD Holdings exchangeable interests have been exchanged for shares of Lazard Ltd’s common stock, and individual members of LAZ-MD Holdings will cease being party to the LAZ-MD Holdings stockholders’ agreement upon full exchange of his or her LAZ-MD Holdings exchangeable interests and underlying Lazard Group interests for Lazard Ltd’s common stock and such common stock is capable of resale generally under Rule 144 of the Securities Act of 1933, as amended (the “Securities Act”). The LAZ-MD Holdings stockholders’ agreement may be terminated on an earlier date by LAZ-MD Holdings members entitled to vote at least 66 2/3% of the aggregate voting power represented by the LAZ-MD Holdings members who are party to the LAZ-MD Holdings stockholders’ agreement. The LAZ-MD Holdings stockholders’ agreement generally may be amended at any time by a majority of the aggregate voting power represented by LAZ-MD Holdings members who are party to the LAZ-MD Holdings stockholders’ agreement.</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November 6, 2006, Lazard Group delivered to LAZ-MD Holdings an acknowledgement letter (the “acknowledgement letter”) modifying the terms of the retention agreements of persons party to the amended and restated LAZ-MD stockholders’ agreement who were at that time current managing directors. The modifications include Lazard Group’s agreement that, in the event that any such person shall become entitled to exchangeability immediately following the third anniversary of the initial equity public offering, or May 10, 2008, of his or her LAZ-MD Holdings exchangeable interests, that person will not forfeit the right to early exchangeability with respect to the first tranche of his or her LAZ-MD Holdings exchangeable interests if he or she breaches the restrictive covenants (</w:t>
      </w:r>
      <w:r>
        <w:rPr>
          <w:rFonts w:ascii="Arial" w:cs="Arial" w:eastAsia="Arial" w:hAnsi="Arial"/>
          <w:sz w:val="16"/>
          <w:szCs w:val="16"/>
          <w:i w:val="1"/>
          <w:iCs w:val="1"/>
          <w:color w:val="auto"/>
        </w:rPr>
        <w:t>i.e.</w:t>
      </w:r>
      <w:r>
        <w:rPr>
          <w:rFonts w:ascii="Arial" w:cs="Arial" w:eastAsia="Arial" w:hAnsi="Arial"/>
          <w:sz w:val="16"/>
          <w:szCs w:val="16"/>
          <w:color w:val="auto"/>
        </w:rPr>
        <w:t>, non-compete and non-solicitation provisions) in the retention agreement of such individual (although shares in the second and third tranches that would otherwise become exchangeable would not be exchangeable until the eighth anniversary of our equity public offering (May 10, 2013) in such an instance). The terms of the acknowledgement letter were approved by our Board of Directors.</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u w:val="single" w:color="auto"/>
          <w:color w:val="auto"/>
        </w:rPr>
        <w:t>Registration Rights</w:t>
      </w:r>
      <w:r>
        <w:rPr>
          <w:rFonts w:ascii="Arial" w:cs="Arial" w:eastAsia="Arial" w:hAnsi="Arial"/>
          <w:sz w:val="18"/>
          <w:szCs w:val="18"/>
          <w:color w:val="auto"/>
        </w:rPr>
        <w:t>. On November 6, 2006, the LAZ-MD Holdings stockholders’ agreement was amended and restated. The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agreement modified in certain respects the terms of the registration rights granted to holders of the LAZ-MD Holdings exchangeable interests who are party to that agreement.</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amended and restated LAZ-MD Holdings stockholders’ agreement provides that the holders of shares of Lazard Ltd’s common stock already issued or to be issued upon exchange of the LAZ-MD Holdings exchangeable interests or the Lazard Group common membership interests currently held by LAZ-MD Holdings will be granted registration rights. These shares we refer to as “registrable securities,” and the holders of these registrable securities we refer to as “holders.” The holders are third-party beneficiaries for that purpose under the amended and restated LAZ-MD Holdings stockholders’ agreement, meaning that they will have the right to request LAZ-MD Holdings to compel Lazard Ltd to honor those obligations under the amended and restated LAZ-MD Holdings stockholders’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amended and restated LAZ-MD Holdings stockholders’ agreement provides that, after exchange for shares of Lazard Ltd’s common stock, each holder is entitled to unlimited “piggyback” registration rights, meaning that each holder can include his or her registrable securities in registration statements filed by Lazard Ltd, subject to certain limitations. Holders also have “demand” registration rights, meaning that, subject to certain limitations, after exchange for shares of Lazard Ltd’s common stock, they may require Lazard Ltd to register the registrable securities held by them, provided that the minimum number of registrable securities necessary to effect a “demand” registration is the lesser of (1) the number of shares having a market value in excess of $50 million at such time (or $20 million after the ninth anniversary of our equity public offering (May 10, 2014)) or (2) 2,000,000 shares of Lazard Ltd’s common stock. Lazard Ltd will pay the costs associated with all such registrations. Moreover, Lazard Ltd also will use its reasonable best efforts to file and make effective a registration statement on the third through the ninth anniversaries of the separation and recapitalization, in order to register registrable securities that were issued on those anniversaries or otherwise subject to continuing volume or transfer restrictions under Rule 144 of the Securities Act upon the exchange of the LAZ-MD Holdings exchangeable interests and the Lazard Group common membership interests, provided that the amount of registrable securities subject to such registration constitutes at least $50 million of shares of Lazard Ltd’s outstanding common stock.</w:t>
      </w:r>
    </w:p>
    <w:p>
      <w:pPr>
        <w:spacing w:after="0" w:line="114"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Shares of Lazard Ltd’s common stock will cease to be registrable securities upon the consummation of any sale of such shares pursuant to an effective registration statement or under Rule 144 of the Securities Act or when they become eligible for sale under Rule 144 of the Securities Act. However, any holder who has shares that would have been registrable securities but for their eligibility for sale under Rule 144 and who holds, in the aggregate, an amount of registrable securities with a market value in excess of $25 million of Lazard Ltd’s outstanding common stock will be entitled to continued demand, annual registration and piggyback registration rights as described above.</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Any amendments to the registration rights provisions of the amended and restated stockholders’ agreement shall require the affirmative approval of holders holding two-thirds of the shares of Lazard Ltd common stock covered under the amended and restated stockholders’ agreement in addition to the consent of Lazard Ltd and LAZ-MD Holdings, and any amendment that materially and adversely impacts the rights of any holder under the amended and restated stockholders’ agreement will also require the consent of such holder or it will not apply to such person unless such amendment applies to and affects the rights of all holders equally, regardless of whether or not such person is providing services to Lazard Ltd.</w:t>
      </w:r>
    </w:p>
    <w:p>
      <w:pPr>
        <w:spacing w:after="0" w:line="10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Each holder of registrable securities party to the amended and restated stockholders’ agreement may enforce his or her registration rights directly against Lazard Ltd, although LAZ-MD Holdings may elect to assume, seek and conduct the enforcement of any claims itself on behalf of such holder.</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expect that substantially all of Lazard Ltd’s common stock to be issued upon exchange of the LAZ-MD Holdings exchangeable interests will have the foregoing registration rights.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u w:val="single" w:color="auto"/>
          <w:color w:val="auto"/>
        </w:rPr>
        <w:t>Voting Rights</w:t>
      </w:r>
      <w:r>
        <w:rPr>
          <w:rFonts w:ascii="Arial" w:cs="Arial" w:eastAsia="Arial" w:hAnsi="Arial"/>
          <w:sz w:val="16"/>
          <w:szCs w:val="16"/>
          <w:color w:val="auto"/>
        </w:rPr>
        <w:t>. Prior to any vote of the shareholders of Lazard Ltd, the LAZ-MD Holdings stockholders’ agreement requires a separate, preliminary vote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members of LAZ-MD Holdings who are party to the LAZ-MD Holdings stockholders’ agreement (either by a meeting or by proxy or written instruction of the members of LAZ-MD Holdings) on each matter upon which a vote of the shareholders is proposed to be taken. Pursuant to the LAZ-MD Holdings stockholders’ agreement, members of LAZ-MD Holdings holding LAZ-MD Holdings exchangeable interests who are party to that agreement are individually entitled to direct LAZ-MD Holdings how to vote their proportionate interest in Lazard Ltd’s Class B common stock on an as-if-exchanged basis. For example, if a current or former working member’s LAZ-MD Holdings exchangeable interests were exchangeable for 1,000 shares of Lazard Ltd’s common stock, that working member would be able to instruct LAZ-MD Holdings how to vote 1,000 of the votes represented by the Class B common stock of Lazard Ltd. However, the LAZ-MD Holdings Board of Directors has the ability to vote the voting interest represented by the Class B common stock of Lazard Ltd in its discretion if the LAZ-MD Holdings Board of Directors determines that it is in the best interests of LAZ-MD Holdings.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55" w:lineRule="auto"/>
        <w:rPr>
          <w:sz w:val="20"/>
          <w:szCs w:val="20"/>
          <w:color w:val="auto"/>
        </w:rPr>
      </w:pPr>
      <w:r>
        <w:rPr>
          <w:rFonts w:ascii="Arial" w:cs="Arial" w:eastAsia="Arial" w:hAnsi="Arial"/>
          <w:sz w:val="18"/>
          <w:szCs w:val="18"/>
          <w:color w:val="auto"/>
        </w:rPr>
        <w:t>The votes under the Class B common stock of Lazard Ltd that are associated with any current or former working member who does not direct LAZ-MD Holdings how to vote on a particular matter will be abstained from voting. The terms of the LAZ-MD Holdings stockholders’ agreement with respect to voting continue to apply to any party to the LAZ-MD Holdings stockholders’ agreement who receives Lazard Group common membership interests upon exchange of his or her LAZ-MD Holdings exchangeable interests, until such time as that holder exchanges all of his or her Lazard Group common membership interests for shares of Lazard Ltd’s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with Our Directors, Executive Officers and Employees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Laurent Mignon, a member of our Board of Directors, is the Chief Executive Officer of Natixis. In April 2004, Lazard Group and Natixis (as the successor to IXIS Corporate &amp; Investment Bank) entered into a cooperation arrangement to place and underwrite securities on the French capital markets under a common brand, “Lazard-Natixis” (formerly “Lazard-Ixis”), and cooperate in their respective origination, syndication, placement and other activities. This cooperation covers French listed companies exceeding a market capitalization of €500 million. On March 15, 2005, Lazard Group and Natixis expanded this arrangement into an exclusive arrangement within France. The cooperation arrangement was renewed on July 8, 2010 and will continue for an additional two year term until July 8, 2012. In 2010, the cooperation arrangement generated $3.0 million of gross revenue for Lazard.</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March 19, 2010, the Estate of Bruce Wasserstein and the Wasserstein family trusts sold 7,639,410 shares of Lazard Ltd Class A common stock in an underwritten public offering at a price of $35.90 per share for a total of $274,254,819. In connection with such offering, pursuant to a letter agreement dated as of March 16, 2010, the trustees of one of the Wasserstein family trusts agreed that Lazard’s obligation to nominate one person designated by such trust to the Lazard Board of Directors would terminate upon completion of such offering and further agreed that Ellis Jones would not stand for reelection at Lazard Ltd’s 2010 Annual General Meeting of Shareholders.</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the fiscal years ended December 31, 2010 and 2009, fees for services provided by Deloitte &amp; Touche LLP, the member firms of Deloitte Touche Tohmatsu and their respective affiliates were as follows (in thousands of dollars):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gridSpan w:val="3"/>
          </w:tcPr>
          <w:p>
            <w:pPr>
              <w:spacing w:after="0"/>
              <w:rPr>
                <w:sz w:val="20"/>
                <w:szCs w:val="20"/>
                <w:color w:val="auto"/>
              </w:rPr>
            </w:pPr>
            <w:r>
              <w:rPr>
                <w:rFonts w:ascii="Arial" w:cs="Arial" w:eastAsia="Arial" w:hAnsi="Arial"/>
                <w:sz w:val="14"/>
                <w:szCs w:val="14"/>
                <w:b w:val="1"/>
                <w:bCs w:val="1"/>
                <w:color w:val="auto"/>
              </w:rPr>
              <w:t>Fees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 xml:space="preserve">Audit Fees </w:t>
            </w:r>
            <w:r>
              <w:rPr>
                <w:rFonts w:ascii="Arial" w:cs="Arial" w:eastAsia="Arial" w:hAnsi="Arial"/>
                <w:sz w:val="18"/>
                <w:szCs w:val="18"/>
                <w:color w:val="auto"/>
                <w:w w:val="93"/>
              </w:rPr>
              <w:t>for the audit of Lazard’s annual financial statements, the audit of the effectiveness of Lazard’s controls over financial</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reporting, and reviews of the financial statements included in Lazard’s quarterly reports on Form 10-Q, including services in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connection with statutory and regulatory filings or engagements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6,544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w w:val="91"/>
              </w:rPr>
              <w:t>Audit-Related Fees</w:t>
            </w:r>
            <w:r>
              <w:rPr>
                <w:rFonts w:ascii="Arial" w:cs="Arial" w:eastAsia="Arial" w:hAnsi="Arial"/>
                <w:sz w:val="18"/>
                <w:szCs w:val="18"/>
                <w:color w:val="auto"/>
                <w:w w:val="91"/>
              </w:rPr>
              <w:t>, including fees for audits of employee benefit plans, computer and control related audit services, agreed-upon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gridSpan w:val="2"/>
          </w:tcPr>
          <w:p>
            <w:pPr>
              <w:ind w:left="200"/>
              <w:spacing w:after="0"/>
              <w:rPr>
                <w:sz w:val="20"/>
                <w:szCs w:val="20"/>
                <w:color w:val="auto"/>
              </w:rPr>
            </w:pPr>
            <w:r>
              <w:rPr>
                <w:rFonts w:ascii="Arial" w:cs="Arial" w:eastAsia="Arial" w:hAnsi="Arial"/>
                <w:sz w:val="18"/>
                <w:szCs w:val="18"/>
                <w:color w:val="auto"/>
              </w:rPr>
              <w:t>procedures, merger and acquisition assistance and other accounting research services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834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for tax consulting and compliance services not related to the audit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All Other Fees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Audit Committee has adopted a policy regarding pre-approval of audit and non-audit services provided by Deloitte &amp; Touche LLP to Lazard and its subsidiaries. The policy provides the guidelines necessary to adhere to Lazard’s commitment to auditor independence and compliance with relevant laws, regulations and guidelines relating to auditor independence. The policy contains a list of prohibited non-audit services, and sets forth four categories of permitted services (Audit, Audit-Related, Tax and Other), listing the types of permitted services in each category. All of the permitted services require pre-approval by the Audit Committee. In lieu of Audit Committee pre-approval on an engagement-by-engagement basis, each category of permitted services, with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reasonable detail as to the types of services contemplated, is pre-approved as part of the annual budget approval by the Audit Committee. Permitted services not contemplated during the budget process must be presented to the Audit Committee for approval prior to the commencement of the relevant engagement. The Audit Committee chair, or, if he is not available, any other member of the Committee, may grant approval for any such engagement if approval is required prior to the next scheduled meeting of the Committee. At least twice a year, the Audit Committee is presented with a report showing amounts billed by the independent auditor compared to the budget approvals for each of the categories of permitted services. The Audit Committee reviews the suitability of the pre-approval policy at least annually.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77"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76" w:lineRule="exact"/>
        <w:rPr>
          <w:rFonts w:ascii="Arial" w:cs="Arial" w:eastAsia="Arial" w:hAnsi="Arial"/>
          <w:sz w:val="18"/>
          <w:szCs w:val="18"/>
          <w:b w:val="1"/>
          <w:bCs w:val="1"/>
          <w:color w:val="auto"/>
        </w:rPr>
      </w:pPr>
    </w:p>
    <w:p>
      <w:pPr>
        <w:ind w:left="900" w:hanging="446"/>
        <w:spacing w:after="0"/>
        <w:tabs>
          <w:tab w:leader="none" w:pos="900"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82" w:lineRule="exact"/>
        <w:rPr>
          <w:rFonts w:ascii="Arial" w:cs="Arial" w:eastAsia="Arial" w:hAnsi="Arial"/>
          <w:sz w:val="18"/>
          <w:szCs w:val="18"/>
          <w:b w:val="1"/>
          <w:bCs w:val="1"/>
          <w:color w:val="auto"/>
        </w:rPr>
      </w:pPr>
    </w:p>
    <w:p>
      <w:pPr>
        <w:ind w:left="90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required to be filed in the Annual Report on Form 10-K are listed on page F-1 hereof and in Part II, Item 8 hereof.</w:t>
      </w:r>
    </w:p>
    <w:p>
      <w:pPr>
        <w:spacing w:after="0" w:line="112" w:lineRule="exact"/>
        <w:rPr>
          <w:rFonts w:ascii="Arial" w:cs="Arial" w:eastAsia="Arial" w:hAnsi="Arial"/>
          <w:sz w:val="18"/>
          <w:szCs w:val="18"/>
          <w:b w:val="1"/>
          <w:bCs w:val="1"/>
          <w:color w:val="auto"/>
        </w:rPr>
      </w:pPr>
    </w:p>
    <w:p>
      <w:pPr>
        <w:ind w:left="900" w:hanging="446"/>
        <w:spacing w:after="0"/>
        <w:tabs>
          <w:tab w:leader="none" w:pos="900"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w:t>
      </w:r>
    </w:p>
    <w:p>
      <w:pPr>
        <w:spacing w:after="0" w:line="82" w:lineRule="exact"/>
        <w:rPr>
          <w:rFonts w:ascii="Arial" w:cs="Arial" w:eastAsia="Arial" w:hAnsi="Arial"/>
          <w:sz w:val="18"/>
          <w:szCs w:val="18"/>
          <w:b w:val="1"/>
          <w:bCs w:val="1"/>
          <w:color w:val="auto"/>
        </w:rPr>
      </w:pPr>
    </w:p>
    <w:p>
      <w:pPr>
        <w:ind w:left="90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 schedule required in the Annual Report on Form 10-K is listed on page F-1 hereof. The required schedule appears on pages F-2 through F-8 hereof.</w:t>
      </w:r>
    </w:p>
    <w:p>
      <w:pPr>
        <w:spacing w:after="0" w:line="112" w:lineRule="exact"/>
        <w:rPr>
          <w:rFonts w:ascii="Arial" w:cs="Arial" w:eastAsia="Arial" w:hAnsi="Arial"/>
          <w:sz w:val="18"/>
          <w:szCs w:val="18"/>
          <w:b w:val="1"/>
          <w:bCs w:val="1"/>
          <w:color w:val="auto"/>
        </w:rPr>
      </w:pPr>
    </w:p>
    <w:p>
      <w:pPr>
        <w:ind w:left="900" w:hanging="446"/>
        <w:spacing w:after="0"/>
        <w:tabs>
          <w:tab w:leader="none" w:pos="900"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3.1</w:t>
            </w: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Lazard Group LLC’s Certificate of Formation (incorporated by reference to Exhibit 3.1 to Lazard Group LLC’s Registration Statement (File No.</w:t>
            </w:r>
          </w:p>
        </w:tc>
      </w:tr>
      <w:tr>
        <w:trPr>
          <w:trHeight w:val="222"/>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333-126751) on Form S-4 filed on July 21, 2005).</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3.2</w:t>
            </w:r>
          </w:p>
        </w:tc>
        <w:tc>
          <w:tcPr>
            <w:tcW w:w="10700" w:type="dxa"/>
            <w:vAlign w:val="bottom"/>
          </w:tcPr>
          <w:p>
            <w:pPr>
              <w:ind w:left="320"/>
              <w:spacing w:after="0"/>
              <w:rPr>
                <w:sz w:val="20"/>
                <w:szCs w:val="20"/>
                <w:color w:val="auto"/>
              </w:rPr>
            </w:pPr>
            <w:r>
              <w:rPr>
                <w:rFonts w:ascii="Arial" w:cs="Arial" w:eastAsia="Arial" w:hAnsi="Arial"/>
                <w:sz w:val="18"/>
                <w:szCs w:val="18"/>
                <w:color w:val="auto"/>
                <w:w w:val="97"/>
              </w:rPr>
              <w:t>Lazard Group LLC’s Certificate of Amendment of Certificate of Formation of Lazard Group LLC, changing name to Lazard Group LLC</w:t>
            </w:r>
          </w:p>
        </w:tc>
      </w:tr>
      <w:tr>
        <w:trPr>
          <w:trHeight w:val="216"/>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(incorporated by reference to Exhibit 3.2 to Lazard Group LLC’s Registration Statement (File No. 333-126751) on Form S-4 filed on July 21,</w:t>
            </w:r>
          </w:p>
        </w:tc>
      </w:tr>
      <w:tr>
        <w:trPr>
          <w:trHeight w:val="222"/>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2005).</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3.3</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Lazard Ltd’s Quarterly Report</w:t>
            </w:r>
          </w:p>
        </w:tc>
      </w:tr>
      <w:tr>
        <w:trPr>
          <w:trHeight w:val="222"/>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(File No. 001-32492) on Form 10-Q filed on June 16, 2005).</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3.4</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Amendment No. 1 to the Operating Agreement of Lazard Group LLC, dated as of December 19, 2005 (incorporated by reference to Exhibit 3.01 to</w:t>
            </w:r>
          </w:p>
        </w:tc>
      </w:tr>
      <w:tr>
        <w:trPr>
          <w:trHeight w:val="222"/>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Lazard Group LLC’s Current Report on Form 8-K (File No. 333-126751) filed on December 19, 2005).</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3.5</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Amendment No. 2 dated as of May 7, 2008, to the Operating Agreement of Lazard Group LLC dated as of May 10, 2005 (incorporated by</w:t>
            </w:r>
          </w:p>
        </w:tc>
      </w:tr>
      <w:tr>
        <w:trPr>
          <w:trHeight w:val="216"/>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reference to Exhibit 3.1 to the Registrant’s Current Report on</w:t>
            </w:r>
          </w:p>
        </w:tc>
      </w:tr>
      <w:tr>
        <w:trPr>
          <w:trHeight w:val="222"/>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8-K (File No. 333-126751) filed on May 8, 2008).</w:t>
            </w:r>
          </w:p>
        </w:tc>
      </w:tr>
      <w:tr>
        <w:trPr>
          <w:trHeight w:val="331"/>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3.6</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Amendment No. 3 dated as of April 27, 2010 to the Operating Agreement of Lazard Group LLC dated as of May 10, 2005 (incorporated by</w:t>
            </w:r>
          </w:p>
        </w:tc>
      </w:tr>
      <w:tr>
        <w:trPr>
          <w:trHeight w:val="222"/>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reference to Exhibit 10.6 to the Registrant’s Quarterly Report (File No. 333-126751) on Form 10-Q filed on April 30, 2010).</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4.1</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Indenture, dated as of May 10, 2005, by and between Lazard Group LLC and The Bank of New York, as Trustee (incorporated by reference to</w:t>
            </w:r>
          </w:p>
        </w:tc>
      </w:tr>
      <w:tr>
        <w:trPr>
          <w:trHeight w:val="222"/>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First Supplemental Indenture, dated as of May 10, 2005, by and between Lazard Group LLC and The Bank of New York, as Trustee (incorporated</w:t>
            </w:r>
          </w:p>
        </w:tc>
      </w:tr>
      <w:tr>
        <w:trPr>
          <w:trHeight w:val="222"/>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8"/>
              </w:rPr>
              <w:t>by reference to Exhibit 4.2 to Lazard Group LLC’s Registration Statement (File No. 333-126751) on Form S-4 filed on July 21, 2005).</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4.3</w:t>
            </w: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Second Supplemental Indenture, dated as of May 10, 2005, by and between Lazard Group LLC and The Bank of New York, as Trustee</w:t>
            </w:r>
          </w:p>
        </w:tc>
      </w:tr>
      <w:tr>
        <w:trPr>
          <w:trHeight w:val="216"/>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(incorporated by reference to Exhibit 10.37 to Lazard Group LLC’s Registration Statement (File No. 333-126751) on Form S-4 filed on July 21,</w:t>
            </w:r>
          </w:p>
        </w:tc>
      </w:tr>
      <w:tr>
        <w:trPr>
          <w:trHeight w:val="222"/>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2005).</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4.4</w:t>
            </w:r>
          </w:p>
        </w:tc>
        <w:tc>
          <w:tcPr>
            <w:tcW w:w="10700" w:type="dxa"/>
            <w:vAlign w:val="bottom"/>
          </w:tcPr>
          <w:p>
            <w:pPr>
              <w:ind w:left="320"/>
              <w:spacing w:after="0"/>
              <w:rPr>
                <w:sz w:val="20"/>
                <w:szCs w:val="20"/>
                <w:color w:val="auto"/>
              </w:rPr>
            </w:pPr>
            <w:r>
              <w:rPr>
                <w:rFonts w:ascii="Arial" w:cs="Arial" w:eastAsia="Arial" w:hAnsi="Arial"/>
                <w:sz w:val="18"/>
                <w:szCs w:val="18"/>
                <w:color w:val="auto"/>
                <w:w w:val="88"/>
              </w:rPr>
              <w:t>Amended and Restated Third Supplemental Indenture, dated as of May 15, 2008, by and among Lazard Group LLC and The Bank of New York, as</w:t>
            </w:r>
          </w:p>
        </w:tc>
      </w:tr>
      <w:tr>
        <w:trPr>
          <w:trHeight w:val="216"/>
        </w:trPr>
        <w:tc>
          <w:tcPr>
            <w:tcW w:w="54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trustee (incorporated by reference to Exhibit 4.01 to Lazard Group LLC’s Current Report on Form 8-K (Commission File No. 333-126751) filed on</w:t>
            </w:r>
          </w:p>
        </w:tc>
      </w:tr>
      <w:tr>
        <w:trPr>
          <w:trHeight w:val="222"/>
        </w:trPr>
        <w:tc>
          <w:tcPr>
            <w:tcW w:w="54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May 16, 2008).</w:t>
            </w:r>
          </w:p>
        </w:tc>
      </w:tr>
      <w:tr>
        <w:trPr>
          <w:trHeight w:val="378"/>
        </w:trPr>
        <w:tc>
          <w:tcPr>
            <w:tcW w:w="540" w:type="dxa"/>
            <w:vAlign w:val="bottom"/>
          </w:tcPr>
          <w:p>
            <w:pPr>
              <w:spacing w:after="0"/>
              <w:rPr>
                <w:sz w:val="24"/>
                <w:szCs w:val="24"/>
                <w:color w:val="auto"/>
              </w:rPr>
            </w:pPr>
          </w:p>
        </w:tc>
        <w:tc>
          <w:tcPr>
            <w:tcW w:w="10700" w:type="dxa"/>
            <w:vAlign w:val="bottom"/>
          </w:tcPr>
          <w:p>
            <w:pPr>
              <w:ind w:left="4860"/>
              <w:spacing w:after="0"/>
              <w:rPr>
                <w:sz w:val="20"/>
                <w:szCs w:val="20"/>
                <w:color w:val="auto"/>
              </w:rPr>
            </w:pPr>
            <w:r>
              <w:rPr>
                <w:rFonts w:ascii="Arial" w:cs="Arial" w:eastAsia="Arial" w:hAnsi="Arial"/>
                <w:sz w:val="18"/>
                <w:szCs w:val="18"/>
                <w:color w:val="auto"/>
              </w:rPr>
              <w:t>167</w:t>
            </w: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780" w:type="dxa"/>
            <w:vAlign w:val="bottom"/>
          </w:tcPr>
          <w:p>
            <w:pPr>
              <w:jc w:val="right"/>
              <w:ind w:right="392"/>
              <w:spacing w:after="0"/>
              <w:rPr>
                <w:sz w:val="20"/>
                <w:szCs w:val="20"/>
                <w:color w:val="auto"/>
              </w:rPr>
            </w:pPr>
            <w:r>
              <w:rPr>
                <w:rFonts w:ascii="Arial" w:cs="Arial" w:eastAsia="Arial" w:hAnsi="Arial"/>
                <w:sz w:val="18"/>
                <w:szCs w:val="18"/>
                <w:color w:val="auto"/>
              </w:rPr>
              <w:t>4.5</w:t>
            </w:r>
          </w:p>
        </w:tc>
        <w:tc>
          <w:tcPr>
            <w:tcW w:w="10500" w:type="dxa"/>
            <w:vAlign w:val="bottom"/>
          </w:tcPr>
          <w:p>
            <w:pPr>
              <w:ind w:left="380"/>
              <w:spacing w:after="0"/>
              <w:rPr>
                <w:sz w:val="20"/>
                <w:szCs w:val="20"/>
                <w:color w:val="auto"/>
              </w:rPr>
            </w:pPr>
            <w:r>
              <w:rPr>
                <w:rFonts w:ascii="Arial" w:cs="Arial" w:eastAsia="Arial" w:hAnsi="Arial"/>
                <w:sz w:val="18"/>
                <w:szCs w:val="18"/>
                <w:color w:val="auto"/>
              </w:rPr>
              <w:t>Form of Senior Note (included in Exhibit 4.4).</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rPr>
              <w:t>4.6</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$546 million 7.125% Senior Notes Due 2015, issued by Lazard Group LLC (incorporated by reference to Exhibit 4.5 to Lazard Group LLC’s</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Quarterly Report (File No. 333-126751) on Form 10-Q filed on November 10, 2005).</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rPr>
              <w:t>4.7</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10.1</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Master Separation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Holdings LLC (incorporated by reference to Exhibit 2.1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10.2</w:t>
            </w: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Amendment No. 1, dated as of November 6, 2006, to the Master Separation Agreement, dated as of May 10, 2005, by and among the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4"/>
              </w:rPr>
              <w:t>Ltd, Lazard Group LLC and LAZ-MD Holdings LLC (incorporated by reference to Exhibit 10.2 to the Registrant’s Quarterly Report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333-126751) on Form 10-Q filed on November 7, 2006).</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10.3</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8-K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333-126751) filed on May 8, 2008).</w:t>
            </w:r>
          </w:p>
        </w:tc>
      </w:tr>
      <w:tr>
        <w:trPr>
          <w:trHeight w:val="331"/>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10.4</w:t>
            </w: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10.5</w:t>
            </w: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Lazard Ltd and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certain members of LAZ-MD Holdings LLC (incorporated by reference to Exhibit 10.4 to the Registrant’s Quarterly Report (File No. 333-</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10.6</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LAZ- MD Holdings LLC and Lazard Ltd (incorporated by reference to Exhibit 10.6 to the Registrant’s Quarterly Report (File No. 333-126751)</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10.7</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Employee Benefits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10.4 to Lazard Ltd’s Quarterly Report (File No. 001-32492) on Form 10-Q filed on June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16, 2005).</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10.8</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780" w:type="dxa"/>
            <w:vAlign w:val="bottom"/>
          </w:tcPr>
          <w:p>
            <w:pPr>
              <w:jc w:val="right"/>
              <w:ind w:right="392"/>
              <w:spacing w:after="0"/>
              <w:rPr>
                <w:sz w:val="20"/>
                <w:szCs w:val="20"/>
                <w:color w:val="auto"/>
              </w:rPr>
            </w:pPr>
            <w:r>
              <w:rPr>
                <w:rFonts w:ascii="Arial" w:cs="Arial" w:eastAsia="Arial" w:hAnsi="Arial"/>
                <w:sz w:val="18"/>
                <w:szCs w:val="18"/>
                <w:color w:val="auto"/>
                <w:w w:val="79"/>
              </w:rPr>
              <w:t>10.9</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Frères S.A.S., Lazard &amp; Co. Holdings Limited and LFCM Holdings LLC (incorporated by reference to Exhibit 10.6 to Lazard Ltd’s Quarterly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10.10</w:t>
            </w:r>
          </w:p>
        </w:tc>
        <w:tc>
          <w:tcPr>
            <w:tcW w:w="10500" w:type="dxa"/>
            <w:vAlign w:val="bottom"/>
          </w:tcPr>
          <w:p>
            <w:pPr>
              <w:ind w:left="38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Group LLC (incorporated by reference to Exhibit 10.7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312"/>
              <w:spacing w:after="0"/>
              <w:rPr>
                <w:sz w:val="20"/>
                <w:szCs w:val="20"/>
                <w:color w:val="auto"/>
              </w:rPr>
            </w:pPr>
            <w:r>
              <w:rPr>
                <w:rFonts w:ascii="Arial" w:cs="Arial" w:eastAsia="Arial" w:hAnsi="Arial"/>
                <w:sz w:val="18"/>
                <w:szCs w:val="18"/>
                <w:color w:val="auto"/>
                <w:w w:val="79"/>
              </w:rPr>
              <w:t>10.11</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10.8 to Lazard Ltd’s Quarterly Report (File No. 001-32492) on Form 10-Q filed on June 16, 2005).</w:t>
            </w:r>
          </w:p>
        </w:tc>
      </w:tr>
      <w:tr>
        <w:trPr>
          <w:trHeight w:val="365"/>
        </w:trPr>
        <w:tc>
          <w:tcPr>
            <w:tcW w:w="78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168</w:t>
            </w:r>
          </w:p>
        </w:tc>
      </w:tr>
    </w:tbl>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Group LLC and LFCM Holdings LLC (incorporated by reference to Exhibit 10.12 to Registrant’s Annual Report (File No. 333-126751)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10460" w:type="dxa"/>
            <w:vAlign w:val="bottom"/>
          </w:tcPr>
          <w:p>
            <w:pPr>
              <w:ind w:left="34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(English translation) (incorporated by reference to Exhibit 10.20 to Lazard Ltd’s Registration Statement (File No. 333-121407) on Form S-1/A</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Burford (Stratton) Limited, Lazard &amp; Co., Limited and Lazard LLC (incorporated by reference to Exhibit 10.21 to Lazard Ltd’s Registration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Lazard Ltd’s 2005 Equity Incentive Plan (incorporated by reference to Exhibit 10.21 to Lazard Ltd’s Registration Statement (File No. 333-</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340"/>
              <w:spacing w:after="0"/>
              <w:rPr>
                <w:sz w:val="20"/>
                <w:szCs w:val="20"/>
                <w:color w:val="auto"/>
              </w:rPr>
            </w:pPr>
            <w:r>
              <w:rPr>
                <w:rFonts w:ascii="Arial" w:cs="Arial" w:eastAsia="Arial" w:hAnsi="Arial"/>
                <w:sz w:val="18"/>
                <w:szCs w:val="18"/>
                <w:color w:val="auto"/>
                <w:w w:val="95"/>
              </w:rPr>
              <w:t>Lazard Ltd’s 2008 Incentive Compensation Plan (incorporated by reference to Annex B to Lazard Ltd’s Definitive Proxy Statement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Lazard Ltd’s 2005 Bonus Plan (incorporated by reference to Exhibit 10.23 to Lazard Ltd’s Registration Statement (File No. 333-121407)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Schedule I for, each of Michael J. Castellano and Scott D. Hoffman (incorporated by reference to Exhibit 10.26 to Lazard Ltd’s Quarterly</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Report on Form 8-K (File No. 333-126751) filed on May 8,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February 26, 2009,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May 4, 2005 (as amended from time to time), for Michael J. Castellano (incorporated by reference to Exhibit 10.26 to Registrant’s Annual</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Report (File</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 333-126751) on Form 10-K filed on March 2, 2009).</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Form of Agreements Relating to Retention and Noncompetition and Other Covenants (incorporated by reference to Exhibit 10.27 to Lazard</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Ltd’s Registration Statement (File No. 333-121407)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Form S-1/A filed on April 11, 2005).</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and Alexander F. Stern (incorporated by reference to Exhibit 10.28 to Registrant’s Annual Report (File No. 333-126751) on Form 10-K filed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March 2, 2009).</w:t>
            </w:r>
          </w:p>
        </w:tc>
      </w:tr>
      <w:tr>
        <w:trPr>
          <w:trHeight w:val="365"/>
        </w:trPr>
        <w:tc>
          <w:tcPr>
            <w:tcW w:w="820" w:type="dxa"/>
            <w:vAlign w:val="bottom"/>
          </w:tcPr>
          <w:p>
            <w:pPr>
              <w:spacing w:after="0"/>
              <w:rPr>
                <w:sz w:val="24"/>
                <w:szCs w:val="24"/>
                <w:color w:val="auto"/>
              </w:rPr>
            </w:pPr>
          </w:p>
        </w:tc>
        <w:tc>
          <w:tcPr>
            <w:tcW w:w="10460" w:type="dxa"/>
            <w:vAlign w:val="bottom"/>
          </w:tcPr>
          <w:p>
            <w:pPr>
              <w:ind w:left="4660"/>
              <w:spacing w:after="0"/>
              <w:rPr>
                <w:sz w:val="20"/>
                <w:szCs w:val="20"/>
                <w:color w:val="auto"/>
              </w:rPr>
            </w:pPr>
            <w:r>
              <w:rPr>
                <w:rFonts w:ascii="Arial" w:cs="Arial" w:eastAsia="Arial" w:hAnsi="Arial"/>
                <w:sz w:val="18"/>
                <w:szCs w:val="18"/>
                <w:color w:val="auto"/>
              </w:rPr>
              <w:t>169</w:t>
            </w:r>
          </w:p>
        </w:tc>
      </w:tr>
    </w:tbl>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October 4, 2004, with Alexander F. Stern (incorporated by reference to Exhibit 10.2 to the Registrant’s Current Report on Form 8-K (File</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No. 333-126751) filed on March 23,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and Kenneth M. Jacobs (incorporated by reference to Exhibit 10.29 to the Registrant’s Annual Report on Form 10-K (File No. 333-126751)</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filed on March 1,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(File No. 333-126751) field on March 23,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(incorporated by reference to Exhibit 10.28 to Lazard Ltd’s Quarterly Report (File No. 001-32492) on Form 10-Q filed on J16,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Acknowledgement Letter, dated as of November 6, 2006, from Lazard Group LLC to certain managing directors of Lazard Group LLC</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6, 2006 (incorporated by reference to Exhibit 10.23 to the Registrant’s Quarterly Report (File No. 333-126751) on Form 10-Q filed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November 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reference to Exhibit 10.27 to Lazard Ltd’s Registration Statement (File No. 333-121407) on 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IXIS Corporate and Investment Bank (incorporated by reference to Exhibit 10.30 to Lazard Ltd’s Quarterly Report (File No. 001-32492)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Letter Agreement, dated as of May 10, 2005, with Bruce Wasserstein family trusts (incorporated by reference to Exhibit 10.31 to Lazard Ltd’s</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Letter Agreement, dated as of March 16, 2010, among Lazard Ltd, Lazard Group LLC and the Cranberry Dune 1998 Long-term Trust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10.1 to the Registrant’s Current Report on Form 8-K (File No. 001-32492) filed on March 22,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Description of Non-Executive Director Compensation (incorporated by reference to Exhibit 10.33 to Lazard Ltd’s Quarterly Report (File No.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10.41 to Registrant’s Annual Report (File No. 333-126751) on Form 10-K filed on March 2, 2009).</w:t>
            </w:r>
          </w:p>
        </w:tc>
      </w:tr>
      <w:tr>
        <w:trPr>
          <w:trHeight w:val="365"/>
        </w:trPr>
        <w:tc>
          <w:tcPr>
            <w:tcW w:w="820" w:type="dxa"/>
            <w:vAlign w:val="bottom"/>
          </w:tcPr>
          <w:p>
            <w:pPr>
              <w:spacing w:after="0"/>
              <w:rPr>
                <w:sz w:val="24"/>
                <w:szCs w:val="24"/>
                <w:color w:val="auto"/>
              </w:rPr>
            </w:pPr>
          </w:p>
        </w:tc>
        <w:tc>
          <w:tcPr>
            <w:tcW w:w="10500" w:type="dxa"/>
            <w:vAlign w:val="bottom"/>
          </w:tcPr>
          <w:p>
            <w:pPr>
              <w:ind w:left="4660"/>
              <w:spacing w:after="0"/>
              <w:rPr>
                <w:sz w:val="20"/>
                <w:szCs w:val="20"/>
                <w:color w:val="auto"/>
              </w:rPr>
            </w:pPr>
            <w:r>
              <w:rPr>
                <w:rFonts w:ascii="Arial" w:cs="Arial" w:eastAsia="Arial" w:hAnsi="Arial"/>
                <w:sz w:val="18"/>
                <w:szCs w:val="18"/>
                <w:color w:val="auto"/>
              </w:rPr>
              <w:t>170</w:t>
            </w: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10.38*</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Form of Agreement evidencing a grant of Deferred Cash Awards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10.42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10.39</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Termination Agreement, dated as of March 31, 2006, by and among Banca Intesa S.p.A., Lazard Group LLC, and Lazard &amp; Co. S.r.l.</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10.1 to the Registrant’s Current Report on Form 8-K (File No. 333-126751) filed on April 4,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10.40</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Amended and Restated $150 Million Subordinated Convertible Promissory Note due 2018, issued by Lazard Funding LLC to Banca Intesa</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S.p.A. (incorporated by reference to Exhibit 10.3 to the Registrant’s Current Report on Form 8-K (File No. 333-126751) filed on May 17,</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10.41</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Amended and Restated Guaranty of Lazard Group LLC to Banca Intesa S.p.A., dated as of May 15, 2006 (incorporated by reference to Exhibit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10.4 to the Registrant’s Current Report on Form 8-K (File No. 333-126751) filed on May 17,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10.42*</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Directors’ Fee Deferral Unit Plan (incorporated by reference to Exhibit 10.37 to the Registrant’s Quarterly Report on Form 10-Q (File No. 333-</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126751) filed on May 11,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Plan (incorporated by reference to Exhibit 10.40 to the Registrant’s Annual Report on Form 10-K (File No. 333-126751) filed on March 1,</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10.44</w:t>
            </w: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Agreement and Plan of Merger, dated as of August 14, 2008, by and among Lazard Ltd, LAZ Sub I, Lazard Asset Management LLC, and</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Lazard Asset Management Limited (incorporated by reference to Exhibit 2.1 to Lazard Ltd’s Current Report on Form 8-K (file No. 001-32492)</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filed on August 15,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10.45*</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10.46</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Senior Revolving Credit Agreement, dated as of April 29, 2010, among Lazard Group LLC, the Banks from time to time parties thereto, and</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Citibank, N.A., as Administrative Agent (incorporated by reference to Exhibit 10.53 to the Registrant’s Quarterly Report (File No. 333-126751)</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on Form 10-Q filed on April 30,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10.47</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Amendment No. 1, dated as of August 12, 2010, to the Senior Revolving Credit Agreement, dated as of April 29, 2010, among Lazard Group</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LLC, the Banks from time to time parties thereto, and Citibank, N.A., as Administrative Agent.</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10.48</w:t>
            </w:r>
          </w:p>
        </w:tc>
        <w:tc>
          <w:tcPr>
            <w:tcW w:w="10500" w:type="dxa"/>
            <w:vAlign w:val="bottom"/>
          </w:tcPr>
          <w:p>
            <w:pPr>
              <w:ind w:left="340"/>
              <w:spacing w:after="0"/>
              <w:rPr>
                <w:sz w:val="20"/>
                <w:szCs w:val="20"/>
                <w:color w:val="auto"/>
              </w:rPr>
            </w:pPr>
            <w:r>
              <w:rPr>
                <w:rFonts w:ascii="Arial" w:cs="Arial" w:eastAsia="Arial" w:hAnsi="Arial"/>
                <w:sz w:val="18"/>
                <w:szCs w:val="18"/>
                <w:color w:val="auto"/>
                <w:w w:val="88"/>
              </w:rPr>
              <w:t>Amendment No. 2, dated as of December 17, 2010, to the Senior Revolving Credit Agreement, dated as of April 29, 2010, among Lazard Group</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LLC, the Banks from time to time parties thereto, and Citibank, N.A., as Administrative Agent.</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10.49*</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10.54 to the Registrant’s Quarterly Report (File No. 333-126751) filed on April 30, 2010).</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12.1</w:t>
            </w:r>
          </w:p>
        </w:tc>
        <w:tc>
          <w:tcPr>
            <w:tcW w:w="10500" w:type="dxa"/>
            <w:vAlign w:val="bottom"/>
          </w:tcPr>
          <w:p>
            <w:pPr>
              <w:ind w:left="34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10500" w:type="dxa"/>
            <w:vAlign w:val="bottom"/>
          </w:tcPr>
          <w:p>
            <w:pPr>
              <w:ind w:left="340"/>
              <w:spacing w:after="0"/>
              <w:rPr>
                <w:sz w:val="20"/>
                <w:szCs w:val="20"/>
                <w:color w:val="auto"/>
              </w:rPr>
            </w:pPr>
            <w:r>
              <w:rPr>
                <w:rFonts w:ascii="Arial" w:cs="Arial" w:eastAsia="Arial" w:hAnsi="Arial"/>
                <w:sz w:val="18"/>
                <w:szCs w:val="18"/>
                <w:color w:val="auto"/>
              </w:rPr>
              <w:t>Subsidiaries of Registrant.</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34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340"/>
              <w:spacing w:after="0"/>
              <w:rPr>
                <w:sz w:val="20"/>
                <w:szCs w:val="20"/>
                <w:color w:val="auto"/>
              </w:rPr>
            </w:pPr>
            <w:r>
              <w:rPr>
                <w:rFonts w:ascii="Arial" w:cs="Arial" w:eastAsia="Arial" w:hAnsi="Arial"/>
                <w:sz w:val="18"/>
                <w:szCs w:val="18"/>
                <w:color w:val="auto"/>
              </w:rPr>
              <w:t>Rule 13a-14(a) Certification of Michael J. Castellano.</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34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340"/>
              <w:spacing w:after="0"/>
              <w:rPr>
                <w:sz w:val="20"/>
                <w:szCs w:val="20"/>
                <w:color w:val="auto"/>
              </w:rPr>
            </w:pPr>
            <w:r>
              <w:rPr>
                <w:rFonts w:ascii="Arial" w:cs="Arial" w:eastAsia="Arial" w:hAnsi="Arial"/>
                <w:sz w:val="18"/>
                <w:szCs w:val="18"/>
                <w:color w:val="auto"/>
              </w:rPr>
              <w:t>Section 1350 Certification for Michael J. Castellano.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ITEMS 15 (a)(1) AND 15 (a)(2)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00" w:type="dxa"/>
            <w:vAlign w:val="bottom"/>
            <w:gridSpan w:val="7"/>
            <w:vMerge w:val="restart"/>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Management’s Report on Internal Control Over Financial Reporting</w:t>
              </w:r>
            </w:hyperlink>
          </w:p>
        </w:tc>
        <w:tc>
          <w:tcPr>
            <w:tcW w:w="6020" w:type="dxa"/>
            <w:vAlign w:val="bottom"/>
            <w:gridSpan w:val="9"/>
            <w:vMerge w:val="restart"/>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74"/>
        </w:trPr>
        <w:tc>
          <w:tcPr>
            <w:tcW w:w="4800" w:type="dxa"/>
            <w:vAlign w:val="bottom"/>
            <w:tcBorders>
              <w:bottom w:val="single" w:sz="8" w:color="0000EE"/>
            </w:tcBorders>
            <w:gridSpan w:val="7"/>
            <w:vMerge w:val="continue"/>
          </w:tcPr>
          <w:p>
            <w:pPr>
              <w:spacing w:after="0"/>
              <w:rPr>
                <w:sz w:val="14"/>
                <w:szCs w:val="14"/>
                <w:color w:val="auto"/>
              </w:rPr>
            </w:pPr>
          </w:p>
        </w:tc>
        <w:tc>
          <w:tcPr>
            <w:tcW w:w="6020" w:type="dxa"/>
            <w:vAlign w:val="bottom"/>
            <w:gridSpan w:val="9"/>
            <w:vMerge w:val="continue"/>
          </w:tcPr>
          <w:p>
            <w:pPr>
              <w:spacing w:after="0"/>
              <w:rPr>
                <w:sz w:val="14"/>
                <w:szCs w:val="14"/>
                <w:color w:val="auto"/>
              </w:rPr>
            </w:pPr>
          </w:p>
        </w:tc>
        <w:tc>
          <w:tcPr>
            <w:tcW w:w="5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Reports of Independent Registered Public Accounting Firm</w:t>
              </w:r>
            </w:hyperlink>
          </w:p>
        </w:tc>
        <w:tc>
          <w:tcPr>
            <w:tcW w:w="6620" w:type="dxa"/>
            <w:vAlign w:val="bottom"/>
            <w:gridSpan w:val="10"/>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Consolidated Statements of Financial Condition as of December 31, 2010 and 2009</w:t>
              </w:r>
            </w:hyperlink>
          </w:p>
        </w:tc>
        <w:tc>
          <w:tcPr>
            <w:tcW w:w="4940" w:type="dxa"/>
            <w:vAlign w:val="bottom"/>
            <w:gridSpan w:val="8"/>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Operations for the years ended December 31, 2010, 2009 and 2008</w:t>
              </w:r>
            </w:hyperlink>
          </w:p>
        </w:tc>
        <w:tc>
          <w:tcPr>
            <w:tcW w:w="4120" w:type="dxa"/>
            <w:vAlign w:val="bottom"/>
            <w:gridSpan w:val="6"/>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64"/>
        </w:trPr>
        <w:tc>
          <w:tcPr>
            <w:tcW w:w="10820" w:type="dxa"/>
            <w:vAlign w:val="bottom"/>
            <w:gridSpan w:val="1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Cash Flows for the years ended December 31, 2010, 2009 and 2008</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20" w:type="dxa"/>
            <w:vAlign w:val="bottom"/>
            <w:gridSpan w:val="1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Changes in Members’ Equity for the years ended December 31, 2010, 2009 and 2008</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64"/>
        </w:trPr>
        <w:tc>
          <w:tcPr>
            <w:tcW w:w="8020" w:type="dxa"/>
            <w:vAlign w:val="bottom"/>
            <w:tcBorders>
              <w:top w:val="single" w:sz="8" w:color="0000EE"/>
            </w:tcBorders>
            <w:gridSpan w:val="1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2800" w:type="dxa"/>
            <w:vAlign w:val="bottom"/>
            <w:gridSpan w:val="2"/>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Supplemental Financial Information</w:t>
              </w:r>
            </w:hyperlink>
          </w:p>
        </w:tc>
        <w:tc>
          <w:tcPr>
            <w:tcW w:w="7740" w:type="dxa"/>
            <w:vAlign w:val="bottom"/>
            <w:gridSpan w:val="12"/>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top w:val="single" w:sz="8" w:color="0000EE"/>
            </w:tcBorders>
            <w:gridSpan w:val="3"/>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Quarterly Results</w:t>
              </w:r>
            </w:hyperlink>
          </w:p>
        </w:tc>
        <w:tc>
          <w:tcPr>
            <w:tcW w:w="8080" w:type="dxa"/>
            <w:vAlign w:val="bottom"/>
            <w:gridSpan w:val="13"/>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820" w:type="dxa"/>
            <w:vAlign w:val="bottom"/>
            <w:gridSpan w:val="16"/>
          </w:tcPr>
          <w:p>
            <w:pPr>
              <w:spacing w:after="0"/>
              <w:rPr>
                <w:sz w:val="20"/>
                <w:szCs w:val="20"/>
                <w:color w:val="auto"/>
              </w:rPr>
            </w:pPr>
            <w:r>
              <w:rPr>
                <w:rFonts w:ascii="Arial" w:cs="Arial" w:eastAsia="Arial" w:hAnsi="Arial"/>
                <w:sz w:val="18"/>
                <w:szCs w:val="18"/>
                <w:b w:val="1"/>
                <w:bCs w:val="1"/>
                <w:color w:val="auto"/>
              </w:rPr>
              <w:t>Financial Statement Schedule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820" w:type="dxa"/>
            <w:vAlign w:val="bottom"/>
            <w:gridSpan w:val="16"/>
          </w:tcPr>
          <w:p>
            <w:pPr>
              <w:spacing w:after="0"/>
              <w:rPr>
                <w:sz w:val="20"/>
                <w:szCs w:val="20"/>
                <w:color w:val="auto"/>
              </w:rPr>
            </w:pPr>
            <w:r>
              <w:rPr>
                <w:rFonts w:ascii="Arial" w:cs="Arial" w:eastAsia="Arial" w:hAnsi="Arial"/>
                <w:sz w:val="18"/>
                <w:szCs w:val="18"/>
                <w:color w:val="auto"/>
              </w:rPr>
              <w:t>Schedule I—Condensed Financial Information of Registrant (Parent Company Only)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10380" w:type="dxa"/>
            <w:vAlign w:val="bottom"/>
            <w:gridSpan w:val="15"/>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Condensed Statements of Financial Condition as of December 31, 2010 and 2009</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0" w:type="dxa"/>
            <w:vAlign w:val="bottom"/>
          </w:tcPr>
          <w:p>
            <w:pPr>
              <w:spacing w:after="0"/>
              <w:rPr>
                <w:sz w:val="22"/>
                <w:szCs w:val="22"/>
                <w:color w:val="auto"/>
              </w:rPr>
            </w:pPr>
          </w:p>
        </w:tc>
        <w:tc>
          <w:tcPr>
            <w:tcW w:w="65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176">
              <w:r>
                <w:rPr>
                  <w:rFonts w:ascii="Arial" w:cs="Arial" w:eastAsia="Arial" w:hAnsi="Arial"/>
                  <w:sz w:val="18"/>
                  <w:szCs w:val="18"/>
                  <w:color w:val="0000EE"/>
                  <w:w w:val="86"/>
                </w:rPr>
                <w:t>Condensed Statements of Operations for the years ended December 31, 2010, 2009 and 2008</w:t>
              </w:r>
            </w:hyperlink>
          </w:p>
        </w:tc>
        <w:tc>
          <w:tcPr>
            <w:tcW w:w="3840" w:type="dxa"/>
            <w:vAlign w:val="bottom"/>
            <w:gridSpan w:val="4"/>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660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177">
              <w:r>
                <w:rPr>
                  <w:rFonts w:ascii="Arial" w:cs="Arial" w:eastAsia="Arial" w:hAnsi="Arial"/>
                  <w:sz w:val="18"/>
                  <w:szCs w:val="18"/>
                  <w:color w:val="0000EE"/>
                  <w:w w:val="86"/>
                </w:rPr>
                <w:t>Condensed Statements of Cash Flows for the years ended December 31, 2010, 2009 and 2008</w:t>
              </w:r>
            </w:hyperlink>
          </w:p>
        </w:tc>
        <w:tc>
          <w:tcPr>
            <w:tcW w:w="3780" w:type="dxa"/>
            <w:vAlign w:val="bottom"/>
            <w:gridSpan w:val="3"/>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788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78">
              <w:r>
                <w:rPr>
                  <w:rFonts w:ascii="Arial" w:cs="Arial" w:eastAsia="Arial" w:hAnsi="Arial"/>
                  <w:sz w:val="18"/>
                  <w:szCs w:val="18"/>
                  <w:color w:val="0000EE"/>
                  <w:w w:val="87"/>
                </w:rPr>
                <w:t>Condensed Statements of Changes in Members’ Equity for the years ended December 31, 2010, 2009 and 2008</w:t>
              </w:r>
            </w:hyperlink>
          </w:p>
        </w:tc>
        <w:tc>
          <w:tcPr>
            <w:tcW w:w="2500" w:type="dxa"/>
            <w:vAlign w:val="bottom"/>
          </w:tcPr>
          <w:p>
            <w:pPr>
              <w:spacing w:after="0"/>
              <w:rPr>
                <w:sz w:val="22"/>
                <w:szCs w:val="22"/>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380" w:type="dxa"/>
            <w:vAlign w:val="bottom"/>
            <w:gridSpan w:val="15"/>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Notes to Condensed Financial Statements</w:t>
              </w:r>
            </w:hyperlink>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consolidated financial statements or notes thereto.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60"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104,145</w:t>
            </w:r>
          </w:p>
        </w:tc>
        <w:tc>
          <w:tcPr>
            <w:tcW w:w="3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subsidiaries, equity method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1,253,896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1,050,151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Due from subsidiaries of Lazard Ltd</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524,875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334,435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Receivables—net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120" w:type="dxa"/>
            <w:vAlign w:val="bottom"/>
          </w:tcPr>
          <w:p>
            <w:pPr>
              <w:ind w:left="440"/>
              <w:spacing w:after="0"/>
              <w:rPr>
                <w:sz w:val="20"/>
                <w:szCs w:val="20"/>
                <w:color w:val="auto"/>
              </w:rPr>
            </w:pPr>
            <w:r>
              <w:rPr>
                <w:rFonts w:ascii="Arial" w:cs="Arial" w:eastAsia="Arial" w:hAnsi="Arial"/>
                <w:sz w:val="18"/>
                <w:szCs w:val="18"/>
                <w:color w:val="auto"/>
              </w:rPr>
              <w:t>Investments (includes $0 and $126,413 of securities at amortized cost</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tcPr>
          <w:p>
            <w:pPr>
              <w:ind w:left="660"/>
              <w:spacing w:after="0"/>
              <w:rPr>
                <w:sz w:val="20"/>
                <w:szCs w:val="20"/>
                <w:color w:val="auto"/>
              </w:rPr>
            </w:pPr>
            <w:r>
              <w:rPr>
                <w:rFonts w:ascii="Arial" w:cs="Arial" w:eastAsia="Arial" w:hAnsi="Arial"/>
                <w:sz w:val="18"/>
                <w:szCs w:val="18"/>
                <w:color w:val="auto"/>
              </w:rPr>
              <w:t>at December 31, 2010 and 2009, respectively)</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26,850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11,853</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$1,924,470</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1,767,220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9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83,410</w:t>
            </w:r>
          </w:p>
        </w:tc>
        <w:tc>
          <w:tcPr>
            <w:tcW w:w="3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subsidiaries of Lazard Ltd</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303,436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440"/>
              <w:spacing w:after="0"/>
              <w:rPr>
                <w:sz w:val="20"/>
                <w:szCs w:val="20"/>
                <w:color w:val="auto"/>
              </w:rPr>
            </w:pPr>
            <w:r>
              <w:rPr>
                <w:rFonts w:ascii="Arial" w:cs="Arial" w:eastAsia="Arial" w:hAnsi="Arial"/>
                <w:sz w:val="18"/>
                <w:szCs w:val="18"/>
                <w:color w:val="auto"/>
              </w:rPr>
              <w:t>Senior debt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1,076,850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91,209</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2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1,554,905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1,611,849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Members’ Equity: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Members’ equity</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404,588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tcPr>
          <w:p>
            <w:pPr>
              <w:ind w:left="440"/>
              <w:spacing w:after="0"/>
              <w:rPr>
                <w:sz w:val="20"/>
                <w:szCs w:val="20"/>
                <w:color w:val="auto"/>
              </w:rPr>
            </w:pPr>
            <w:r>
              <w:rPr>
                <w:rFonts w:ascii="Arial" w:cs="Arial" w:eastAsia="Arial" w:hAnsi="Arial"/>
                <w:sz w:val="18"/>
                <w:szCs w:val="18"/>
                <w:color w:val="auto"/>
              </w:rPr>
              <w:t>Accumulated other comprehensive loss, net of tax</w:t>
            </w:r>
          </w:p>
        </w:tc>
        <w:tc>
          <w:tcPr>
            <w:tcW w:w="3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(35,023)</w:t>
            </w:r>
          </w:p>
        </w:tc>
        <w:tc>
          <w:tcPr>
            <w:tcW w:w="2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(58,792)</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members’ equity</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369,565</w:t>
            </w: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tcPr>
          <w:p>
            <w:pPr>
              <w:ind w:left="880"/>
              <w:spacing w:after="0"/>
              <w:rPr>
                <w:sz w:val="20"/>
                <w:szCs w:val="20"/>
                <w:color w:val="auto"/>
              </w:rPr>
            </w:pPr>
            <w:r>
              <w:rPr>
                <w:rFonts w:ascii="Arial" w:cs="Arial" w:eastAsia="Arial" w:hAnsi="Arial"/>
                <w:sz w:val="18"/>
                <w:szCs w:val="18"/>
                <w:color w:val="auto"/>
              </w:rPr>
              <w:t>Total liabilities and members’ equity</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$1,924,470</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1,767,220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180" w:type="dxa"/>
            <w:vAlign w:val="bottom"/>
            <w:tcBorders>
              <w:bottom w:val="single" w:sz="8" w:color="auto"/>
            </w:tcBorders>
            <w:gridSpan w:val="7"/>
          </w:tcPr>
          <w:p>
            <w:pPr>
              <w:jc w:val="center"/>
              <w:ind w:left="515"/>
              <w:spacing w:after="0"/>
              <w:rPr>
                <w:sz w:val="20"/>
                <w:szCs w:val="20"/>
                <w:color w:val="auto"/>
              </w:rPr>
            </w:pPr>
            <w:r>
              <w:rPr>
                <w:rFonts w:ascii="Arial" w:cs="Arial" w:eastAsia="Arial" w:hAnsi="Arial"/>
                <w:sz w:val="14"/>
                <w:szCs w:val="14"/>
                <w:b w:val="1"/>
                <w:bCs w:val="1"/>
                <w:color w:val="auto"/>
                <w:w w:val="87"/>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Equity in earnings of subsidiaries</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$ 475,100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200,938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198,500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18,869</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Other</w:t>
            </w:r>
          </w:p>
        </w:tc>
        <w:tc>
          <w:tcPr>
            <w:tcW w:w="700" w:type="dxa"/>
            <w:vAlign w:val="bottom"/>
          </w:tcPr>
          <w:p>
            <w:pPr>
              <w:jc w:val="right"/>
              <w:spacing w:after="0"/>
              <w:rPr>
                <w:sz w:val="20"/>
                <w:szCs w:val="20"/>
                <w:color w:val="auto"/>
              </w:rPr>
            </w:pPr>
            <w:r>
              <w:rPr>
                <w:rFonts w:ascii="Arial" w:cs="Arial" w:eastAsia="Arial" w:hAnsi="Arial"/>
                <w:sz w:val="18"/>
                <w:szCs w:val="18"/>
                <w:color w:val="auto"/>
              </w:rPr>
              <w:t>6,210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18,086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16,388</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233,802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233,757</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spacing w:after="0"/>
              <w:rPr>
                <w:sz w:val="20"/>
                <w:szCs w:val="20"/>
                <w:color w:val="auto"/>
              </w:rPr>
            </w:pPr>
            <w:r>
              <w:rPr>
                <w:rFonts w:ascii="Arial" w:cs="Arial" w:eastAsia="Arial" w:hAnsi="Arial"/>
                <w:sz w:val="18"/>
                <w:szCs w:val="18"/>
                <w:color w:val="auto"/>
              </w:rPr>
              <w:t>86,352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98,609</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142,586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135,148</w:t>
            </w:r>
          </w:p>
        </w:tc>
        <w:tc>
          <w:tcPr>
            <w:tcW w:w="0" w:type="dxa"/>
            <w:vAlign w:val="bottom"/>
          </w:tcPr>
          <w:p>
            <w:pPr>
              <w:spacing w:after="0"/>
              <w:rPr>
                <w:sz w:val="1"/>
                <w:szCs w:val="1"/>
                <w:color w:val="auto"/>
              </w:rPr>
            </w:pPr>
          </w:p>
        </w:tc>
      </w:tr>
      <w:tr>
        <w:trPr>
          <w:trHeight w:val="398"/>
        </w:trPr>
        <w:tc>
          <w:tcPr>
            <w:tcW w:w="8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339,795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90,248</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Professional services</w:t>
            </w:r>
          </w:p>
        </w:tc>
        <w:tc>
          <w:tcPr>
            <w:tcW w:w="700" w:type="dxa"/>
            <w:vAlign w:val="bottom"/>
          </w:tcPr>
          <w:p>
            <w:pPr>
              <w:jc w:val="right"/>
              <w:spacing w:after="0"/>
              <w:rPr>
                <w:sz w:val="20"/>
                <w:szCs w:val="20"/>
                <w:color w:val="auto"/>
              </w:rPr>
            </w:pPr>
            <w:r>
              <w:rPr>
                <w:rFonts w:ascii="Arial" w:cs="Arial" w:eastAsia="Arial" w:hAnsi="Arial"/>
                <w:sz w:val="18"/>
                <w:szCs w:val="18"/>
                <w:color w:val="auto"/>
              </w:rPr>
              <w:t>8,463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10,290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Other</w:t>
            </w:r>
          </w:p>
        </w:tc>
        <w:tc>
          <w:tcPr>
            <w:tcW w:w="700" w:type="dxa"/>
            <w:vAlign w:val="bottom"/>
          </w:tcPr>
          <w:p>
            <w:pPr>
              <w:jc w:val="right"/>
              <w:spacing w:after="0"/>
              <w:rPr>
                <w:sz w:val="20"/>
                <w:szCs w:val="20"/>
                <w:color w:val="auto"/>
              </w:rPr>
            </w:pPr>
            <w:r>
              <w:rPr>
                <w:rFonts w:ascii="Arial" w:cs="Arial" w:eastAsia="Arial" w:hAnsi="Arial"/>
                <w:sz w:val="18"/>
                <w:szCs w:val="18"/>
                <w:color w:val="auto"/>
              </w:rPr>
              <w:t>6,586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358,474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105,585</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201,231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(215,888)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29,563</w:t>
            </w:r>
          </w:p>
        </w:tc>
        <w:tc>
          <w:tcPr>
            <w:tcW w:w="0" w:type="dxa"/>
            <w:vAlign w:val="bottom"/>
          </w:tcPr>
          <w:p>
            <w:pPr>
              <w:spacing w:after="0"/>
              <w:rPr>
                <w:sz w:val="1"/>
                <w:szCs w:val="1"/>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incomes taxes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$ 194,544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(216,547)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25,671</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7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$194,544</w:t>
            </w:r>
          </w:p>
        </w:tc>
        <w:tc>
          <w:tcPr>
            <w:tcW w:w="3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$(216,547)</w:t>
            </w:r>
          </w:p>
        </w:tc>
        <w:tc>
          <w:tcPr>
            <w:tcW w:w="700" w:type="dxa"/>
            <w:vAlign w:val="bottom"/>
          </w:tcPr>
          <w:p>
            <w:pPr>
              <w:jc w:val="right"/>
              <w:spacing w:after="0"/>
              <w:rPr>
                <w:sz w:val="20"/>
                <w:szCs w:val="20"/>
                <w:color w:val="auto"/>
              </w:rPr>
            </w:pPr>
            <w:r>
              <w:rPr>
                <w:rFonts w:ascii="Arial" w:cs="Arial" w:eastAsia="Arial" w:hAnsi="Arial"/>
                <w:sz w:val="18"/>
                <w:szCs w:val="18"/>
                <w:color w:val="auto"/>
              </w:rPr>
              <w:t>$25,671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Noncash items included in net income (loss):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Equity in earnings of subsidiaries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(475,100)</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(200,938)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auto"/>
              </w:rPr>
              <w:t>(Gains) losses on extinguishment of debt</w:t>
            </w:r>
          </w:p>
        </w:tc>
        <w:tc>
          <w:tcPr>
            <w:tcW w:w="720" w:type="dxa"/>
            <w:vAlign w:val="bottom"/>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Investment gains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(5,636)</w:t>
            </w: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280"/>
              <w:spacing w:after="0"/>
              <w:rPr>
                <w:sz w:val="20"/>
                <w:szCs w:val="20"/>
                <w:color w:val="auto"/>
              </w:rPr>
            </w:pPr>
            <w:r>
              <w:rPr>
                <w:rFonts w:ascii="Arial" w:cs="Arial" w:eastAsia="Arial" w:hAnsi="Arial"/>
                <w:sz w:val="18"/>
                <w:szCs w:val="18"/>
                <w:color w:val="auto"/>
                <w:w w:val="91"/>
              </w:rPr>
              <w:t>Amortization of deferred expenses, share-based incentive compensation and interest rate hedge</w:t>
            </w:r>
          </w:p>
        </w:tc>
        <w:tc>
          <w:tcPr>
            <w:tcW w:w="720" w:type="dxa"/>
            <w:vAlign w:val="bottom"/>
          </w:tcPr>
          <w:p>
            <w:pPr>
              <w:jc w:val="right"/>
              <w:spacing w:after="0"/>
              <w:rPr>
                <w:sz w:val="20"/>
                <w:szCs w:val="20"/>
                <w:color w:val="auto"/>
              </w:rPr>
            </w:pPr>
            <w:r>
              <w:rPr>
                <w:rFonts w:ascii="Arial" w:cs="Arial" w:eastAsia="Arial" w:hAnsi="Arial"/>
                <w:sz w:val="18"/>
                <w:szCs w:val="18"/>
                <w:color w:val="auto"/>
              </w:rPr>
              <w:t>313,974</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368,122</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Amortization of intangible assets related to acquisitions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Dividends received from subsidiaries</w:t>
            </w:r>
          </w:p>
        </w:tc>
        <w:tc>
          <w:tcPr>
            <w:tcW w:w="720" w:type="dxa"/>
            <w:vAlign w:val="bottom"/>
          </w:tcPr>
          <w:p>
            <w:pPr>
              <w:jc w:val="right"/>
              <w:spacing w:after="0"/>
              <w:rPr>
                <w:sz w:val="20"/>
                <w:szCs w:val="20"/>
                <w:color w:val="auto"/>
              </w:rPr>
            </w:pPr>
            <w:r>
              <w:rPr>
                <w:rFonts w:ascii="Arial" w:cs="Arial" w:eastAsia="Arial" w:hAnsi="Arial"/>
                <w:sz w:val="18"/>
                <w:szCs w:val="18"/>
                <w:color w:val="auto"/>
              </w:rPr>
              <w:t>370,780</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394,097</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412,819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due to/from subsidiaries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(211,973)</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(103,563)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Changes in other operating assets and liabilities</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(5,546)</w:t>
            </w:r>
          </w:p>
        </w:tc>
        <w:tc>
          <w:tcPr>
            <w:tcW w:w="880" w:type="dxa"/>
            <w:vAlign w:val="bottom"/>
          </w:tcPr>
          <w:p>
            <w:pPr>
              <w:jc w:val="right"/>
              <w:spacing w:after="0"/>
              <w:rPr>
                <w:sz w:val="20"/>
                <w:szCs w:val="20"/>
                <w:color w:val="auto"/>
              </w:rPr>
            </w:pPr>
            <w:r>
              <w:rPr>
                <w:rFonts w:ascii="Arial" w:cs="Arial" w:eastAsia="Arial" w:hAnsi="Arial"/>
                <w:sz w:val="18"/>
                <w:szCs w:val="18"/>
                <w:color w:val="auto"/>
              </w:rPr>
              <w:t>143,552</w:t>
            </w:r>
          </w:p>
        </w:tc>
        <w:tc>
          <w:tcPr>
            <w:tcW w:w="3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182,404</w:t>
            </w:r>
          </w:p>
        </w:tc>
        <w:tc>
          <w:tcPr>
            <w:tcW w:w="3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386,214</w:t>
            </w: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in 2009 and equity method investments in 2008</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Purchase of held-to-maturity securities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(126,347)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held-to-maturity securities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Capital contribution to subsidiaries</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(49,174)</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(36,237)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(54,395)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83,035</w:t>
            </w:r>
          </w:p>
        </w:tc>
        <w:tc>
          <w:tcPr>
            <w:tcW w:w="3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(206,584)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(65,155)</w:t>
            </w:r>
          </w:p>
        </w:tc>
        <w:tc>
          <w:tcPr>
            <w:tcW w:w="0" w:type="dxa"/>
            <w:vAlign w:val="bottom"/>
          </w:tcPr>
          <w:p>
            <w:pPr>
              <w:spacing w:after="0"/>
              <w:rPr>
                <w:sz w:val="1"/>
                <w:szCs w:val="1"/>
                <w:color w:val="auto"/>
              </w:rPr>
            </w:pPr>
          </w:p>
        </w:tc>
      </w:tr>
      <w:tr>
        <w:trPr>
          <w:trHeight w:val="330"/>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Issuance of common membership interests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Senior debt</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(10,375)</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(635)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(478,925)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members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(122,000)</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(118,214)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(57,576)</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(13,220)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(7,248)</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(13,285)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w w:val="98"/>
              </w:rPr>
              <w:t>(149,981)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(50,479)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(277,064)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(123)</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w w:val="98"/>
              </w:rPr>
              <w:t>(347,303)</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(196,043)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(452,286)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(81,864)</w:t>
            </w: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(16,413)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(109,590)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186,009</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202,422</w:t>
            </w:r>
          </w:p>
        </w:tc>
        <w:tc>
          <w:tcPr>
            <w:tcW w:w="3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December 31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104,145</w:t>
            </w:r>
          </w:p>
        </w:tc>
        <w:tc>
          <w:tcPr>
            <w:tcW w:w="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$186,009</w:t>
            </w:r>
          </w:p>
        </w:tc>
        <w:tc>
          <w:tcPr>
            <w:tcW w:w="36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202,422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Members’</w:t>
            </w:r>
          </w:p>
        </w:tc>
        <w:tc>
          <w:tcPr>
            <w:tcW w:w="14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Total Lazard Group</w:t>
            </w: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Equity</w:t>
            </w: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2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Members’ Equity</w:t>
            </w:r>
          </w:p>
        </w:tc>
      </w:t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(Deficiency)</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Net of Tax</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3"/>
              </w:rPr>
              <w:t>(Deficiency)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2008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(81,980)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55,673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(26,307)</w:t>
            </w: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25,671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25,671</w:t>
            </w: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(151,761)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(151,761)</w:t>
            </w: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Available-for-sale securities: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Arial" w:cs="Arial" w:eastAsia="Arial" w:hAnsi="Arial"/>
                <w:sz w:val="18"/>
                <w:szCs w:val="18"/>
                <w:color w:val="auto"/>
              </w:rPr>
              <w:t>Net unrealized loss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(40,847)</w:t>
            </w: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(40,847)</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 for items reclassified to earnings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Employee benefit plans: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actuarial gain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14,154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14,154</w:t>
            </w:r>
          </w:p>
        </w:tc>
      </w:tr>
      <w:tr>
        <w:trPr>
          <w:trHeight w:val="223"/>
        </w:trPr>
        <w:tc>
          <w:tcPr>
            <w:tcW w:w="20" w:type="dxa"/>
            <w:vAlign w:val="bottom"/>
          </w:tcPr>
          <w:p>
            <w:pPr>
              <w:spacing w:after="0"/>
              <w:rPr>
                <w:sz w:val="19"/>
                <w:szCs w:val="19"/>
                <w:color w:val="auto"/>
              </w:rPr>
            </w:pPr>
          </w:p>
        </w:tc>
        <w:tc>
          <w:tcPr>
            <w:tcW w:w="7160" w:type="dxa"/>
            <w:vAlign w:val="bottom"/>
          </w:tcPr>
          <w:p>
            <w:pPr>
              <w:ind w:left="1280"/>
              <w:spacing w:after="0"/>
              <w:rPr>
                <w:sz w:val="20"/>
                <w:szCs w:val="20"/>
                <w:color w:val="auto"/>
              </w:rPr>
            </w:pPr>
            <w:r>
              <w:rPr>
                <w:rFonts w:ascii="Arial" w:cs="Arial" w:eastAsia="Arial" w:hAnsi="Arial"/>
                <w:sz w:val="18"/>
                <w:szCs w:val="18"/>
                <w:color w:val="auto"/>
              </w:rPr>
              <w:t>Adjustment for items reclassified to earnings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(151,409)</w:t>
            </w:r>
          </w:p>
        </w:tc>
      </w:tr>
      <w:tr>
        <w:trPr>
          <w:trHeight w:val="221"/>
        </w:trPr>
        <w:tc>
          <w:tcPr>
            <w:tcW w:w="7180" w:type="dxa"/>
            <w:vAlign w:val="bottom"/>
            <w:gridSpan w:val="2"/>
          </w:tcPr>
          <w:p>
            <w:pPr>
              <w:spacing w:after="0"/>
              <w:rPr>
                <w:sz w:val="20"/>
                <w:szCs w:val="20"/>
                <w:color w:val="auto"/>
              </w:rPr>
            </w:pPr>
            <w:r>
              <w:rPr>
                <w:rFonts w:ascii="Arial" w:cs="Arial" w:eastAsia="Arial" w:hAnsi="Arial"/>
                <w:sz w:val="18"/>
                <w:szCs w:val="18"/>
                <w:color w:val="auto"/>
              </w:rPr>
              <w:t>Amortization of share-based incentive compensation</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234,602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234,602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(127,108)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(127,108)</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Purchase of Lazard Ltd Class A common stock</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(277,064)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(277,064)</w:t>
            </w:r>
          </w:p>
        </w:tc>
      </w:tr>
      <w:tr>
        <w:trPr>
          <w:trHeight w:val="20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Delivery of Lazard Ltd Class A common stock in connection with share-based incentive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(4,291)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(4,291)</w:t>
            </w:r>
          </w:p>
        </w:tc>
      </w:tr>
      <w:tr>
        <w:trPr>
          <w:trHeight w:val="208"/>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91"/>
              </w:rPr>
              <w:t>Issuance of 14,582,750 common membership interests in the settlement of the purchase contracts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forming part of the ESUs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437,500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437,500</w:t>
            </w: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 Holdings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(2,559)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(2,559)</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18,416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18,416</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related to business acquisitions and related amortization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3,690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w:t>
            </w: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2008(*)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5"/>
              </w:rPr>
              <w:t>227,036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(121,407)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105,629</w:t>
            </w:r>
          </w:p>
        </w:tc>
      </w:tr>
      <w:tr>
        <w:trPr>
          <w:trHeight w:val="370"/>
        </w:trPr>
        <w:tc>
          <w:tcPr>
            <w:tcW w:w="20" w:type="dxa"/>
            <w:vAlign w:val="bottom"/>
          </w:tcPr>
          <w:p>
            <w:pPr>
              <w:spacing w:after="0"/>
              <w:rPr>
                <w:sz w:val="24"/>
                <w:szCs w:val="24"/>
                <w:color w:val="auto"/>
              </w:rPr>
            </w:pPr>
          </w:p>
        </w:tc>
        <w:tc>
          <w:tcPr>
            <w:tcW w:w="7160" w:type="dxa"/>
            <w:vAlign w:val="bottom"/>
          </w:tcPr>
          <w:p>
            <w:pPr>
              <w:ind w:left="5580"/>
              <w:spacing w:after="0"/>
              <w:rPr>
                <w:sz w:val="20"/>
                <w:szCs w:val="20"/>
                <w:color w:val="auto"/>
              </w:rPr>
            </w:pPr>
            <w:r>
              <w:rPr>
                <w:rFonts w:ascii="Arial" w:cs="Arial" w:eastAsia="Arial" w:hAnsi="Arial"/>
                <w:sz w:val="18"/>
                <w:szCs w:val="18"/>
                <w:color w:val="auto"/>
              </w:rPr>
              <w:t>F-5</w:t>
            </w: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CONDENSED STATEMENTS OF CHANGES IN MEMBERS’ EQUITY FOR THE YEARS ENDED DECEMBER 31, 2010, 2009 AND 2008—(Continued) (dollars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Members’</w:t>
            </w: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Lazard Group</w:t>
            </w: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Members’ Equity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2009</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3"/>
              </w:rPr>
              <w:t>$227,036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(121,407)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$105,629</w:t>
            </w: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(216,547)</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(216,547)</w:t>
            </w:r>
          </w:p>
        </w:tc>
      </w:tr>
      <w:tr>
        <w:trPr>
          <w:trHeight w:val="216"/>
        </w:trPr>
        <w:tc>
          <w:tcPr>
            <w:tcW w:w="2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62,992</w:t>
            </w:r>
          </w:p>
        </w:tc>
      </w:tr>
      <w:tr>
        <w:trPr>
          <w:trHeight w:val="216"/>
        </w:trPr>
        <w:tc>
          <w:tcPr>
            <w:tcW w:w="20" w:type="dxa"/>
            <w:vAlign w:val="bottom"/>
          </w:tcPr>
          <w:p>
            <w:pPr>
              <w:spacing w:after="0"/>
              <w:rPr>
                <w:sz w:val="18"/>
                <w:szCs w:val="18"/>
                <w:color w:val="auto"/>
              </w:rPr>
            </w:pPr>
          </w:p>
        </w:tc>
        <w:tc>
          <w:tcPr>
            <w:tcW w:w="804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1,077</w:t>
            </w: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Available-for-sale securities: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060"/>
              <w:spacing w:after="0"/>
              <w:rPr>
                <w:sz w:val="20"/>
                <w:szCs w:val="20"/>
                <w:color w:val="auto"/>
              </w:rPr>
            </w:pPr>
            <w:r>
              <w:rPr>
                <w:rFonts w:ascii="Arial" w:cs="Arial" w:eastAsia="Arial" w:hAnsi="Arial"/>
                <w:sz w:val="18"/>
                <w:szCs w:val="18"/>
                <w:color w:val="auto"/>
              </w:rPr>
              <w:t>Net unrealized gain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27,612</w:t>
            </w: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27,612</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 for items reclassified to earnings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r>
      <w:tr>
        <w:trPr>
          <w:trHeight w:val="216"/>
        </w:trPr>
        <w:tc>
          <w:tcPr>
            <w:tcW w:w="20" w:type="dxa"/>
            <w:vAlign w:val="bottom"/>
          </w:tcPr>
          <w:p>
            <w:pPr>
              <w:spacing w:after="0"/>
              <w:rPr>
                <w:sz w:val="18"/>
                <w:szCs w:val="18"/>
                <w:color w:val="auto"/>
              </w:rPr>
            </w:pPr>
          </w:p>
        </w:tc>
        <w:tc>
          <w:tcPr>
            <w:tcW w:w="8040" w:type="dxa"/>
            <w:vAlign w:val="bottom"/>
          </w:tcPr>
          <w:p>
            <w:pPr>
              <w:ind w:left="640"/>
              <w:spacing w:after="0"/>
              <w:rPr>
                <w:sz w:val="20"/>
                <w:szCs w:val="20"/>
                <w:color w:val="auto"/>
              </w:rPr>
            </w:pPr>
            <w:r>
              <w:rPr>
                <w:rFonts w:ascii="Arial" w:cs="Arial" w:eastAsia="Arial" w:hAnsi="Arial"/>
                <w:sz w:val="18"/>
                <w:szCs w:val="18"/>
                <w:color w:val="auto"/>
              </w:rPr>
              <w:t>Employee benefit plans: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Prior service costs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(15,152)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(15,152)</w:t>
            </w:r>
          </w:p>
        </w:tc>
      </w:tr>
      <w:tr>
        <w:trPr>
          <w:trHeight w:val="216"/>
        </w:trPr>
        <w:tc>
          <w:tcPr>
            <w:tcW w:w="20" w:type="dxa"/>
            <w:vAlign w:val="bottom"/>
          </w:tcPr>
          <w:p>
            <w:pPr>
              <w:spacing w:after="0"/>
              <w:rPr>
                <w:sz w:val="18"/>
                <w:szCs w:val="18"/>
                <w:color w:val="auto"/>
              </w:rPr>
            </w:pPr>
          </w:p>
        </w:tc>
        <w:tc>
          <w:tcPr>
            <w:tcW w:w="8040" w:type="dxa"/>
            <w:vAlign w:val="bottom"/>
          </w:tcPr>
          <w:p>
            <w:pPr>
              <w:ind w:left="1060"/>
              <w:spacing w:after="0"/>
              <w:rPr>
                <w:sz w:val="20"/>
                <w:szCs w:val="20"/>
                <w:color w:val="auto"/>
              </w:rPr>
            </w:pPr>
            <w:r>
              <w:rPr>
                <w:rFonts w:ascii="Arial" w:cs="Arial" w:eastAsia="Arial" w:hAnsi="Arial"/>
                <w:sz w:val="18"/>
                <w:szCs w:val="18"/>
                <w:color w:val="auto"/>
              </w:rPr>
              <w:t>Net actuarial loss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(18,215)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(18,215)</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 for items reclassified to earnings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3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Comprehensive loss</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(153,932)</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358,062</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(118,214)</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(118,214)</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(50,479)</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(50,479)</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w w:val="99"/>
              </w:rPr>
              <w:t>Delivery of Lazard Ltd Class A common stock in connection with share-based incentive compensation</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(13,220)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(13,220)</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 Holdings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(13,285)</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(13,285)</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32,384</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32,384</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related to noncontrolling interests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(2,143)</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(2,143)</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Adjustments related to business acquisitions and related amortization</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10,778</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10,778</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r>
      <w:tr>
        <w:trPr>
          <w:trHeight w:val="22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2009(*)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214,163</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$(58,792)</w:t>
            </w: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$155,371</w:t>
            </w:r>
          </w:p>
        </w:tc>
        <w:tc>
          <w:tcPr>
            <w:tcW w:w="10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8040" w:type="dxa"/>
            <w:vAlign w:val="bottom"/>
          </w:tcPr>
          <w:p>
            <w:pPr>
              <w:ind w:left="5580"/>
              <w:spacing w:after="0"/>
              <w:rPr>
                <w:sz w:val="20"/>
                <w:szCs w:val="20"/>
                <w:color w:val="auto"/>
              </w:rPr>
            </w:pPr>
            <w:r>
              <w:rPr>
                <w:rFonts w:ascii="Arial" w:cs="Arial" w:eastAsia="Arial" w:hAnsi="Arial"/>
                <w:sz w:val="18"/>
                <w:szCs w:val="18"/>
                <w:color w:val="auto"/>
              </w:rPr>
              <w:t>F-6</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CONSOLIDATED STATEMENTS OF CHANGES IN MEMBERS’ EQUITY FOR THE YEARS ENDED DECEMBER 31, 2010, 2009 AND 2008—(Continued)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 Other</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 Lazard</w:t>
            </w:r>
          </w:p>
        </w:tc>
      </w:tr>
      <w:tr>
        <w:trPr>
          <w:trHeight w:val="149"/>
        </w:trPr>
        <w:tc>
          <w:tcPr>
            <w:tcW w:w="116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Members’</w:t>
            </w: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Group Members’</w:t>
            </w:r>
          </w:p>
        </w:tc>
      </w:tr>
      <w:tr>
        <w:trPr>
          <w:trHeight w:val="161"/>
        </w:trPr>
        <w:tc>
          <w:tcPr>
            <w:tcW w:w="11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Equity</w:t>
            </w:r>
          </w:p>
        </w:tc>
        <w:tc>
          <w:tcPr>
            <w:tcW w:w="3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of Tax</w:t>
            </w: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r>
      <w:tr>
        <w:trPr>
          <w:trHeight w:val="210"/>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$214,163</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$(58,792)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$155,371</w:t>
            </w: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194,544</w:t>
            </w:r>
          </w:p>
        </w:tc>
      </w:tr>
      <w:tr>
        <w:trPr>
          <w:trHeight w:val="216"/>
        </w:trPr>
        <w:tc>
          <w:tcPr>
            <w:tcW w:w="78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(loss)-net of tax:</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(9,508)</w:t>
            </w:r>
          </w:p>
        </w:tc>
      </w:tr>
      <w:tr>
        <w:trPr>
          <w:trHeight w:val="216"/>
        </w:trPr>
        <w:tc>
          <w:tcPr>
            <w:tcW w:w="7840" w:type="dxa"/>
            <w:vAlign w:val="bottom"/>
            <w:gridSpan w:val="2"/>
          </w:tcPr>
          <w:p>
            <w:pPr>
              <w:ind w:left="44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1,163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r>
      <w:tr>
        <w:trPr>
          <w:trHeight w:val="216"/>
        </w:trPr>
        <w:tc>
          <w:tcPr>
            <w:tcW w:w="7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ind w:left="660"/>
              <w:spacing w:after="0"/>
              <w:rPr>
                <w:sz w:val="20"/>
                <w:szCs w:val="20"/>
                <w:color w:val="auto"/>
              </w:rPr>
            </w:pPr>
            <w:r>
              <w:rPr>
                <w:rFonts w:ascii="Arial" w:cs="Arial" w:eastAsia="Arial" w:hAnsi="Arial"/>
                <w:sz w:val="18"/>
                <w:szCs w:val="18"/>
                <w:color w:val="auto"/>
              </w:rPr>
              <w:t>Net unrealized gain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3,129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r>
      <w:tr>
        <w:trPr>
          <w:trHeight w:val="216"/>
        </w:trPr>
        <w:tc>
          <w:tcPr>
            <w:tcW w:w="7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9,501</w:t>
            </w:r>
          </w:p>
        </w:tc>
      </w:tr>
      <w:tr>
        <w:trPr>
          <w:trHeight w:val="216"/>
        </w:trPr>
        <w:tc>
          <w:tcPr>
            <w:tcW w:w="7840" w:type="dxa"/>
            <w:vAlign w:val="bottom"/>
            <w:gridSpan w:val="2"/>
          </w:tcPr>
          <w:p>
            <w:pPr>
              <w:ind w:left="440"/>
              <w:spacing w:after="0"/>
              <w:rPr>
                <w:sz w:val="20"/>
                <w:szCs w:val="20"/>
                <w:color w:val="auto"/>
              </w:rPr>
            </w:pPr>
            <w:r>
              <w:rPr>
                <w:rFonts w:ascii="Arial" w:cs="Arial" w:eastAsia="Arial" w:hAnsi="Arial"/>
                <w:sz w:val="18"/>
                <w:szCs w:val="18"/>
                <w:color w:val="auto"/>
              </w:rPr>
              <w:t>Employee benefit plans: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actuarial gain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17,841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17,841</w:t>
            </w:r>
          </w:p>
        </w:tc>
      </w:tr>
      <w:tr>
        <w:trPr>
          <w:trHeight w:val="223"/>
        </w:trPr>
        <w:tc>
          <w:tcPr>
            <w:tcW w:w="7840" w:type="dxa"/>
            <w:vAlign w:val="bottom"/>
            <w:gridSpan w:val="2"/>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1,643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r>
      <w:tr>
        <w:trPr>
          <w:trHeight w:val="216"/>
        </w:trPr>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218,313</w:t>
            </w:r>
          </w:p>
        </w:tc>
        <w:tc>
          <w:tcPr>
            <w:tcW w:w="100" w:type="dxa"/>
            <w:vAlign w:val="bottom"/>
            <w:shd w:val="clear" w:color="auto" w:fill="CCEEFF"/>
          </w:tcPr>
          <w:p>
            <w:pPr>
              <w:spacing w:after="0"/>
              <w:rPr>
                <w:sz w:val="18"/>
                <w:szCs w:val="18"/>
                <w:color w:val="auto"/>
              </w:rPr>
            </w:pPr>
          </w:p>
        </w:tc>
      </w:tr>
      <w:tr>
        <w:trPr>
          <w:trHeight w:val="221"/>
        </w:trPr>
        <w:tc>
          <w:tcPr>
            <w:tcW w:w="7840" w:type="dxa"/>
            <w:vAlign w:val="bottom"/>
            <w:gridSpan w:val="2"/>
          </w:tcPr>
          <w:p>
            <w:pPr>
              <w:spacing w:after="0"/>
              <w:rPr>
                <w:sz w:val="20"/>
                <w:szCs w:val="20"/>
                <w:color w:val="auto"/>
              </w:rPr>
            </w:pPr>
            <w:r>
              <w:rPr>
                <w:rFonts w:ascii="Arial" w:cs="Arial" w:eastAsia="Arial" w:hAnsi="Arial"/>
                <w:sz w:val="18"/>
                <w:szCs w:val="18"/>
                <w:color w:val="auto"/>
              </w:rPr>
              <w:t>Amortization of share-based incentive compensation awards</w:t>
            </w:r>
          </w:p>
        </w:tc>
        <w:tc>
          <w:tcPr>
            <w:tcW w:w="720" w:type="dxa"/>
            <w:vAlign w:val="bottom"/>
          </w:tcPr>
          <w:p>
            <w:pPr>
              <w:jc w:val="right"/>
              <w:spacing w:after="0"/>
              <w:rPr>
                <w:sz w:val="20"/>
                <w:szCs w:val="20"/>
                <w:color w:val="auto"/>
              </w:rPr>
            </w:pPr>
            <w:r>
              <w:rPr>
                <w:rFonts w:ascii="Arial" w:cs="Arial" w:eastAsia="Arial" w:hAnsi="Arial"/>
                <w:sz w:val="18"/>
                <w:szCs w:val="18"/>
                <w:color w:val="auto"/>
              </w:rPr>
              <w:t>305,303</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305,303</w:t>
            </w:r>
          </w:p>
        </w:tc>
      </w:tr>
      <w:tr>
        <w:trPr>
          <w:trHeight w:val="218"/>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to members and noncontrolling interests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(122,000)</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(122,000)</w:t>
            </w: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Purchase of Lazard Ltd Class A common stock</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(149,981)</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(149,981)</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Delivery of Lazard Ltd Class A common stock in connection with share-based incentive compensation</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(57,576)</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(57,576)</w:t>
            </w: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Repurchase of common membership interests from LAZ-MD Holdings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(7,248)</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(7,248)</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membership interests issued in connection with business acquisitions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20,804</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20,804</w:t>
            </w:r>
          </w:p>
        </w:tc>
      </w:tr>
      <w:tr>
        <w:trPr>
          <w:trHeight w:val="208"/>
        </w:trPr>
        <w:tc>
          <w:tcPr>
            <w:tcW w:w="7840" w:type="dxa"/>
            <w:vAlign w:val="bottom"/>
            <w:gridSpan w:val="2"/>
          </w:tcPr>
          <w:p>
            <w:pPr>
              <w:spacing w:after="0"/>
              <w:rPr>
                <w:sz w:val="20"/>
                <w:szCs w:val="20"/>
                <w:color w:val="auto"/>
              </w:rPr>
            </w:pPr>
            <w:r>
              <w:rPr>
                <w:rFonts w:ascii="Arial" w:cs="Arial" w:eastAsia="Arial" w:hAnsi="Arial"/>
                <w:sz w:val="18"/>
                <w:szCs w:val="18"/>
                <w:color w:val="auto"/>
                <w:w w:val="96"/>
              </w:rPr>
              <w:t>Lazard Ltd Class A common stock issued / issuable in connection with business acquisitions and LAM</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840" w:type="dxa"/>
            <w:vAlign w:val="bottom"/>
            <w:gridSpan w:val="2"/>
          </w:tcPr>
          <w:p>
            <w:pPr>
              <w:ind w:left="220"/>
              <w:spacing w:after="0"/>
              <w:rPr>
                <w:sz w:val="20"/>
                <w:szCs w:val="20"/>
                <w:color w:val="auto"/>
              </w:rPr>
            </w:pPr>
            <w:r>
              <w:rPr>
                <w:rFonts w:ascii="Arial" w:cs="Arial" w:eastAsia="Arial" w:hAnsi="Arial"/>
                <w:sz w:val="18"/>
                <w:szCs w:val="18"/>
                <w:color w:val="auto"/>
              </w:rPr>
              <w:t>Merger and related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6,701</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6,701</w:t>
            </w:r>
          </w:p>
        </w:tc>
      </w:tr>
      <w:tr>
        <w:trPr>
          <w:trHeight w:val="218"/>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Balance–December 31, 2010 (*)</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404,588</w:t>
            </w:r>
          </w:p>
        </w:tc>
        <w:tc>
          <w:tcPr>
            <w:tcW w:w="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$(35,023)</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$369,565</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122,233,664, 123,686,338 and 127,350,561 common membership interests at December 31, 2008, 2009 and 2010,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(parent company only)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6"/>
          <w:szCs w:val="16"/>
          <w:b w:val="1"/>
          <w:bCs w:val="1"/>
          <w:i w:val="1"/>
          <w:iCs w:val="1"/>
          <w:color w:val="auto"/>
        </w:rPr>
        <w:t>BASIS OF PRESENTATION</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accompanying Lazard Group LLC condensed financial statements (the “Parent Company Financial Statements”), including the notes thereto, should be read in conjunction with the consolidated financial statements of Lazard Group LLC and its subsidiaries (“the Company”) and the notes thereto.</w:t>
      </w:r>
    </w:p>
    <w:p>
      <w:pPr>
        <w:spacing w:after="0" w:line="7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Parent Company Financial Statements as of December 31, 2010 and 2009, and for each of the three years in the period ended December 31, 2010, are prepared in conformity with accounting principles generally accepted in the United States of America (“U.S. GAAP”), which require management to make estimates and assumptions that affect the reported amounts of assets and liabilities, revenue and expenses, and the disclosures in the condensed financial statements. Management believes that the estimates utilized in the preparation of the condensed financial statements are reasonable. Actual results could differ materially from these estimates.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Company Financial Statements include investments in subsidiaries, accounted for under the equity method.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28, 2011</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and Chief Executive Officer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1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Capacity</w:t>
            </w:r>
          </w:p>
        </w:tc>
        <w:tc>
          <w:tcPr>
            <w:tcW w:w="3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spacing w:after="0"/>
              <w:rPr>
                <w:sz w:val="14"/>
                <w:szCs w:val="14"/>
                <w:color w:val="auto"/>
              </w:rPr>
            </w:pPr>
          </w:p>
        </w:tc>
      </w:tr>
      <w:tr>
        <w:trPr>
          <w:trHeight w:val="42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Kenneth M. Jacobs</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Director</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28, 2011</w:t>
            </w:r>
          </w:p>
        </w:tc>
      </w:tr>
      <w:tr>
        <w:trPr>
          <w:trHeight w:val="218"/>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Kenneth M. Jacobs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7"/>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Michael J. Castellano</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28, 2011</w:t>
            </w:r>
          </w:p>
        </w:tc>
      </w:tr>
      <w:tr>
        <w:trPr>
          <w:trHeight w:val="218"/>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w w:val="95"/>
              </w:rPr>
              <w:t>Michael J. Castellano</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Ashish Bhutani</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28, 2011</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Ashish Bhutani</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Ronald J. Doerfler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28, 2011</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Ronald J. Doerfler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Laurent Mignon</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28, 2011</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Laurent Mignon</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Steven J. Heyer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28, 2011</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Steven J. Heyer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Sylvia Jay</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28, 2011</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Sylvia Jay</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Vernon E. Jordan, Jr.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28, 2011</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w w:val="96"/>
              </w:rPr>
              <w:t>Vernon E. Jordan, Jr.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Philip A. Laskawy</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28, 2011</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Philip A. Laskawy</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Gary W. Parr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28, 2011</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Gary W. Parr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II-1</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60"/>
          </w:cols>
          <w:pgMar w:left="240" w:top="460" w:right="2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Capacity</w:t>
            </w:r>
          </w:p>
        </w:tc>
        <w:tc>
          <w:tcPr>
            <w:tcW w:w="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spacing w:after="0"/>
              <w:rPr>
                <w:sz w:val="14"/>
                <w:szCs w:val="14"/>
                <w:color w:val="auto"/>
              </w:rPr>
            </w:pPr>
          </w:p>
        </w:tc>
      </w:tr>
      <w:tr>
        <w:trPr>
          <w:trHeight w:val="425"/>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Hal S. Scott</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360" w:type="dxa"/>
            <w:vAlign w:val="bottom"/>
            <w:gridSpan w:val="3"/>
          </w:tcPr>
          <w:p>
            <w:pPr>
              <w:jc w:val="center"/>
              <w:ind w:left="3992"/>
              <w:spacing w:after="0"/>
              <w:rPr>
                <w:sz w:val="20"/>
                <w:szCs w:val="20"/>
                <w:color w:val="auto"/>
              </w:rPr>
            </w:pPr>
            <w:r>
              <w:rPr>
                <w:rFonts w:ascii="Arial" w:cs="Arial" w:eastAsia="Arial" w:hAnsi="Arial"/>
                <w:sz w:val="18"/>
                <w:szCs w:val="18"/>
                <w:color w:val="auto"/>
                <w:w w:val="86"/>
              </w:rPr>
              <w:t>February 28, 2011</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Hal S. Scott</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Michael J. Turner</w:t>
            </w:r>
          </w:p>
        </w:tc>
        <w:tc>
          <w:tcPr>
            <w:tcW w:w="1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360" w:type="dxa"/>
            <w:vAlign w:val="bottom"/>
            <w:gridSpan w:val="3"/>
          </w:tcPr>
          <w:p>
            <w:pPr>
              <w:jc w:val="center"/>
              <w:ind w:left="3992"/>
              <w:spacing w:after="0"/>
              <w:rPr>
                <w:sz w:val="20"/>
                <w:szCs w:val="20"/>
                <w:color w:val="auto"/>
              </w:rPr>
            </w:pPr>
            <w:r>
              <w:rPr>
                <w:rFonts w:ascii="Arial" w:cs="Arial" w:eastAsia="Arial" w:hAnsi="Arial"/>
                <w:sz w:val="18"/>
                <w:szCs w:val="18"/>
                <w:color w:val="auto"/>
                <w:w w:val="86"/>
              </w:rPr>
              <w:t>February 28, 2011</w:t>
            </w:r>
          </w:p>
        </w:tc>
      </w:tr>
      <w:tr>
        <w:trPr>
          <w:trHeight w:val="217"/>
        </w:trPr>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Michael J. Turner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gridSpan w:val="3"/>
          </w:tcPr>
          <w:p>
            <w:pPr>
              <w:ind w:left="8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0860"/>
          </w:cols>
          <w:pgMar w:left="240" w:top="460" w:right="79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10.47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171" w:lineRule="exact"/>
        <w:rPr>
          <w:sz w:val="20"/>
          <w:szCs w:val="20"/>
          <w:color w:val="auto"/>
        </w:rPr>
      </w:pPr>
    </w:p>
    <w:p>
      <w:pPr>
        <w:jc w:val="both"/>
        <w:ind w:right="420" w:firstLine="456"/>
        <w:spacing w:after="0" w:line="332" w:lineRule="auto"/>
        <w:rPr>
          <w:sz w:val="20"/>
          <w:szCs w:val="20"/>
          <w:color w:val="auto"/>
        </w:rPr>
      </w:pPr>
      <w:r>
        <w:rPr>
          <w:rFonts w:ascii="Arial" w:cs="Arial" w:eastAsia="Arial" w:hAnsi="Arial"/>
          <w:sz w:val="16"/>
          <w:szCs w:val="16"/>
          <w:color w:val="auto"/>
        </w:rPr>
        <w:t>AMENDMENT NO. 1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August 12, 2010 among LAZARD GROUP LLC (the “</w:t>
      </w:r>
      <w:r>
        <w:rPr>
          <w:rFonts w:ascii="Arial" w:cs="Arial" w:eastAsia="Arial" w:hAnsi="Arial"/>
          <w:sz w:val="16"/>
          <w:szCs w:val="16"/>
          <w:u w:val="single" w:color="auto"/>
          <w:color w:val="auto"/>
        </w:rPr>
        <w:t>Company</w:t>
      </w:r>
      <w:r>
        <w:rPr>
          <w:rFonts w:ascii="Arial" w:cs="Arial" w:eastAsia="Arial" w:hAnsi="Arial"/>
          <w:sz w:val="16"/>
          <w:szCs w:val="16"/>
          <w:color w:val="auto"/>
        </w:rPr>
        <w:t>”), the Banks executing this Amendment, each of which is a party to the Credit Agreement referred to below, and Citibank,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8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the Banks party thereto (including the Banks executing this Amendment) and the Administrative Agent are parties to a Credit Agreement dated as of April 29, 2010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providing, subject to the terms and conditions thereof, for extensions of credit to be made by said Banks to the Company thereunder.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parties hereto wish now to amend the Credit Agreement in certain respects and, accordingly, the parties hereto hereby agree as follows: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Except as otherwise defined in this Amendment, terms defined in the Credit Agreement are used herein as defined therein.</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satisfaction of the conditions precedent specified in Section 4 below, the Credit Agreement shall be amended as follows:</w:t>
      </w:r>
    </w:p>
    <w:p>
      <w:pPr>
        <w:spacing w:after="0" w:line="51"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References Generally</w:t>
      </w:r>
      <w:r>
        <w:rPr>
          <w:rFonts w:ascii="Arial" w:cs="Arial" w:eastAsia="Arial" w:hAnsi="Arial"/>
          <w:sz w:val="18"/>
          <w:szCs w:val="18"/>
          <w:color w:val="auto"/>
        </w:rPr>
        <w:t>. References in the Credit Agreement (including references to the Credit Agreement as amended hereby) to “this Agreement” (and indirect references such as “hereunder”, “hereby”, “herein” and “hereof”) shall be deemed to be references to the Credit Agreement as amended hereby.</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Amendments to Section 1.1 (Defined Terms)</w:t>
      </w:r>
      <w:r>
        <w:rPr>
          <w:rFonts w:ascii="Arial" w:cs="Arial" w:eastAsia="Arial" w:hAnsi="Arial"/>
          <w:sz w:val="16"/>
          <w:szCs w:val="16"/>
          <w:color w:val="auto"/>
        </w:rPr>
        <w:t>. Section 1.1 of the Credit Agreement is hereby amended by (i) deleting the definition for “FOCUS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 in its entirety and (ii) restating the following definition to read as follows:</w:t>
      </w:r>
    </w:p>
    <w:p>
      <w:pPr>
        <w:spacing w:after="0" w:line="84"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“Designated Subsidiary”: each of Lazard Frères &amp; Co. LLC, Lazard Asset Management LLC, Lazard &amp; Co., Limited and Compagnie Financiere Lazard Frères and each of their respective successors.</w:t>
      </w:r>
    </w:p>
    <w:p>
      <w:pPr>
        <w:spacing w:after="0" w:line="51" w:lineRule="exact"/>
        <w:rPr>
          <w:sz w:val="20"/>
          <w:szCs w:val="20"/>
          <w:color w:val="auto"/>
        </w:rPr>
      </w:pPr>
    </w:p>
    <w:p>
      <w:pPr>
        <w:ind w:left="460" w:right="20" w:firstLine="438"/>
        <w:spacing w:after="0" w:line="268"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Amendments to Section 6.2(b) (Certificates; Other Information)</w:t>
      </w:r>
      <w:r>
        <w:rPr>
          <w:rFonts w:ascii="Arial" w:cs="Arial" w:eastAsia="Arial" w:hAnsi="Arial"/>
          <w:sz w:val="18"/>
          <w:szCs w:val="18"/>
          <w:color w:val="auto"/>
        </w:rPr>
        <w:t>. Section 6.2(b) of the Credit Agreement is hereby amended by deleting the text of the paragraph in its entirety and replacing it with the word “[Reserved]”.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the Administrative Agent and the Banks that immediately before and after giving effect to this Amendment (a) the representations and warranties set forth in Article 4 of the Credit Agreement are true and correct in all material respects on the date hereof as if made on and as of the date hereof (or, if any representation or warranty is expressly stated to have been made as of a specific date, such representation or warranty shall be true and correct in all material respects as of such specific date) and (b) no Default or Event of Default has occurred and is continuing.</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amendments set forth in Section 2 hereof shall each become effective on the date this Amendment shall have been duly executed and delivered by the Company, the Administrative Agent and the Required Lenders.</w:t>
      </w:r>
    </w:p>
    <w:p>
      <w:pPr>
        <w:sectPr>
          <w:pgSz w:w="11900" w:h="16838" w:orient="portrait"/>
          <w:cols w:equalWidth="0" w:num="1">
            <w:col w:w="11420"/>
          </w:cols>
          <w:pgMar w:left="240" w:top="125" w:right="239" w:bottom="1440" w:gutter="0" w:footer="0" w:header="0"/>
        </w:sectPr>
      </w:pPr>
    </w:p>
    <w:bookmarkStart w:id="184" w:name="page185"/>
    <w:bookmarkEnd w:id="184"/>
    <w:p>
      <w:pPr>
        <w:ind w:right="6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Company agrees to pay the reasonable costs and expenses of the Administrative Agent in connection with this Amendment as provided in Section 12.5(a) of the Credit Agreement.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Miscellaneous</w:t>
      </w:r>
      <w:r>
        <w:rPr>
          <w:rFonts w:ascii="Arial" w:cs="Arial" w:eastAsia="Arial" w:hAnsi="Arial"/>
          <w:sz w:val="18"/>
          <w:szCs w:val="18"/>
          <w:color w:val="auto"/>
        </w:rPr>
        <w:t>. Except as herein provided, the Credit Agreement shall remain unchanged and in full force and effect. This Amendment may be executed in any number of counterparts and by different parties hereto in separate counterparts, each of which when so executed shall be deemed to be an original and both of which taken together shall constitute one and the same agreement. Delivery of an executed counterpart of a signature page to this Amendment by electronic transmission shall be effective as delivery of a manually executed counterpart of this Amendment. This Amendment shall be governed by, and construed in accordance with, the law of the State of New York.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85" w:name="page186"/>
    <w:bookmarkEnd w:id="18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duly executed and delivered in New York, New York by their proper and duly authorized officers as of the date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LAZARD GROUP LLC</w:t>
      </w:r>
    </w:p>
    <w:p>
      <w:pPr>
        <w:spacing w:after="0" w:line="231" w:lineRule="exact"/>
        <w:rPr>
          <w:sz w:val="20"/>
          <w:szCs w:val="20"/>
          <w:color w:val="auto"/>
        </w:rPr>
      </w:pPr>
    </w:p>
    <w:p>
      <w:pPr>
        <w:ind w:left="6880"/>
        <w:spacing w:after="0"/>
        <w:tabs>
          <w:tab w:leader="none" w:pos="7340" w:val="left"/>
        </w:tabs>
        <w:rPr>
          <w:sz w:val="20"/>
          <w:szCs w:val="20"/>
          <w:color w:val="auto"/>
        </w:rPr>
      </w:pPr>
      <w:r>
        <w:rPr>
          <w:rFonts w:ascii="Arial" w:cs="Arial" w:eastAsia="Arial" w:hAnsi="Arial"/>
          <w:sz w:val="18"/>
          <w:szCs w:val="18"/>
          <w:color w:val="auto"/>
        </w:rPr>
        <w:t>By:</w:t>
        <w:tab/>
        <w:t>/s/ 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Michael J. Castellano</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[Signature Page to Amendment No.1]</w:t>
      </w:r>
    </w:p>
    <w:p>
      <w:pPr>
        <w:sectPr>
          <w:pgSz w:w="11900" w:h="16838" w:orient="portrait"/>
          <w:cols w:equalWidth="0" w:num="1">
            <w:col w:w="11280"/>
          </w:cols>
          <w:pgMar w:left="240" w:top="280" w:right="379" w:bottom="1440" w:gutter="0" w:footer="0" w:header="0"/>
        </w:sectPr>
      </w:pPr>
    </w:p>
    <w:bookmarkStart w:id="186" w:name="page187"/>
    <w:bookmarkEnd w:id="18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CITIBANK, N.A.,</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Administrative Agent and as a Bank</w:t>
      </w:r>
    </w:p>
    <w:p>
      <w:pPr>
        <w:spacing w:after="0" w:line="253"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Maureen P.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Maureen P. Maroney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Amendment No.1]</w:t>
      </w:r>
    </w:p>
    <w:p>
      <w:pPr>
        <w:sectPr>
          <w:pgSz w:w="11900" w:h="16838" w:orient="portrait"/>
          <w:cols w:equalWidth="0" w:num="1">
            <w:col w:w="9019"/>
          </w:cols>
          <w:pgMar w:left="1440" w:top="274" w:right="1440" w:bottom="1440" w:gutter="0" w:footer="0" w:header="0"/>
        </w:sectPr>
      </w:pPr>
    </w:p>
    <w:bookmarkStart w:id="187" w:name="page188"/>
    <w:bookmarkEnd w:id="187"/>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Bank</w:t>
      </w:r>
    </w:p>
    <w:p>
      <w:pPr>
        <w:spacing w:after="0" w:line="21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T.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T. Daley</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[Signature Page to Amendment No.1]</w:t>
      </w:r>
    </w:p>
    <w:p>
      <w:pPr>
        <w:sectPr>
          <w:pgSz w:w="11900" w:h="16838" w:orient="portrait"/>
          <w:cols w:equalWidth="0" w:num="1">
            <w:col w:w="9500"/>
          </w:cols>
          <w:pgMar w:left="1440" w:top="274" w:right="959" w:bottom="1440" w:gutter="0" w:footer="0" w:header="0"/>
        </w:sectPr>
      </w:pPr>
    </w:p>
    <w:bookmarkStart w:id="188" w:name="page189"/>
    <w:bookmarkEnd w:id="188"/>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Bank</w:t>
      </w:r>
    </w:p>
    <w:p>
      <w:pPr>
        <w:spacing w:after="0" w:line="21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John S. Vricella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John S. Vricella</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Amendment No.1]</w:t>
      </w:r>
    </w:p>
    <w:p>
      <w:pPr>
        <w:sectPr>
          <w:pgSz w:w="11900" w:h="16838" w:orient="portrait"/>
          <w:cols w:equalWidth="0" w:num="1">
            <w:col w:w="9019"/>
          </w:cols>
          <w:pgMar w:left="1440" w:top="274"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10.48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AMENDMENT NO. 2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December 17, 2010 among LAZARD GROUP LLC (the “</w:t>
      </w:r>
      <w:r>
        <w:rPr>
          <w:rFonts w:ascii="Arial" w:cs="Arial" w:eastAsia="Arial" w:hAnsi="Arial"/>
          <w:sz w:val="16"/>
          <w:szCs w:val="16"/>
          <w:u w:val="single" w:color="auto"/>
          <w:color w:val="auto"/>
        </w:rPr>
        <w:t>Company</w:t>
      </w:r>
      <w:r>
        <w:rPr>
          <w:rFonts w:ascii="Arial" w:cs="Arial" w:eastAsia="Arial" w:hAnsi="Arial"/>
          <w:sz w:val="16"/>
          <w:szCs w:val="16"/>
          <w:color w:val="auto"/>
        </w:rPr>
        <w:t>”), the Banks executing this Amendment, each of which is a party to the Credit Agreement referred to below, and Citibank,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the Banks party thereto (including the Banks executing this Amendment) and the Administrative Agent are parties to a Credit Agreement dated as of April 29, 2010 (as amended by Amendment No. 1 dated as of August 12, 2010,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providing, subject to the terms and conditions thereof, for extensions of credit to be made by said Banks to the Company thereunder.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parties hereto wish now to amend the Credit Agreement in certain respects and, accordingly, the parties hereto hereby agree as follows: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Except as otherwise defined in this Amendment, terms defined in the Credit Agreement are used herein as defined therein.</w:t>
      </w:r>
    </w:p>
    <w:p>
      <w:pPr>
        <w:spacing w:after="0" w:line="19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 Subject to the satisfaction of the conditions precedent specified in Section 4 below, the Credit Agreement shall be amended as follows:</w:t>
      </w:r>
    </w:p>
    <w:p>
      <w:pPr>
        <w:spacing w:after="0" w:line="51"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References Generally</w:t>
      </w:r>
      <w:r>
        <w:rPr>
          <w:rFonts w:ascii="Arial" w:cs="Arial" w:eastAsia="Arial" w:hAnsi="Arial"/>
          <w:sz w:val="18"/>
          <w:szCs w:val="18"/>
          <w:color w:val="auto"/>
        </w:rPr>
        <w:t>. References in the Credit Agreement (including references to the Credit Agreement as amended hereby) to “this Agreement” (and indirect references such as “hereunder”, “hereby”, “herein” and “hereof”) shall be deemed to be references to the Credit Agreement as amended hereby.</w:t>
      </w:r>
    </w:p>
    <w:p>
      <w:pPr>
        <w:spacing w:after="0" w:line="59" w:lineRule="exact"/>
        <w:rPr>
          <w:sz w:val="20"/>
          <w:szCs w:val="20"/>
          <w:color w:val="auto"/>
        </w:rPr>
      </w:pPr>
    </w:p>
    <w:p>
      <w:pPr>
        <w:ind w:left="460" w:right="400" w:firstLine="438"/>
        <w:spacing w:after="0" w:line="306"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Amendments to Section 1.1 (Defined Terms)</w:t>
      </w:r>
      <w:r>
        <w:rPr>
          <w:rFonts w:ascii="Arial" w:cs="Arial" w:eastAsia="Arial" w:hAnsi="Arial"/>
          <w:sz w:val="16"/>
          <w:szCs w:val="16"/>
          <w:color w:val="auto"/>
        </w:rPr>
        <w:t>. The definition of “Indebtedness” contained in Section 1.1 of the Credit Agreement is hereby amended by deleting the language: “Notwithstanding anything to the contrary herein, Indebtedness shall exclude 80% of “mandatory” convertible or exchangeable Indebtedness prior to the remarketing period for such Indebtedness”, and replacing it with the following:</w:t>
      </w:r>
    </w:p>
    <w:p>
      <w:pPr>
        <w:spacing w:after="0" w:line="26" w:lineRule="exact"/>
        <w:rPr>
          <w:sz w:val="20"/>
          <w:szCs w:val="20"/>
          <w:color w:val="auto"/>
        </w:rPr>
      </w:pPr>
    </w:p>
    <w:p>
      <w:pPr>
        <w:ind w:left="920" w:right="340"/>
        <w:spacing w:after="0" w:line="256" w:lineRule="auto"/>
        <w:rPr>
          <w:sz w:val="20"/>
          <w:szCs w:val="20"/>
          <w:color w:val="auto"/>
        </w:rPr>
      </w:pPr>
      <w:r>
        <w:rPr>
          <w:rFonts w:ascii="Arial" w:cs="Arial" w:eastAsia="Arial" w:hAnsi="Arial"/>
          <w:sz w:val="18"/>
          <w:szCs w:val="18"/>
          <w:color w:val="auto"/>
        </w:rPr>
        <w:t>“Notwithstanding anything to the contrary herein, Indebtedness shall exclude (1) 80% of “mandatory” convertible or exchangeable Indebtedness prior to the remarketing period for such Indebtedness and (2) all obligations in respect of deferred consideration for the merger of Lazard Asset Management LLC described in the footnotes to the consolidated financial statements of Holdings as of and for the period ending December 31, 2009.”</w:t>
      </w:r>
    </w:p>
    <w:p>
      <w:pPr>
        <w:spacing w:after="0" w:line="62" w:lineRule="exact"/>
        <w:rPr>
          <w:sz w:val="20"/>
          <w:szCs w:val="20"/>
          <w:color w:val="auto"/>
        </w:rPr>
      </w:pPr>
    </w:p>
    <w:p>
      <w:pPr>
        <w:jc w:val="both"/>
        <w:ind w:left="460" w:right="260" w:firstLine="438"/>
        <w:spacing w:after="0" w:line="332"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u w:val="single" w:color="auto"/>
          <w:color w:val="auto"/>
        </w:rPr>
        <w:t>Amendments to Section 6.2(a) (Certificates; Other Information)</w:t>
      </w:r>
      <w:r>
        <w:rPr>
          <w:rFonts w:ascii="Arial" w:cs="Arial" w:eastAsia="Arial" w:hAnsi="Arial"/>
          <w:sz w:val="16"/>
          <w:szCs w:val="16"/>
          <w:color w:val="auto"/>
        </w:rPr>
        <w:t>. Section 6.2(a) of the Credit Agreement is hereby amended by replacing the word “and” directly preceding romanette (ii) with a “,” and by inserting the following language after the word “Agreement” at the end of the paragraph:</w:t>
      </w:r>
    </w:p>
    <w:p>
      <w:pPr>
        <w:spacing w:after="0" w:line="4" w:lineRule="exact"/>
        <w:rPr>
          <w:sz w:val="20"/>
          <w:szCs w:val="20"/>
          <w:color w:val="auto"/>
        </w:rPr>
      </w:pPr>
    </w:p>
    <w:p>
      <w:pPr>
        <w:ind w:left="460" w:right="200" w:firstLine="438"/>
        <w:spacing w:after="0" w:line="268" w:lineRule="auto"/>
        <w:rPr>
          <w:sz w:val="20"/>
          <w:szCs w:val="20"/>
          <w:color w:val="auto"/>
        </w:rPr>
      </w:pPr>
      <w:r>
        <w:rPr>
          <w:rFonts w:ascii="Arial" w:cs="Arial" w:eastAsia="Arial" w:hAnsi="Arial"/>
          <w:sz w:val="18"/>
          <w:szCs w:val="18"/>
          <w:color w:val="auto"/>
        </w:rPr>
        <w:t>“and (iii) setting forth the aggregate amount of Indebtedness incurred pursuant to Section 7.2(d) of this Agreement that is outstanding as of the last day of the fiscal period covered by such financial statements”</w:t>
      </w:r>
    </w:p>
    <w:p>
      <w:pPr>
        <w:sectPr>
          <w:pgSz w:w="11900" w:h="16838" w:orient="portrait"/>
          <w:cols w:equalWidth="0" w:num="1">
            <w:col w:w="11420"/>
          </w:cols>
          <w:pgMar w:left="240" w:top="125" w:right="239" w:bottom="1440" w:gutter="0" w:footer="0" w:header="0"/>
        </w:sectPr>
      </w:pPr>
    </w:p>
    <w:bookmarkStart w:id="190" w:name="page191"/>
    <w:bookmarkEnd w:id="190"/>
    <w:p>
      <w:pPr>
        <w:ind w:left="460" w:right="1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2.04. </w:t>
      </w:r>
      <w:r>
        <w:rPr>
          <w:rFonts w:ascii="Arial" w:cs="Arial" w:eastAsia="Arial" w:hAnsi="Arial"/>
          <w:sz w:val="18"/>
          <w:szCs w:val="18"/>
          <w:u w:val="single" w:color="auto"/>
          <w:color w:val="auto"/>
        </w:rPr>
        <w:t>Amendments to Section 7.2(d) (Limitation on Indebtedness)</w:t>
      </w:r>
      <w:r>
        <w:rPr>
          <w:rFonts w:ascii="Arial" w:cs="Arial" w:eastAsia="Arial" w:hAnsi="Arial"/>
          <w:sz w:val="18"/>
          <w:szCs w:val="18"/>
          <w:color w:val="auto"/>
        </w:rPr>
        <w:t>. Section 7.2(d) of the Credit Agreement is hereby amended by deleting the word “[RESERVED]” and replacing it with the following:</w:t>
      </w:r>
    </w:p>
    <w:p>
      <w:pPr>
        <w:spacing w:after="0" w:line="51" w:lineRule="exact"/>
        <w:rPr>
          <w:sz w:val="20"/>
          <w:szCs w:val="20"/>
          <w:color w:val="auto"/>
        </w:rPr>
      </w:pPr>
    </w:p>
    <w:p>
      <w:pPr>
        <w:jc w:val="both"/>
        <w:ind w:left="920" w:right="320"/>
        <w:spacing w:after="0" w:line="306" w:lineRule="auto"/>
        <w:rPr>
          <w:sz w:val="20"/>
          <w:szCs w:val="20"/>
          <w:color w:val="auto"/>
        </w:rPr>
      </w:pPr>
      <w:r>
        <w:rPr>
          <w:rFonts w:ascii="Arial" w:cs="Arial" w:eastAsia="Arial" w:hAnsi="Arial"/>
          <w:sz w:val="16"/>
          <w:szCs w:val="16"/>
          <w:color w:val="auto"/>
        </w:rPr>
        <w:t>“Indebtedness of the Company to LLtd Corp II, LLtd 1 S.à r.l. and LLtd 2 S.à r.l. (collectively, the “</w:t>
      </w:r>
      <w:r>
        <w:rPr>
          <w:rFonts w:ascii="Arial" w:cs="Arial" w:eastAsia="Arial" w:hAnsi="Arial"/>
          <w:sz w:val="16"/>
          <w:szCs w:val="16"/>
          <w:u w:val="single" w:color="auto"/>
          <w:color w:val="auto"/>
        </w:rPr>
        <w:t>Interim Financing Companies</w:t>
      </w:r>
      <w:r>
        <w:rPr>
          <w:rFonts w:ascii="Arial" w:cs="Arial" w:eastAsia="Arial" w:hAnsi="Arial"/>
          <w:sz w:val="16"/>
          <w:szCs w:val="16"/>
          <w:color w:val="auto"/>
        </w:rPr>
        <w:t>”) in respect of loans made by any such Interim Financing Company to the Company from excess funds attributable to (i) Restricted Payments permitted under Section 7.8 or (ii) loans made by the Company to any such Interim Financing Company.”</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the Administrative Agent and the Banks that immediately before and after giving effect to this Amendment (a) the representations and warranties set forth in Article 4 of the Credit Agreement are true and correct in all material respects on the date hereof as if made on and as of the date hereof (or, if any representation or warranty is expressly stated to have been made as of a specific date, such representation or warranty shall be true and correct in all material respects as of such specific date) and (b) no Default or Event of Default has occurred and is continuing.</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amendments set forth in Section 2 hereof shall each become effective on the date this Amendment shall have been duly executed and delivered by the Company, the Administrative Agent and the Required Lenders.</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Company agrees to pay the reasonable costs and expenses of the Administrative Agent in connection with this Amendment as provided in Section 12.5(a) of the Credit Agreement.</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Miscellaneous</w:t>
      </w:r>
      <w:r>
        <w:rPr>
          <w:rFonts w:ascii="Arial" w:cs="Arial" w:eastAsia="Arial" w:hAnsi="Arial"/>
          <w:sz w:val="18"/>
          <w:szCs w:val="18"/>
          <w:color w:val="auto"/>
        </w:rPr>
        <w:t>. Except as herein provided, the Credit Agreement shall remain unchanged and in full force and effect. This Amendment may be executed in any number of counterparts and by different parties hereto in separate counterparts, each of which when so executed shall be deemed to be an original and both of which taken together shall constitute one and the same agreement. Delivery of an executed counterpart of a signature page to this Amendment by electronic transmission shall be effective as delivery of a manually executed counterpart of this Amendment. This Amendment shall be governed by, and construed in accordance with, the law of the State of New York.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1" w:name="page192"/>
    <w:bookmarkEnd w:id="191"/>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duly executed and delivered in New York, New York by their proper and duly authorized officers as of the date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LAZARD GROUP LLC</w:t>
      </w:r>
    </w:p>
    <w:p>
      <w:pPr>
        <w:spacing w:after="0" w:line="24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Michael J. Castellano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[Signature Page to Amendment No.2]</w:t>
      </w:r>
    </w:p>
    <w:p>
      <w:pPr>
        <w:sectPr>
          <w:pgSz w:w="11900" w:h="16838" w:orient="portrait"/>
          <w:cols w:equalWidth="0" w:num="1">
            <w:col w:w="11280"/>
          </w:cols>
          <w:pgMar w:left="240" w:top="280" w:right="379" w:bottom="1440" w:gutter="0" w:footer="0" w:header="0"/>
        </w:sectPr>
      </w:pPr>
    </w:p>
    <w:bookmarkStart w:id="192" w:name="page193"/>
    <w:bookmarkEnd w:id="19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CITIBANK, N.A.,</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Administrative Agent and as a Bank</w:t>
      </w:r>
    </w:p>
    <w:p>
      <w:pPr>
        <w:spacing w:after="0" w:line="253"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Maureen P.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Maureen P. Maroney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Amendment No.2]</w:t>
      </w:r>
    </w:p>
    <w:p>
      <w:pPr>
        <w:sectPr>
          <w:pgSz w:w="11900" w:h="16838" w:orient="portrait"/>
          <w:cols w:equalWidth="0" w:num="1">
            <w:col w:w="9019"/>
          </w:cols>
          <w:pgMar w:left="1440" w:top="274" w:right="1440" w:bottom="1440" w:gutter="0" w:footer="0" w:header="0"/>
        </w:sectPr>
      </w:pPr>
    </w:p>
    <w:bookmarkStart w:id="193" w:name="page194"/>
    <w:bookmarkEnd w:id="193"/>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Bank</w:t>
      </w:r>
    </w:p>
    <w:p>
      <w:pPr>
        <w:spacing w:after="0" w:line="219"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T.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T. Daley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00"/>
        <w:spacing w:after="0"/>
        <w:rPr>
          <w:sz w:val="20"/>
          <w:szCs w:val="20"/>
          <w:color w:val="auto"/>
        </w:rPr>
      </w:pPr>
      <w:r>
        <w:rPr>
          <w:rFonts w:ascii="Arial" w:cs="Arial" w:eastAsia="Arial" w:hAnsi="Arial"/>
          <w:sz w:val="14"/>
          <w:szCs w:val="14"/>
          <w:color w:val="auto"/>
        </w:rPr>
        <w:t>[Signature Page to Amendment No.2]</w:t>
      </w:r>
    </w:p>
    <w:p>
      <w:pPr>
        <w:sectPr>
          <w:pgSz w:w="11900" w:h="16838" w:orient="portrait"/>
          <w:cols w:equalWidth="0" w:num="1">
            <w:col w:w="9500"/>
          </w:cols>
          <w:pgMar w:left="1440" w:top="274" w:right="959" w:bottom="1440" w:gutter="0" w:footer="0" w:header="0"/>
        </w:sectPr>
      </w:pPr>
    </w:p>
    <w:bookmarkStart w:id="194" w:name="page195"/>
    <w:bookmarkEnd w:id="194"/>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NEW YORK MELLON,</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Bank</w:t>
      </w:r>
    </w:p>
    <w:p>
      <w:pPr>
        <w:spacing w:after="0" w:line="219" w:lineRule="exact"/>
        <w:rPr>
          <w:sz w:val="20"/>
          <w:szCs w:val="20"/>
          <w:color w:val="auto"/>
        </w:rPr>
      </w:pPr>
    </w:p>
    <w:p>
      <w:pPr>
        <w:ind w:left="5660"/>
        <w:spacing w:after="0"/>
        <w:tabs>
          <w:tab w:leader="none" w:pos="6100" w:val="left"/>
        </w:tabs>
        <w:rPr>
          <w:sz w:val="20"/>
          <w:szCs w:val="20"/>
          <w:color w:val="auto"/>
        </w:rPr>
      </w:pPr>
      <w:r>
        <w:rPr>
          <w:rFonts w:ascii="Arial" w:cs="Arial" w:eastAsia="Arial" w:hAnsi="Arial"/>
          <w:sz w:val="18"/>
          <w:szCs w:val="18"/>
          <w:color w:val="auto"/>
        </w:rPr>
        <w:t>By</w:t>
        <w:tab/>
        <w:t>/s/ John S. Vricella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John S. Vricella</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[Signature Page to Amendment No.2]</w:t>
      </w:r>
    </w:p>
    <w:p>
      <w:pPr>
        <w:sectPr>
          <w:pgSz w:w="11900" w:h="16838" w:orient="portrait"/>
          <w:cols w:equalWidth="0" w:num="1">
            <w:col w:w="9019"/>
          </w:cols>
          <w:pgMar w:left="1440" w:top="274" w:right="1440" w:bottom="1440" w:gutter="0" w:footer="0" w:header="0"/>
        </w:sectPr>
      </w:pPr>
    </w:p>
    <w:bookmarkStart w:id="195" w:name="page196"/>
    <w:bookmarkEnd w:id="195"/>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75"/>
              </w:rPr>
              <w:t>(dollars</w:t>
            </w: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8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246,809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8"/>
              </w:rPr>
              <w:t>(181,988)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42,029</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$436,064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$333,676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121,656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132,785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161,665</w:t>
            </w:r>
          </w:p>
        </w:tc>
        <w:tc>
          <w:tcPr>
            <w:tcW w:w="6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154,790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368,465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(49,203)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203,694</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590,854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453,374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102,249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113,280</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141,413</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$136,529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19,407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20,252</w:t>
            </w:r>
          </w:p>
        </w:tc>
        <w:tc>
          <w:tcPr>
            <w:tcW w:w="6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18,261</w:t>
            </w:r>
          </w:p>
        </w:tc>
        <w:tc>
          <w:tcPr>
            <w:tcW w:w="660" w:type="dxa"/>
            <w:vAlign w:val="bottom"/>
          </w:tcPr>
          <w:p>
            <w:pPr>
              <w:jc w:val="right"/>
              <w:spacing w:after="0"/>
              <w:rPr>
                <w:sz w:val="20"/>
                <w:szCs w:val="20"/>
                <w:color w:val="auto"/>
              </w:rPr>
            </w:pPr>
            <w:r>
              <w:rPr>
                <w:rFonts w:ascii="Arial" w:cs="Arial" w:eastAsia="Arial" w:hAnsi="Arial"/>
                <w:sz w:val="18"/>
                <w:szCs w:val="18"/>
                <w:color w:val="auto"/>
              </w:rPr>
              <w:t>15,350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121,656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132,785</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161,665</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154,790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$ 119,698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3.03(d)</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1.26(f)</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3.82</w:t>
            </w:r>
          </w:p>
        </w:tc>
        <w:tc>
          <w:tcPr>
            <w:tcW w:w="6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Deficiency in the coverage of operating income (loss) before fixed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 to 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181,988</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earnings for the years presented represent income before income taxes and fixed charges,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0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and (ii) a charge of</w:t>
      </w:r>
    </w:p>
    <w:p>
      <w:pPr>
        <w:spacing w:after="0" w:line="38" w:lineRule="exact"/>
        <w:rPr>
          <w:rFonts w:ascii="Arial" w:cs="Arial" w:eastAsia="Arial" w:hAnsi="Arial"/>
          <w:sz w:val="16"/>
          <w:szCs w:val="16"/>
          <w:color w:val="auto"/>
        </w:rPr>
      </w:pPr>
    </w:p>
    <w:p>
      <w:pPr>
        <w:ind w:left="460" w:right="420"/>
        <w:spacing w:after="0" w:line="321" w:lineRule="auto"/>
        <w:rPr>
          <w:rFonts w:ascii="Arial" w:cs="Arial" w:eastAsia="Arial" w:hAnsi="Arial"/>
          <w:sz w:val="16"/>
          <w:szCs w:val="16"/>
          <w:color w:val="auto"/>
        </w:rPr>
      </w:pPr>
      <w:r>
        <w:rPr>
          <w:rFonts w:ascii="Arial" w:cs="Arial" w:eastAsia="Arial" w:hAnsi="Arial"/>
          <w:sz w:val="16"/>
          <w:szCs w:val="16"/>
          <w:color w:val="auto"/>
        </w:rPr>
        <w:t>$24,860 relating to the amendment of Lazard’s retirement policy with respect to RSU awards (see Notes 16 and 18 of Notes to Consolidated Financial Statements). Excluding the impact of such items, the ratio of earnings to fixed charges would have been 3.95.</w:t>
      </w:r>
    </w:p>
    <w:p>
      <w:pPr>
        <w:spacing w:after="0" w:line="1"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Operating income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(see Notes 16 and 18 of Notes to Consolidated Financial Statements). Excluding the impact of such items, the ratio of earnings to fixed charges would have been 1.21.</w:t>
      </w:r>
    </w:p>
    <w:p>
      <w:pPr>
        <w:spacing w:after="0" w:line="48"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2008 is presented after giving effect to a charge of $199,550 relating to the LAM Merger (see Note 8 of Notes to Consolidated Financial Statements). Excluding the impact of such charge, the ratio of earnings to fixed charges would have been 2.49.</w:t>
      </w:r>
    </w:p>
    <w:p>
      <w:pPr>
        <w:sectPr>
          <w:pgSz w:w="11900" w:h="16838" w:orient="portrait"/>
          <w:cols w:equalWidth="0" w:num="1">
            <w:col w:w="11420"/>
          </w:cols>
          <w:pgMar w:left="240" w:top="125"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760" w:type="dxa"/>
            <w:vAlign w:val="bottom"/>
            <w:gridSpan w:val="2"/>
          </w:tcPr>
          <w:p>
            <w:pPr>
              <w:ind w:left="680"/>
              <w:spacing w:after="0"/>
              <w:rPr>
                <w:sz w:val="20"/>
                <w:szCs w:val="20"/>
                <w:color w:val="auto"/>
              </w:rPr>
            </w:pPr>
            <w:r>
              <w:rPr>
                <w:rFonts w:ascii="Arial" w:cs="Arial" w:eastAsia="Arial" w:hAnsi="Arial"/>
                <w:sz w:val="18"/>
                <w:szCs w:val="18"/>
                <w:b w:val="1"/>
                <w:bCs w:val="1"/>
                <w:color w:val="auto"/>
              </w:rPr>
              <w:t>SUBSIDIARIES OF REGISTRANT</w:t>
            </w:r>
          </w:p>
        </w:tc>
      </w:tr>
      <w:tr>
        <w:trPr>
          <w:trHeight w:val="31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4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7"/>
              </w:rPr>
              <w:t>COUNTRY OF ORGANIZATION</w:t>
            </w:r>
          </w:p>
        </w:tc>
      </w:tr>
      <w:tr>
        <w:trPr>
          <w:trHeight w:val="201"/>
        </w:trPr>
        <w:tc>
          <w:tcPr>
            <w:tcW w:w="1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Lazard International</w:t>
            </w:r>
          </w:p>
        </w:tc>
        <w:tc>
          <w:tcPr>
            <w:tcW w:w="2040" w:type="dxa"/>
            <w:vAlign w:val="bottom"/>
          </w:tcPr>
          <w:p>
            <w:pPr>
              <w:spacing w:after="0" w:line="201" w:lineRule="exact"/>
              <w:rPr>
                <w:sz w:val="20"/>
                <w:szCs w:val="20"/>
                <w:color w:val="auto"/>
              </w:rPr>
            </w:pPr>
            <w:r>
              <w:rPr>
                <w:rFonts w:ascii="Arial" w:cs="Arial" w:eastAsia="Arial" w:hAnsi="Arial"/>
                <w:sz w:val="18"/>
                <w:szCs w:val="18"/>
                <w:color w:val="auto"/>
              </w:rPr>
              <w:t>Holdings, Inc.</w:t>
            </w:r>
          </w:p>
        </w:tc>
        <w:tc>
          <w:tcPr>
            <w:tcW w:w="2400" w:type="dxa"/>
            <w:vAlign w:val="bottom"/>
          </w:tcPr>
          <w:p>
            <w:pPr>
              <w:spacing w:after="0"/>
              <w:rPr>
                <w:sz w:val="17"/>
                <w:szCs w:val="17"/>
                <w:color w:val="auto"/>
              </w:rPr>
            </w:pPr>
          </w:p>
        </w:tc>
        <w:tc>
          <w:tcPr>
            <w:tcW w:w="5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&amp; Co.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Funding Limited LLC</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Holdings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Compagnie Financière Lazard Frères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Lazard Frères Banque SA</w:t>
            </w:r>
          </w:p>
        </w:tc>
        <w:tc>
          <w:tcPr>
            <w:tcW w:w="24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240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1420"/>
          </w:cols>
          <w:pgMar w:left="240" w:top="12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2010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2010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9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Annual Report on Form 10-K for the year ended December 31,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1)"/>
      <w:numFmt w:val="lowerLetter"/>
      <w:start w:val="3"/>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1)"/>
      <w:numFmt w:val="lowerLetter"/>
      <w:start w:val="1"/>
    </w:lvl>
  </w:abstractNum>
  <w:abstractNum w:abstractNumId="20">
    <w:nsid w:val="15B5AF5C"/>
    <w:multiLevelType w:val="hybridMultilevel"/>
    <w:lvl w:ilvl="0">
      <w:lvlJc w:val="left"/>
      <w:lvlText w:val="(%1)"/>
      <w:numFmt w:val="lowerLetter"/>
      <w:start w:val="1"/>
    </w:lvl>
  </w:abstractNum>
  <w:abstractNum w:abstractNumId="21">
    <w:nsid w:val="741226BB"/>
    <w:multiLevelType w:val="hybridMultilevel"/>
    <w:lvl w:ilvl="0">
      <w:lvlJc w:val="left"/>
      <w:lvlText w:val="(%1)"/>
      <w:numFmt w:val="lowerLetter"/>
      <w:start w:val="1"/>
    </w:lvl>
  </w:abstractNum>
  <w:abstractNum w:abstractNumId="22">
    <w:nsid w:val="D34B6A8"/>
    <w:multiLevelType w:val="hybridMultilevel"/>
    <w:lvl w:ilvl="0">
      <w:lvlJc w:val="left"/>
      <w:lvlText w:val="(%1)"/>
      <w:numFmt w:val="lowerLetter"/>
      <w:start w:val="1"/>
    </w:lvl>
  </w:abstractNum>
  <w:abstractNum w:abstractNumId="23">
    <w:nsid w:val="10233C99"/>
    <w:multiLevelType w:val="hybridMultilevel"/>
    <w:lvl w:ilvl="0">
      <w:lvlJc w:val="left"/>
      <w:lvlText w:val="(%1)"/>
      <w:numFmt w:val="lowerLetter"/>
      <w:start w:val="1"/>
    </w:lvl>
  </w:abstractNum>
  <w:abstractNum w:abstractNumId="24">
    <w:nsid w:val="3F6AB60F"/>
    <w:multiLevelType w:val="hybridMultilevel"/>
    <w:lvl w:ilvl="0">
      <w:lvlJc w:val="left"/>
      <w:lvlText w:val="(%1)"/>
      <w:numFmt w:val="lowerLetter"/>
      <w:start w:val="1"/>
    </w:lvl>
  </w:abstractNum>
  <w:abstractNum w:abstractNumId="25">
    <w:nsid w:val="61574095"/>
    <w:multiLevelType w:val="hybridMultilevel"/>
    <w:lvl w:ilvl="0">
      <w:lvlJc w:val="left"/>
      <w:lvlText w:val="(%1)"/>
      <w:numFmt w:val="lowerLetter"/>
      <w:start w:val="1"/>
    </w:lvl>
  </w:abstractNum>
  <w:abstractNum w:abstractNumId="26">
    <w:nsid w:val="7E0C57B1"/>
    <w:multiLevelType w:val="hybridMultilevel"/>
    <w:lvl w:ilvl="0">
      <w:lvlJc w:val="left"/>
      <w:lvlText w:val="(%1)"/>
      <w:numFmt w:val="lowerLetter"/>
      <w:start w:val="1"/>
    </w:lvl>
  </w:abstractNum>
  <w:abstractNum w:abstractNumId="27">
    <w:nsid w:val="77AE35EB"/>
    <w:multiLevelType w:val="hybridMultilevel"/>
    <w:lvl w:ilvl="0">
      <w:lvlJc w:val="left"/>
      <w:lvlText w:val="(%1)"/>
      <w:numFmt w:val="lowerLetter"/>
      <w:start w:val="1"/>
    </w:lvl>
  </w:abstractNum>
  <w:abstractNum w:abstractNumId="28">
    <w:nsid w:val="579BE4F1"/>
    <w:multiLevelType w:val="hybridMultilevel"/>
    <w:lvl w:ilvl="0">
      <w:lvlJc w:val="left"/>
      <w:lvlText w:val="(%1)"/>
      <w:numFmt w:val="lowerLetter"/>
      <w:start w:val="1"/>
    </w:lvl>
  </w:abstractNum>
  <w:abstractNum w:abstractNumId="29">
    <w:nsid w:val="310C50B3"/>
    <w:multiLevelType w:val="hybridMultilevel"/>
    <w:lvl w:ilvl="0">
      <w:lvlJc w:val="left"/>
      <w:lvlText w:val="(%1)"/>
      <w:numFmt w:val="lowerLetter"/>
      <w:start w:val="2"/>
    </w:lvl>
  </w:abstractNum>
  <w:abstractNum w:abstractNumId="30">
    <w:nsid w:val="5FF87E05"/>
    <w:multiLevelType w:val="hybridMultilevel"/>
    <w:lvl w:ilvl="0">
      <w:lvlJc w:val="left"/>
      <w:lvlText w:val="(%1)"/>
      <w:numFmt w:val="lowerLetter"/>
      <w:start w:val="1"/>
    </w:lvl>
  </w:abstractNum>
  <w:abstractNum w:abstractNumId="31">
    <w:nsid w:val="2F305DEF"/>
    <w:multiLevelType w:val="hybridMultilevel"/>
    <w:lvl w:ilvl="0">
      <w:lvlJc w:val="left"/>
      <w:lvlText w:val="(%1)"/>
      <w:numFmt w:val="lowerLetter"/>
      <w:start w:val="3"/>
    </w:lvl>
  </w:abstractNum>
  <w:abstractNum w:abstractNumId="32">
    <w:nsid w:val="25A70BF7"/>
    <w:multiLevelType w:val="hybridMultilevel"/>
    <w:lvl w:ilvl="0">
      <w:lvlJc w:val="left"/>
      <w:lvlText w:val="(%1)"/>
      <w:numFmt w:val="lowerLetter"/>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1)"/>
      <w:numFmt w:val="lowerLetter"/>
      <w:start w:val="1"/>
    </w:lvl>
  </w:abstractNum>
  <w:abstractNum w:abstractNumId="35">
    <w:nsid w:val="1F48EAA1"/>
    <w:multiLevelType w:val="hybridMultilevel"/>
    <w:lvl w:ilvl="0">
      <w:lvlJc w:val="left"/>
      <w:lvlText w:val="(%1)"/>
      <w:numFmt w:val="lowerLetter"/>
      <w:start w:val="3"/>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1."/>
      <w:numFmt w:val="decimal"/>
      <w:start w:val="4"/>
    </w:lvl>
  </w:abstractNum>
  <w:abstractNum w:abstractNumId="44">
    <w:nsid w:val="6B94764"/>
    <w:multiLevelType w:val="hybridMultilevel"/>
    <w:lvl w:ilvl="0">
      <w:lvlJc w:val="left"/>
      <w:lvlText w:val="%1."/>
      <w:numFmt w:val="decimal"/>
      <w:start w:val="5"/>
    </w:lvl>
  </w:abstractNum>
  <w:abstractNum w:abstractNumId="45">
    <w:nsid w:val="42C296BD"/>
    <w:multiLevelType w:val="hybridMultilevel"/>
    <w:lvl w:ilvl="0">
      <w:lvlJc w:val="left"/>
      <w:lvlText w:val="%1."/>
      <w:numFmt w:val="decimal"/>
      <w:start w:val="6"/>
    </w:lvl>
  </w:abstractNum>
  <w:abstractNum w:abstractNumId="46">
    <w:nsid w:val="168E121F"/>
    <w:multiLevelType w:val="hybridMultilevel"/>
    <w:lvl w:ilvl="0">
      <w:lvlJc w:val="left"/>
      <w:lvlText w:val="%1."/>
      <w:numFmt w:val="decimal"/>
      <w:start w:val="7"/>
    </w:lvl>
  </w:abstractNum>
  <w:abstractNum w:abstractNumId="47">
    <w:nsid w:val="1EBA5D23"/>
    <w:multiLevelType w:val="hybridMultilevel"/>
    <w:lvl w:ilvl="0">
      <w:lvlJc w:val="left"/>
      <w:lvlText w:val="%1."/>
      <w:numFmt w:val="decimal"/>
      <w:start w:val="8"/>
    </w:lvl>
  </w:abstractNum>
  <w:abstractNum w:abstractNumId="48">
    <w:nsid w:val="661E3F1E"/>
    <w:multiLevelType w:val="hybridMultilevel"/>
    <w:lvl w:ilvl="0">
      <w:lvlJc w:val="left"/>
      <w:lvlText w:val="%1."/>
      <w:numFmt w:val="decimal"/>
      <w:start w:val="9"/>
    </w:lvl>
  </w:abstractNum>
  <w:abstractNum w:abstractNumId="49">
    <w:nsid w:val="5DC79EA8"/>
    <w:multiLevelType w:val="hybridMultilevel"/>
    <w:lvl w:ilvl="0">
      <w:lvlJc w:val="left"/>
      <w:lvlText w:val="%1."/>
      <w:numFmt w:val="decimal"/>
      <w:start w:val="11"/>
    </w:lvl>
  </w:abstractNum>
  <w:abstractNum w:abstractNumId="50">
    <w:nsid w:val="540A471C"/>
    <w:multiLevelType w:val="hybridMultilevel"/>
    <w:lvl w:ilvl="0">
      <w:lvlJc w:val="left"/>
      <w:lvlText w:val="%1."/>
      <w:numFmt w:val="decimal"/>
      <w:start w:val="13"/>
    </w:lvl>
  </w:abstractNum>
  <w:abstractNum w:abstractNumId="51">
    <w:nsid w:val="7BD3EE7B"/>
    <w:multiLevelType w:val="hybridMultilevel"/>
    <w:lvl w:ilvl="0">
      <w:lvlJc w:val="left"/>
      <w:lvlText w:val="(%1)"/>
      <w:numFmt w:val="lowerLetter"/>
      <w:start w:val="1"/>
    </w:lvl>
  </w:abstractNum>
  <w:abstractNum w:abstractNumId="52">
    <w:nsid w:val="51D9C564"/>
    <w:multiLevelType w:val="hybridMultilevel"/>
    <w:lvl w:ilvl="0">
      <w:lvlJc w:val="left"/>
      <w:lvlText w:val="%1."/>
      <w:numFmt w:val="decimal"/>
      <w:start w:val="15"/>
    </w:lvl>
  </w:abstractNum>
  <w:abstractNum w:abstractNumId="53">
    <w:nsid w:val="613EFDC5"/>
    <w:multiLevelType w:val="hybridMultilevel"/>
    <w:lvl w:ilvl="0">
      <w:lvlJc w:val="left"/>
      <w:lvlText w:val="%1."/>
      <w:numFmt w:val="decimal"/>
      <w:start w:val="16"/>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1."/>
      <w:numFmt w:val="decimal"/>
      <w:start w:val="17"/>
    </w:lvl>
  </w:abstractNum>
  <w:abstractNum w:abstractNumId="56">
    <w:nsid w:val="42963E5A"/>
    <w:multiLevelType w:val="hybridMultilevel"/>
    <w:lvl w:ilvl="0">
      <w:lvlJc w:val="left"/>
      <w:lvlText w:val="%1."/>
      <w:numFmt w:val="decimal"/>
      <w:start w:val="18"/>
    </w:lvl>
  </w:abstractNum>
  <w:abstractNum w:abstractNumId="57">
    <w:nsid w:val="A0382C5"/>
    <w:multiLevelType w:val="hybridMultilevel"/>
    <w:lvl w:ilvl="0">
      <w:lvlJc w:val="left"/>
      <w:lvlText w:val="%1."/>
      <w:numFmt w:val="decimal"/>
      <w:start w:val="19"/>
    </w:lvl>
  </w:abstractNum>
  <w:abstractNum w:abstractNumId="58">
    <w:nsid w:val="8F2B15E"/>
    <w:multiLevelType w:val="hybridMultilevel"/>
    <w:lvl w:ilvl="0">
      <w:lvlJc w:val="left"/>
      <w:lvlText w:val="%1."/>
      <w:numFmt w:val="decimal"/>
      <w:start w:val="20"/>
    </w:lvl>
  </w:abstractNum>
  <w:abstractNum w:abstractNumId="59">
    <w:nsid w:val="1A32234B"/>
    <w:multiLevelType w:val="hybridMultilevel"/>
    <w:lvl w:ilvl="0">
      <w:lvlJc w:val="left"/>
      <w:lvlText w:val="%1."/>
      <w:numFmt w:val="decimal"/>
      <w:start w:val="21"/>
    </w:lvl>
  </w:abstractNum>
  <w:abstractNum w:abstractNumId="60">
    <w:nsid w:val="3B0FD379"/>
    <w:multiLevelType w:val="hybridMultilevel"/>
    <w:lvl w:ilvl="0">
      <w:lvlJc w:val="left"/>
      <w:lvlText w:val="%1."/>
      <w:numFmt w:val="decimal"/>
      <w:start w:val="22"/>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lowerLetter"/>
      <w:start w:val="1"/>
    </w:lvl>
  </w:abstractNum>
  <w:abstractNum w:abstractNumId="63">
    <w:nsid w:val="60B6DF70"/>
    <w:multiLevelType w:val="hybridMultilevel"/>
    <w:lvl w:ilvl="0">
      <w:lvlJc w:val="left"/>
      <w:lvlText w:val="(%1)"/>
      <w:numFmt w:val="lowerLetter"/>
      <w:start w:val="2"/>
    </w:lvl>
  </w:abstractNum>
  <w:abstractNum w:abstractNumId="64">
    <w:nsid w:val="6A5EE64"/>
    <w:multiLevelType w:val="hybridMultilevel"/>
    <w:lvl w:ilvl="0">
      <w:lvlJc w:val="left"/>
      <w:lvlText w:val="(%1)"/>
      <w:numFmt w:val="lowerLetter"/>
      <w:start w:val="3"/>
    </w:lvl>
  </w:abstractNum>
  <w:abstractNum w:abstractNumId="65">
    <w:nsid w:val="14330624"/>
    <w:multiLevelType w:val="hybridMultilevel"/>
    <w:lvl w:ilvl="0">
      <w:lvlJc w:val="left"/>
      <w:lvlText w:val="(%1)"/>
      <w:numFmt w:val="decimal"/>
      <w:start w:val="2"/>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1)"/>
      <w:numFmt w:val="lowerRoman"/>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1)"/>
      <w:numFmt w:val="lowerLetter"/>
      <w:start w:val="1"/>
    </w:lvl>
  </w:abstractNum>
  <w:abstractNum w:abstractNumId="77">
    <w:nsid w:val="1716703B"/>
    <w:multiLevelType w:val="hybridMultilevel"/>
    <w:lvl w:ilvl="0">
      <w:lvlJc w:val="left"/>
      <w:lvlText w:val="(%1)"/>
      <w:numFmt w:val="lowerLetter"/>
      <w:start w:val="4"/>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1)"/>
      <w:numFmt w:val="decimal"/>
      <w:start w:val="1"/>
    </w:lvl>
  </w:abstractNum>
  <w:abstractNum w:abstractNumId="80">
    <w:nsid w:val="74DE0EE3"/>
    <w:multiLevelType w:val="hybridMultilevel"/>
    <w:lvl w:ilvl="0">
      <w:lvlJc w:val="left"/>
      <w:lvlText w:val="(%1)"/>
      <w:numFmt w:val="decimal"/>
      <w:start w:val="1"/>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1)"/>
      <w:numFmt w:val="lowerRoman"/>
      <w:start w:val="1"/>
    </w:lvl>
  </w:abstractNum>
  <w:abstractNum w:abstractNumId="83">
    <w:nsid w:val="46B7D447"/>
    <w:multiLevelType w:val="hybridMultilevel"/>
    <w:lvl w:ilvl="0">
      <w:lvlJc w:val="left"/>
      <w:lvlText w:val="(%1)"/>
      <w:numFmt w:val="decimal"/>
      <w:start w:val="1"/>
    </w:lvl>
  </w:abstractNum>
  <w:abstractNum w:abstractNumId="84">
    <w:nsid w:val="4A2AC315"/>
    <w:multiLevelType w:val="hybridMultilevel"/>
    <w:lvl w:ilvl="0">
      <w:lvlJc w:val="left"/>
      <w:lvlText w:val="(%1)"/>
      <w:numFmt w:val="decimal"/>
      <w:start w:val="3"/>
    </w:lvl>
  </w:abstractNum>
  <w:abstractNum w:abstractNumId="85">
    <w:nsid w:val="39EE015C"/>
    <w:multiLevelType w:val="hybridMultilevel"/>
    <w:lvl w:ilvl="0">
      <w:lvlJc w:val="left"/>
      <w:lvlText w:val="(%1)"/>
      <w:numFmt w:val="upperLetter"/>
      <w:start w:val="2"/>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lowerRoman"/>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1)"/>
      <w:numFmt w:val="lowerLetter"/>
      <w:start w:val="1"/>
    </w:lvl>
    <w:lvl w:ilvl="1">
      <w:lvlJc w:val="left"/>
      <w:lvlText w:val="%2."/>
      <w:numFmt w:val="decimal"/>
      <w:start w:val="1"/>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1)"/>
      <w:numFmt w:val="lowerLetter"/>
      <w:start w:val="1"/>
    </w:lvl>
    <w:lvl w:ilvl="1">
      <w:lvlJc w:val="left"/>
      <w:lvlText w:val="•"/>
      <w:numFmt w:val="bullet"/>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2019-12-11T01:02:30Z</dcterms:created>
  <dcterms:modified xsi:type="dcterms:W3CDTF">2019-12-11T01:02:30Z</dcterms:modified>
</cp:coreProperties>
</file>