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36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320"/>
        </w:trPr>
        <w:tc>
          <w:tcPr>
            <w:tcW w:w="238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333-126751</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0"/>
        </w:trPr>
        <w:tc>
          <w:tcPr>
            <w:tcW w:w="2920" w:type="dxa"/>
            <w:vAlign w:val="bottom"/>
            <w:gridSpan w:val="2"/>
          </w:tcPr>
          <w:p>
            <w:pPr>
              <w:jc w:val="center"/>
              <w:ind w:left="696"/>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-335915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LAZARD GROUP LLC</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00"/>
          </w:cols>
          <w:pgMar w:left="240" w:top="592" w:right="259" w:bottom="1440" w:gutter="0" w:footer="0" w:header="0"/>
        </w:sectPr>
      </w:pPr>
    </w:p>
    <w:p>
      <w:pPr>
        <w:spacing w:after="0" w:line="24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51-0278097</w:t>
      </w:r>
    </w:p>
    <w:p>
      <w:pPr>
        <w:spacing w:after="0" w:line="31" w:lineRule="exact"/>
        <w:rPr>
          <w:sz w:val="24"/>
          <w:szCs w:val="24"/>
          <w:color w:val="auto"/>
        </w:rPr>
      </w:pPr>
    </w:p>
    <w:p>
      <w:pPr>
        <w:sectPr>
          <w:pgSz w:w="11900" w:h="16838" w:orient="portrait"/>
          <w:cols w:equalWidth="0" w:num="2">
            <w:col w:w="7480" w:space="720"/>
            <w:col w:w="3200"/>
          </w:cols>
          <w:pgMar w:left="240" w:top="592" w:right="259" w:bottom="1440" w:gutter="0" w:footer="0" w:header="0"/>
          <w:type w:val="continuous"/>
        </w:sect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245" w:lineRule="exact"/>
        <w:rPr>
          <w:sz w:val="24"/>
          <w:szCs w:val="24"/>
          <w:color w:val="auto"/>
        </w:rPr>
      </w:pPr>
    </w:p>
    <w:p>
      <w:pPr>
        <w:sectPr>
          <w:pgSz w:w="11900" w:h="16838" w:orient="portrait"/>
          <w:cols w:equalWidth="0" w:num="2">
            <w:col w:w="6820" w:space="720"/>
            <w:col w:w="3860"/>
          </w:cols>
          <w:pgMar w:left="240" w:top="592" w:right="259" w:bottom="1440" w:gutter="0" w:footer="0" w:header="0"/>
          <w:type w:val="continuous"/>
        </w:sectPr>
      </w:pPr>
    </w:p>
    <w:p>
      <w:pPr>
        <w:ind w:left="4920"/>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New York, NY 10112</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400"/>
          </w:cols>
          <w:pgMar w:left="240" w:top="592" w:right="259" w:bottom="1440" w:gutter="0" w:footer="0" w:header="0"/>
          <w:type w:val="continuous"/>
        </w:sectPr>
      </w:pP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(212) 632-6000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60" w:firstLine="51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340" w:firstLine="51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58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2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2" w:lineRule="exact"/>
        <w:rPr>
          <w:sz w:val="24"/>
          <w:szCs w:val="24"/>
          <w:color w:val="auto"/>
        </w:rPr>
      </w:pPr>
    </w:p>
    <w:p>
      <w:pPr>
        <w:ind w:right="6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right="246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19, 2019, in addition to profit participation interests, there were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746760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92" w:right="25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p>
      <w:pPr>
        <w:ind w:right="8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March 31, 2019 of all of the common membership interests in Lazard Group. Lazard Ltd controls Lazard Group through two of its indirect wholly-owned subsidiaries that are co-managing members of Lazard Group.</w:t>
      </w:r>
    </w:p>
    <w:p>
      <w:pPr>
        <w:spacing w:after="0" w:line="183"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 Lazard Group has also granted profits interest participation rights to certain of its managing directors. See Note 14 of Notes to Condensed Consolidated Financial Statements.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260" w:type="dxa"/>
            <w:vAlign w:val="bottom"/>
            <w:gridSpan w:val="5"/>
            <w:vMerge w:val="restart"/>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Financial Information</w:t>
              </w:r>
            </w:hyperlink>
          </w:p>
        </w:tc>
        <w:tc>
          <w:tcPr>
            <w:tcW w:w="8280" w:type="dxa"/>
            <w:vAlign w:val="bottom"/>
            <w:gridSpan w:val="9"/>
            <w:vMerge w:val="restart"/>
          </w:tcPr>
          <w:p>
            <w:pPr>
              <w:spacing w:after="0"/>
              <w:rPr>
                <w:sz w:val="15"/>
                <w:szCs w:val="15"/>
                <w:color w:val="auto"/>
              </w:rPr>
            </w:pPr>
          </w:p>
        </w:tc>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280" w:type="dxa"/>
            <w:vAlign w:val="bottom"/>
            <w:gridSpan w:val="9"/>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29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Item 1. Financial Statements (Unaudited)</w:t>
              </w:r>
            </w:hyperlink>
          </w:p>
        </w:tc>
        <w:tc>
          <w:tcPr>
            <w:tcW w:w="7120" w:type="dxa"/>
            <w:vAlign w:val="bottom"/>
            <w:gridSpan w:val="4"/>
          </w:tcPr>
          <w:p>
            <w:pPr>
              <w:spacing w:after="0"/>
              <w:rPr>
                <w:sz w:val="24"/>
                <w:szCs w:val="24"/>
                <w:color w:val="auto"/>
              </w:rPr>
            </w:pPr>
          </w:p>
        </w:tc>
        <w:tc>
          <w:tcPr>
            <w:tcW w:w="6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7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30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Item 3. Quantitative and Qualitative Disclosures About Market Risk</w:t>
              </w:r>
            </w:hyperlink>
          </w:p>
        </w:tc>
        <w:tc>
          <w:tcPr>
            <w:tcW w:w="518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100" w:type="dxa"/>
            <w:vAlign w:val="bottom"/>
            <w:gridSpan w:val="13"/>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Item 4. Controls and Procedures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40" w:type="dxa"/>
            <w:vAlign w:val="bottom"/>
            <w:gridSpan w:val="14"/>
          </w:tcPr>
          <w:p>
            <w:pPr>
              <w:spacing w:after="0"/>
              <w:rPr>
                <w:rFonts w:ascii="Times New Roman" w:cs="Times New Roman" w:eastAsia="Times New Roman" w:hAnsi="Times New Roman"/>
                <w:sz w:val="18"/>
                <w:szCs w:val="18"/>
                <w:b w:val="1"/>
                <w:bCs w:val="1"/>
                <w:color w:val="0000EE"/>
              </w:rPr>
            </w:pPr>
            <w:hyperlink w:anchor="page65">
              <w:r>
                <w:rPr>
                  <w:rFonts w:ascii="Times New Roman" w:cs="Times New Roman" w:eastAsia="Times New Roman" w:hAnsi="Times New Roman"/>
                  <w:sz w:val="18"/>
                  <w:szCs w:val="18"/>
                  <w:b w:val="1"/>
                  <w:bCs w:val="1"/>
                  <w:color w:val="0000EE"/>
                </w:rPr>
                <w:t>Part II.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Item 1. Legal Proceedings</w:t>
              </w:r>
            </w:hyperlink>
          </w:p>
        </w:tc>
        <w:tc>
          <w:tcPr>
            <w:tcW w:w="820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Item 1A. Risk Factors</w:t>
              </w:r>
            </w:hyperlink>
          </w:p>
        </w:tc>
        <w:tc>
          <w:tcPr>
            <w:tcW w:w="8480" w:type="dxa"/>
            <w:vAlign w:val="bottom"/>
            <w:gridSpan w:val="10"/>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100" w:type="dxa"/>
            <w:vAlign w:val="bottom"/>
            <w:gridSpan w:val="13"/>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 2. Unregistered Sales of Equity Securities and Use of Proceeds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0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 3. Defaults Upon Senior Securities</w:t>
              </w:r>
            </w:hyperlink>
          </w:p>
        </w:tc>
        <w:tc>
          <w:tcPr>
            <w:tcW w:w="5200" w:type="dxa"/>
            <w:vAlign w:val="bottom"/>
            <w:gridSpan w:val="3"/>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8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 4. Mine Safety Disclosures</w:t>
              </w:r>
            </w:hyperlink>
          </w:p>
        </w:tc>
        <w:tc>
          <w:tcPr>
            <w:tcW w:w="7220" w:type="dxa"/>
            <w:vAlign w:val="bottom"/>
            <w:gridSpan w:val="5"/>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Item 5. Other Information</w:t>
              </w:r>
            </w:hyperlink>
          </w:p>
        </w:tc>
        <w:tc>
          <w:tcPr>
            <w:tcW w:w="440" w:type="dxa"/>
            <w:vAlign w:val="bottom"/>
            <w:tcBorders>
              <w:top w:val="single" w:sz="8" w:color="0000EE"/>
            </w:tcBorders>
            <w:gridSpan w:val="2"/>
          </w:tcPr>
          <w:p>
            <w:pPr>
              <w:spacing w:after="0"/>
              <w:rPr>
                <w:sz w:val="24"/>
                <w:szCs w:val="24"/>
                <w:color w:val="auto"/>
              </w:rPr>
            </w:pPr>
          </w:p>
        </w:tc>
        <w:tc>
          <w:tcPr>
            <w:tcW w:w="778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66">
              <w:r>
                <w:rPr>
                  <w:rFonts w:ascii="Times New Roman" w:cs="Times New Roman" w:eastAsia="Times New Roman" w:hAnsi="Times New Roman"/>
                  <w:sz w:val="18"/>
                  <w:szCs w:val="18"/>
                  <w:color w:val="0000EE"/>
                  <w:w w:val="98"/>
                </w:rPr>
                <w:t>Item 6. Exhibits</w:t>
              </w:r>
            </w:hyperlink>
          </w:p>
        </w:tc>
        <w:tc>
          <w:tcPr>
            <w:tcW w:w="8940" w:type="dxa"/>
            <w:vAlign w:val="bottom"/>
            <w:gridSpan w:val="11"/>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318"/>
        </w:trPr>
        <w:tc>
          <w:tcPr>
            <w:tcW w:w="82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8">
              <w:r>
                <w:rPr>
                  <w:rFonts w:ascii="Times New Roman" w:cs="Times New Roman" w:eastAsia="Times New Roman" w:hAnsi="Times New Roman"/>
                  <w:sz w:val="18"/>
                  <w:szCs w:val="18"/>
                  <w:b w:val="1"/>
                  <w:bCs w:val="1"/>
                  <w:color w:val="0000EE"/>
                  <w:w w:val="97"/>
                </w:rPr>
                <w:t>Signatures</w:t>
              </w:r>
            </w:hyperlink>
          </w:p>
        </w:tc>
        <w:tc>
          <w:tcPr>
            <w:tcW w:w="9720" w:type="dxa"/>
            <w:vAlign w:val="bottom"/>
            <w:gridSpan w:val="12"/>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94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Financial Condition as of March 31, 2019 and December 31, 2018</w:t>
              </w:r>
            </w:hyperlink>
          </w:p>
        </w:tc>
        <w:tc>
          <w:tcPr>
            <w:tcW w:w="308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 for the three month periods ended March 31, 2019 and 2018</w:t>
              </w:r>
            </w:hyperlink>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89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Comprehensive Income for the three month periods ended March 31, 2019 and 2018</w:t>
              </w:r>
            </w:hyperlink>
          </w:p>
        </w:tc>
        <w:tc>
          <w:tcPr>
            <w:tcW w:w="176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three month periods ended March 31, 2019 and 2018</w:t>
              </w:r>
            </w:hyperlink>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93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Condensed Consolidated Statements of Changes in Members’ Equity for the three month periods ended March 31, 2019 and 2018</w:t>
              </w:r>
            </w:hyperlink>
          </w:p>
        </w:tc>
        <w:tc>
          <w:tcPr>
            <w:tcW w:w="136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Notes to Condensed Consolidated Financial Statements</w:t>
              </w:r>
            </w:hyperlink>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3" w:name="page4"/>
    <w:bookmarkEnd w:id="3"/>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 AND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60" w:type="dxa"/>
            <w:vAlign w:val="bottom"/>
            <w:tcBorders>
              <w:bottom w:val="single" w:sz="8" w:color="CFF0FC"/>
            </w:tcBorders>
          </w:tcPr>
          <w:p>
            <w:pPr>
              <w:spacing w:after="0"/>
              <w:rPr>
                <w:sz w:val="15"/>
                <w:szCs w:val="15"/>
                <w:color w:val="auto"/>
              </w:rPr>
            </w:pPr>
          </w:p>
        </w:tc>
        <w:tc>
          <w:tcPr>
            <w:tcW w:w="8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1,003,201</w:t>
            </w:r>
          </w:p>
        </w:tc>
        <w:tc>
          <w:tcPr>
            <w:tcW w:w="28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1,185,040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1,138,010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1,006,969</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38,379</w:t>
            </w:r>
          </w:p>
        </w:tc>
        <w:tc>
          <w:tcPr>
            <w:tcW w:w="120" w:type="dxa"/>
            <w:vAlign w:val="bottom"/>
          </w:tcPr>
          <w:p>
            <w:pPr>
              <w:spacing w:after="0"/>
              <w:rPr>
                <w:sz w:val="19"/>
                <w:szCs w:val="19"/>
                <w:color w:val="auto"/>
              </w:rPr>
            </w:pPr>
          </w:p>
        </w:tc>
      </w:tr>
      <w:tr>
        <w:trPr>
          <w:trHeight w:val="211"/>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(net of allowance for doubtful accounts of $43,208 and $40,115 at</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March 31, 2019 and December 31, 2018, respectively):</w:t>
            </w: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499,068</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Customers and other</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184,137</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Lazard Ltd subsidiaries</w:t>
            </w:r>
          </w:p>
        </w:tc>
        <w:tc>
          <w:tcPr>
            <w:tcW w:w="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21,103</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721,938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704,308</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575,148</w:t>
            </w:r>
          </w:p>
        </w:tc>
        <w:tc>
          <w:tcPr>
            <w:tcW w:w="120" w:type="dxa"/>
            <w:vAlign w:val="bottom"/>
          </w:tcPr>
          <w:p>
            <w:pPr>
              <w:spacing w:after="0"/>
              <w:rPr>
                <w:sz w:val="19"/>
                <w:szCs w:val="19"/>
                <w:color w:val="auto"/>
              </w:rPr>
            </w:pPr>
          </w:p>
        </w:tc>
      </w:tr>
      <w:tr>
        <w:trPr>
          <w:trHeight w:val="211"/>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(net of accumulated amortization and depreciation of $342,460 and $339,448</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 March 31, 2019 and December 31, 2018, respectively)</w:t>
            </w: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208,432</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211,713</w:t>
            </w: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1"/>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other intangible assets (net of accumulated amortization of $64,004 and</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$63,591 at March 31, 2019 and December 31, 2018, respectively)</w:t>
            </w: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354,412</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354,463</w:t>
            </w: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55,042</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258,413</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8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4,954,731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4,389,475</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 AND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00" w:type="dxa"/>
            <w:vAlign w:val="bottom"/>
            <w:tcBorders>
              <w:bottom w:val="single" w:sz="8" w:color="CFF0FC"/>
            </w:tcBorders>
          </w:tcPr>
          <w:p>
            <w:pPr>
              <w:spacing w:after="0"/>
              <w:rPr>
                <w:sz w:val="15"/>
                <w:szCs w:val="15"/>
                <w:color w:val="auto"/>
              </w:rPr>
            </w:pPr>
          </w:p>
        </w:tc>
        <w:tc>
          <w:tcPr>
            <w:tcW w:w="8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11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1,315,867</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1,154,208</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583,730</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debt</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1,759,297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1,434,260</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Payable to Lazard Ltd subsidiaries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63,185</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509,254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565,801</w:t>
            </w:r>
          </w:p>
        </w:tc>
        <w:tc>
          <w:tcPr>
            <w:tcW w:w="120" w:type="dxa"/>
            <w:vAlign w:val="bottom"/>
            <w:shd w:val="clear" w:color="auto" w:fill="CFF0FC"/>
          </w:tcPr>
          <w:p>
            <w:pPr>
              <w:spacing w:after="0"/>
              <w:rPr>
                <w:sz w:val="19"/>
                <w:szCs w:val="19"/>
                <w:color w:val="auto"/>
              </w:rPr>
            </w:pPr>
          </w:p>
        </w:tc>
      </w:tr>
      <w:tr>
        <w:trPr>
          <w:trHeight w:val="223"/>
        </w:trPr>
        <w:tc>
          <w:tcPr>
            <w:tcW w:w="7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4,527,886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3,806,723</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Members' equity (net of 17,008,317 and 16,737,000 shares of Lazard Ltd Class A</w:t>
            </w: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at a cost of $711,597 and $729,910 at March 31, 2019 and</w:t>
            </w: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December 31, 2018, respectively)</w:t>
            </w: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599,773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758,705</w:t>
            </w:r>
          </w:p>
        </w:tc>
        <w:tc>
          <w:tcPr>
            <w:tcW w:w="120" w:type="dxa"/>
            <w:vAlign w:val="bottom"/>
            <w:shd w:val="clear" w:color="auto" w:fill="CFF0FC"/>
          </w:tcPr>
          <w:p>
            <w:pPr>
              <w:spacing w:after="0"/>
              <w:rPr>
                <w:sz w:val="20"/>
                <w:szCs w:val="20"/>
                <w:color w:val="auto"/>
              </w:rPr>
            </w:pPr>
          </w:p>
        </w:tc>
      </w:tr>
      <w:tr>
        <w:trPr>
          <w:trHeight w:val="230"/>
        </w:trPr>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(224,551)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(228,660)</w:t>
            </w:r>
          </w:p>
        </w:tc>
      </w:tr>
      <w:tr>
        <w:trPr>
          <w:trHeight w:val="223"/>
        </w:trPr>
        <w:tc>
          <w:tcPr>
            <w:tcW w:w="70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Lazard Group LLC Members' Equity</w:t>
            </w:r>
          </w:p>
        </w:tc>
        <w:tc>
          <w:tcPr>
            <w:tcW w:w="8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375,222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52,707</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Members’ Equity</w:t>
            </w:r>
          </w:p>
        </w:tc>
        <w:tc>
          <w:tcPr>
            <w:tcW w:w="8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582,752</w:t>
            </w:r>
          </w:p>
        </w:tc>
        <w:tc>
          <w:tcPr>
            <w:tcW w:w="120" w:type="dxa"/>
            <w:vAlign w:val="bottom"/>
            <w:shd w:val="clear" w:color="auto" w:fill="CFF0FC"/>
          </w:tcPr>
          <w:p>
            <w:pPr>
              <w:spacing w:after="0"/>
              <w:rPr>
                <w:sz w:val="19"/>
                <w:szCs w:val="19"/>
                <w:color w:val="auto"/>
              </w:rPr>
            </w:pPr>
          </w:p>
        </w:tc>
      </w:tr>
      <w:tr>
        <w:trPr>
          <w:trHeight w:val="223"/>
        </w:trPr>
        <w:tc>
          <w:tcPr>
            <w:tcW w:w="7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8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4,954,731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4,389,475</w:t>
            </w:r>
          </w:p>
        </w:tc>
        <w:tc>
          <w:tcPr>
            <w:tcW w:w="12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78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banking and other advisory fees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319,355</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408,072</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management fees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292,438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338,096</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29,534</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18,877</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644,891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767,733</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revenue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626,002</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753,261</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370,248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403,307</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Occupancy and equipment</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Technology and information services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services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Fund administration and outsourced services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and other acquisition-related (benefits) costs</w:t>
            </w: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26,134</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517,139</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566,309</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108,863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186,952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18,615</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92,875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168,337</w:t>
            </w:r>
          </w:p>
        </w:tc>
        <w:tc>
          <w:tcPr>
            <w:tcW w:w="100" w:type="dxa"/>
            <w:vAlign w:val="bottom"/>
            <w:shd w:val="clear" w:color="auto" w:fill="CFF0FC"/>
          </w:tcPr>
          <w:p>
            <w:pPr>
              <w:spacing w:after="0"/>
              <w:rPr>
                <w:sz w:val="19"/>
                <w:szCs w:val="19"/>
                <w:color w:val="auto"/>
              </w:rPr>
            </w:pPr>
          </w:p>
        </w:tc>
      </w:tr>
      <w:tr>
        <w:trPr>
          <w:trHeight w:val="207"/>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 NET INCOME (LOSS) ATTRIBUTABLE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 NONCONTROLLING INTERESTS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20"/>
                <w:szCs w:val="20"/>
                <w:color w:val="auto"/>
              </w:rPr>
            </w:pPr>
          </w:p>
        </w:tc>
      </w:tr>
      <w:tr>
        <w:trPr>
          <w:trHeight w:val="223"/>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LAZARD GROUP LLC</w:t>
            </w: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93,441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2019 AND 2018</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79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9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168,337</w:t>
            </w:r>
          </w:p>
        </w:tc>
        <w:tc>
          <w:tcPr>
            <w:tcW w:w="100" w:type="dxa"/>
            <w:vAlign w:val="bottom"/>
            <w:shd w:val="clear" w:color="auto" w:fill="CFF0FC"/>
          </w:tcPr>
          <w:p>
            <w:pPr>
              <w:spacing w:after="0"/>
              <w:rPr>
                <w:sz w:val="19"/>
                <w:szCs w:val="19"/>
                <w:color w:val="auto"/>
              </w:rPr>
            </w:pPr>
          </w:p>
        </w:tc>
      </w:tr>
      <w:tr>
        <w:trPr>
          <w:trHeight w:val="201"/>
        </w:trPr>
        <w:tc>
          <w:tcPr>
            <w:tcW w:w="79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OTHER COMPREHENSIVE INCOME (LOSS), NET OF</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TAX:</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18,949</w:t>
            </w:r>
          </w:p>
        </w:tc>
        <w:tc>
          <w:tcPr>
            <w:tcW w:w="100" w:type="dxa"/>
            <w:vAlign w:val="bottom"/>
            <w:shd w:val="clear" w:color="auto" w:fill="CFF0FC"/>
          </w:tcPr>
          <w:p>
            <w:pPr>
              <w:spacing w:after="0"/>
              <w:rPr>
                <w:sz w:val="19"/>
                <w:szCs w:val="19"/>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benefit plans:</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Actuarial gain (loss) (net of tax expense (benefit) of</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$300 and $(1,342) for the three months ended</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March 31, 2019 and 2018, respectively)</w:t>
            </w:r>
          </w:p>
        </w:tc>
        <w:tc>
          <w:tcPr>
            <w:tcW w:w="9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(5,014)</w:t>
            </w:r>
          </w:p>
        </w:tc>
      </w:tr>
      <w:tr>
        <w:trPr>
          <w:trHeight w:val="211"/>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 for items reclassified to earnings (net of</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tax expense of $178 and $216 for the three months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20" w:type="dxa"/>
            <w:vAlign w:val="bottom"/>
            <w:tcBorders>
              <w:bottom w:val="single" w:sz="8" w:color="CFF0FC"/>
            </w:tcBorders>
          </w:tcPr>
          <w:p>
            <w:pPr>
              <w:ind w:left="640"/>
              <w:spacing w:after="0"/>
              <w:rPr>
                <w:sz w:val="20"/>
                <w:szCs w:val="20"/>
                <w:color w:val="auto"/>
              </w:rPr>
            </w:pPr>
            <w:r>
              <w:rPr>
                <w:rFonts w:ascii="Times New Roman" w:cs="Times New Roman" w:eastAsia="Times New Roman" w:hAnsi="Times New Roman"/>
                <w:sz w:val="18"/>
                <w:szCs w:val="18"/>
                <w:color w:val="auto"/>
              </w:rPr>
              <w:t>ended March 31, 2019 and 2018, respectively)</w:t>
            </w: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FF0FC"/>
            </w:tcBorders>
          </w:tcPr>
          <w:p>
            <w:pPr>
              <w:spacing w:after="0"/>
              <w:rPr>
                <w:sz w:val="20"/>
                <w:szCs w:val="20"/>
                <w:color w:val="auto"/>
              </w:rPr>
            </w:pPr>
          </w:p>
        </w:tc>
      </w:tr>
      <w:tr>
        <w:trPr>
          <w:trHeight w:val="22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100" w:type="dxa"/>
            <w:vAlign w:val="bottom"/>
            <w:shd w:val="clear" w:color="auto" w:fill="CFF0FC"/>
          </w:tcPr>
          <w:p>
            <w:pPr>
              <w:spacing w:after="0"/>
              <w:rPr>
                <w:sz w:val="19"/>
                <w:szCs w:val="19"/>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183,334</w:t>
            </w:r>
          </w:p>
        </w:tc>
        <w:tc>
          <w:tcPr>
            <w:tcW w:w="100" w:type="dxa"/>
            <w:vAlign w:val="bottom"/>
          </w:tcPr>
          <w:p>
            <w:pPr>
              <w:spacing w:after="0"/>
              <w:rPr>
                <w:sz w:val="19"/>
                <w:szCs w:val="19"/>
                <w:color w:val="auto"/>
              </w:rPr>
            </w:pPr>
          </w:p>
        </w:tc>
      </w:tr>
      <w:tr>
        <w:trPr>
          <w:trHeight w:val="207"/>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LESS - COMPREHENSIVE INCOME (LOSS) ATTRIBUTABLE TO</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7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9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FF0FC"/>
          </w:tcPr>
          <w:p>
            <w:pPr>
              <w:spacing w:after="0"/>
              <w:rPr>
                <w:sz w:val="20"/>
                <w:szCs w:val="20"/>
                <w:color w:val="auto"/>
              </w:rPr>
            </w:pPr>
          </w:p>
        </w:tc>
      </w:tr>
      <w:tr>
        <w:trPr>
          <w:trHeight w:val="201"/>
        </w:trPr>
        <w:tc>
          <w:tcPr>
            <w:tcW w:w="79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INCOME ATTRIBUTABLE TO</w:t>
            </w:r>
          </w:p>
        </w:tc>
        <w:tc>
          <w:tcPr>
            <w:tcW w:w="9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LAZARD GROUP LLC</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97,550</w:t>
            </w:r>
          </w:p>
        </w:tc>
        <w:tc>
          <w:tcPr>
            <w:tcW w:w="300" w:type="dxa"/>
            <w:vAlign w:val="bottom"/>
          </w:tcPr>
          <w:p>
            <w:pPr>
              <w:spacing w:after="0"/>
              <w:rPr>
                <w:sz w:val="20"/>
                <w:szCs w:val="20"/>
                <w:color w:val="auto"/>
              </w:rPr>
            </w:pPr>
          </w:p>
        </w:tc>
        <w:tc>
          <w:tcPr>
            <w:tcW w:w="560" w:type="dxa"/>
            <w:vAlign w:val="bottom"/>
            <w:tcBorders>
              <w:bottom w:val="single" w:sz="8" w:color="auto"/>
            </w:tcBorders>
            <w:gridSpan w:val="2"/>
          </w:tcPr>
          <w:p>
            <w:pPr>
              <w:jc w:val="right"/>
              <w:ind w:right="42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181,365</w:t>
            </w:r>
          </w:p>
        </w:tc>
        <w:tc>
          <w:tcPr>
            <w:tcW w:w="100" w:type="dxa"/>
            <w:vAlign w:val="bottom"/>
          </w:tcPr>
          <w:p>
            <w:pPr>
              <w:spacing w:after="0"/>
              <w:rPr>
                <w:sz w:val="20"/>
                <w:szCs w:val="20"/>
                <w:color w:val="auto"/>
              </w:rPr>
            </w:pPr>
          </w:p>
        </w:tc>
      </w:tr>
      <w:tr>
        <w:trPr>
          <w:trHeight w:val="20"/>
        </w:trPr>
        <w:tc>
          <w:tcPr>
            <w:tcW w:w="7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7" w:name="page8"/>
    <w:bookmarkEnd w:id="7"/>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80" w:type="dxa"/>
            <w:vAlign w:val="bottom"/>
            <w:gridSpan w:val="6"/>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8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92,875</w:t>
            </w:r>
          </w:p>
        </w:tc>
        <w:tc>
          <w:tcPr>
            <w:tcW w:w="160" w:type="dxa"/>
            <w:vAlign w:val="bottom"/>
          </w:tcPr>
          <w:p>
            <w:pPr>
              <w:spacing w:after="0"/>
              <w:rPr>
                <w:sz w:val="14"/>
                <w:szCs w:val="14"/>
                <w:color w:val="auto"/>
              </w:rPr>
            </w:pP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8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(used in)</w:t>
            </w: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operating activities:</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 of property</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Noncash lease expense</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Amortization of deferred expenses and share-based incentive compensation</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Amortization and other acquisition-related (benefits) costs</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(684)</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Deferred tax provision (benefit)</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(2,326)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8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(Increase) decrease in operating assets and increase (decrease) in</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liabilities:</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Receivables-net</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(21,886)</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(134,966)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Investments</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(40,160)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Other assets</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(84,911)</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(137,580)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Accrued compensation and benefits and other liabilities</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(254,708)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(149,082)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Borders>
              <w:top w:val="single" w:sz="8" w:color="CFF0FC"/>
            </w:tcBorders>
            <w:shd w:val="clear" w:color="auto" w:fill="CFF0FC"/>
          </w:tcPr>
          <w:p>
            <w:pPr>
              <w:ind w:left="720"/>
              <w:spacing w:after="0" w:line="155"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0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1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(182,702)</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1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(67,998)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Additions to property</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(5,867)</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(16,072)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4"/>
                <w:szCs w:val="14"/>
                <w:color w:val="auto"/>
              </w:rPr>
              <w:t>Disposals of property</w:t>
            </w:r>
          </w:p>
        </w:tc>
        <w:tc>
          <w:tcPr>
            <w:tcW w:w="10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shd w:val="clear" w:color="auto" w:fill="CFF0FC"/>
          </w:tcPr>
          <w:p>
            <w:pPr>
              <w:ind w:left="72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06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(5,797)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(14,841)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Proceeds from:</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Issuance of senior debt, net of expenses</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491,875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Customer deposits</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185,871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for:</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Senior debt</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(171,668)</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Customer deposits</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(100,341)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(1,476)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 of Class A common stock</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(192,097)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(145,949)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Distributions to members</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(52,210)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(203,920)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Settlement of share-based incentive compensation</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(90,657)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(101,042)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(3,082)</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(3,775)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Borders>
              <w:bottom w:val="single" w:sz="8" w:color="CFF0FC"/>
            </w:tcBorders>
          </w:tcPr>
          <w:p>
            <w:pPr>
              <w:ind w:left="720"/>
              <w:spacing w:after="0" w:line="155"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168,438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(556,478)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7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 AND</w:t>
            </w: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(29,814)</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49,410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6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 AND</w:t>
            </w: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80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(49,875)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(589,907)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CASH—January 1</w:t>
            </w:r>
          </w:p>
        </w:tc>
        <w:tc>
          <w:tcPr>
            <w:tcW w:w="106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2,230,388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2,441,266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CASH—March 31</w:t>
            </w:r>
          </w:p>
        </w:tc>
        <w:tc>
          <w:tcPr>
            <w:tcW w:w="106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2,180,513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1,851,359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78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678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WITHIN THE CONDENSED CONSOLIDATED STATEMENTS OF FINANCIAL</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1,003,201</w:t>
            </w:r>
          </w:p>
        </w:tc>
        <w:tc>
          <w:tcPr>
            <w:tcW w:w="160" w:type="dxa"/>
            <w:vAlign w:val="bottom"/>
          </w:tcPr>
          <w:p>
            <w:pPr>
              <w:spacing w:after="0"/>
              <w:rPr>
                <w:sz w:val="14"/>
                <w:szCs w:val="14"/>
                <w:color w:val="auto"/>
              </w:rPr>
            </w:pP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1,185,040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Deposits with banks and short-term investments</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1,138,010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1,006,969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4"/>
                <w:szCs w:val="14"/>
                <w:color w:val="auto"/>
              </w:rPr>
              <w:t>Cash deposited with clearing organizations and other segregated cash</w:t>
            </w:r>
          </w:p>
        </w:tc>
        <w:tc>
          <w:tcPr>
            <w:tcW w:w="10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39,302</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38,379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CASH AND CASH EQUIVALENTS AND RESTRICTED CASH</w:t>
            </w:r>
          </w:p>
        </w:tc>
        <w:tc>
          <w:tcPr>
            <w:tcW w:w="106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2,180,513</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2,230,388</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MEMBERS’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 ENDED 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Lazard Group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2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Members'</w:t>
            </w:r>
          </w:p>
        </w:tc>
      </w:tr>
      <w:tr>
        <w:trPr>
          <w:trHeight w:val="165"/>
        </w:trPr>
        <w:tc>
          <w:tcPr>
            <w:tcW w:w="2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Net of Tax</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10"/>
        </w:trPr>
        <w:tc>
          <w:tcPr>
            <w:tcW w:w="46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 January 1, 2018 (*)</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1,043,574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(195,256)</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848,318</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58,582</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906,900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6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168,337</w:t>
            </w:r>
          </w:p>
        </w:tc>
        <w:tc>
          <w:tcPr>
            <w:tcW w:w="100" w:type="dxa"/>
            <w:vAlign w:val="bottom"/>
            <w:shd w:val="clear" w:color="auto" w:fill="CFF0FC"/>
          </w:tcPr>
          <w:p>
            <w:pPr>
              <w:spacing w:after="0"/>
              <w:rPr>
                <w:sz w:val="19"/>
                <w:szCs w:val="19"/>
                <w:color w:val="auto"/>
              </w:rPr>
            </w:pPr>
          </w:p>
        </w:tc>
      </w:tr>
      <w:tr>
        <w:trPr>
          <w:trHeight w:val="210"/>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comprehensive income -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14,997</w:t>
            </w:r>
          </w:p>
        </w:tc>
        <w:tc>
          <w:tcPr>
            <w:tcW w:w="100" w:type="dxa"/>
            <w:vAlign w:val="bottom"/>
          </w:tcPr>
          <w:p>
            <w:pPr>
              <w:spacing w:after="0"/>
              <w:rPr>
                <w:sz w:val="18"/>
                <w:szCs w:val="18"/>
                <w:color w:val="auto"/>
              </w:rPr>
            </w:pPr>
          </w:p>
        </w:tc>
      </w:tr>
      <w:tr>
        <w:trPr>
          <w:trHeight w:val="222"/>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share-based incentive compensation</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82,820</w:t>
            </w:r>
          </w:p>
        </w:tc>
        <w:tc>
          <w:tcPr>
            <w:tcW w:w="100" w:type="dxa"/>
            <w:vAlign w:val="bottom"/>
            <w:shd w:val="clear" w:color="auto" w:fill="CFF0FC"/>
          </w:tcPr>
          <w:p>
            <w:pPr>
              <w:spacing w:after="0"/>
              <w:rPr>
                <w:sz w:val="19"/>
                <w:szCs w:val="19"/>
                <w:color w:val="auto"/>
              </w:rPr>
            </w:pPr>
          </w:p>
        </w:tc>
      </w:tr>
      <w:tr>
        <w:trPr>
          <w:trHeight w:val="210"/>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Distributions to members and noncontrolling interests, net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(203,920)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(203,920)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(205,396)</w:t>
            </w:r>
          </w:p>
        </w:tc>
      </w:tr>
      <w:tr>
        <w:trPr>
          <w:trHeight w:val="222"/>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Class A common stock</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(145,949)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(145,949)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(145,949)</w:t>
            </w:r>
          </w:p>
        </w:tc>
      </w:tr>
      <w:tr>
        <w:trPr>
          <w:trHeight w:val="202"/>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Delivery of Class A common stock in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connection with share-based incentive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(101,042)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(101,042)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(101,042)</w:t>
            </w:r>
          </w:p>
        </w:tc>
      </w:tr>
      <w:tr>
        <w:trPr>
          <w:trHeight w:val="222"/>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Business acquisitions and related equity transactions: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2"/>
        </w:trPr>
        <w:tc>
          <w:tcPr>
            <w:tcW w:w="46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Class A common stock issuable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6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(including related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r>
      <w:tr>
        <w:trPr>
          <w:trHeight w:val="222"/>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(3,604)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(3,604)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(3,604)</w:t>
            </w:r>
          </w:p>
        </w:tc>
      </w:tr>
      <w:tr>
        <w:trPr>
          <w:trHeight w:val="208"/>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 March 31, 2018 (*)</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838,340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(180,259)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658,081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59,075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717,156</w:t>
            </w:r>
          </w:p>
        </w:tc>
        <w:tc>
          <w:tcPr>
            <w:tcW w:w="10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230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At both January 1, 2018 and March 31, 2018, in addition to profit participation interests, there were two managing member interests.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MEMBERS’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 ENDED 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3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2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Lazard Group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162"/>
        </w:trPr>
        <w:tc>
          <w:tcPr>
            <w:tcW w:w="2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Income (Loss),</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Members'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Noncontrolling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Members'</w:t>
            </w:r>
          </w:p>
        </w:tc>
      </w:tr>
      <w:tr>
        <w:trPr>
          <w:trHeight w:val="165"/>
        </w:trPr>
        <w:tc>
          <w:tcPr>
            <w:tcW w:w="2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Net of Tax</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10"/>
        </w:trPr>
        <w:tc>
          <w:tcPr>
            <w:tcW w:w="47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 January 1, 2019 (*)</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758,705</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(228,660)</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530,045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52,707</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582,752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(566)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92,875</w:t>
            </w:r>
          </w:p>
        </w:tc>
        <w:tc>
          <w:tcPr>
            <w:tcW w:w="120" w:type="dxa"/>
            <w:vAlign w:val="bottom"/>
            <w:shd w:val="clear" w:color="auto" w:fill="CFF0FC"/>
          </w:tcPr>
          <w:p>
            <w:pPr>
              <w:spacing w:after="0"/>
              <w:rPr>
                <w:sz w:val="19"/>
                <w:szCs w:val="19"/>
                <w:color w:val="auto"/>
              </w:rPr>
            </w:pPr>
          </w:p>
        </w:tc>
      </w:tr>
      <w:tr>
        <w:trPr>
          <w:trHeight w:val="210"/>
        </w:trPr>
        <w:tc>
          <w:tcPr>
            <w:tcW w:w="4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 comprehensive income - net of tax</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w:t>
            </w:r>
          </w:p>
        </w:tc>
        <w:tc>
          <w:tcPr>
            <w:tcW w:w="120" w:type="dxa"/>
            <w:vAlign w:val="bottom"/>
          </w:tcPr>
          <w:p>
            <w:pPr>
              <w:spacing w:after="0"/>
              <w:rPr>
                <w:sz w:val="18"/>
                <w:szCs w:val="18"/>
                <w:color w:val="auto"/>
              </w:rPr>
            </w:pPr>
          </w:p>
        </w:tc>
      </w:tr>
      <w:tr>
        <w:trPr>
          <w:trHeight w:val="222"/>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share-based incentive compensation</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84,681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84,681</w:t>
            </w:r>
          </w:p>
        </w:tc>
        <w:tc>
          <w:tcPr>
            <w:tcW w:w="120" w:type="dxa"/>
            <w:vAlign w:val="bottom"/>
            <w:shd w:val="clear" w:color="auto" w:fill="CFF0FC"/>
          </w:tcPr>
          <w:p>
            <w:pPr>
              <w:spacing w:after="0"/>
              <w:rPr>
                <w:sz w:val="19"/>
                <w:szCs w:val="19"/>
                <w:color w:val="auto"/>
              </w:rPr>
            </w:pP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Distributions to members and noncontrolling interests,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(52,210)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(52,210)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(52,729)</w:t>
            </w:r>
          </w:p>
        </w:tc>
      </w:tr>
      <w:tr>
        <w:trPr>
          <w:trHeight w:val="222"/>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Class A common stock</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(192,097)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(192,097)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(192,097)</w:t>
            </w:r>
          </w:p>
        </w:tc>
      </w:tr>
      <w:tr>
        <w:trPr>
          <w:trHeight w:val="202"/>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Delivery of Class A common stock in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connection with share-based incentive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compensation and related tax benefit of $88</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(90,569)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(90,569)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(90,569)</w:t>
            </w:r>
          </w:p>
        </w:tc>
      </w:tr>
      <w:tr>
        <w:trPr>
          <w:trHeight w:val="208"/>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Business acquisitions and related equity</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transactions: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2"/>
        </w:trPr>
        <w:tc>
          <w:tcPr>
            <w:tcW w:w="4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Class A common stock issuable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4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(including related amortization)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r>
      <w:tr>
        <w:trPr>
          <w:trHeight w:val="222"/>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(2,231)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(2,231)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(2,231)</w:t>
            </w:r>
          </w:p>
        </w:tc>
      </w:tr>
      <w:tr>
        <w:trPr>
          <w:trHeight w:val="208"/>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 March 31, 2019 (*)</w:t>
            </w: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599,773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(224,551)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375,222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51,623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426,845</w:t>
            </w:r>
          </w:p>
        </w:tc>
        <w:tc>
          <w:tcPr>
            <w:tcW w:w="12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7"/>
        </w:trPr>
        <w:tc>
          <w:tcPr>
            <w:tcW w:w="2300" w:type="dxa"/>
            <w:vAlign w:val="bottom"/>
            <w:tcBorders>
              <w:bottom w:val="single" w:sz="8" w:color="auto"/>
            </w:tcBorders>
          </w:tcPr>
          <w:p>
            <w:pPr>
              <w:spacing w:after="0"/>
              <w:rPr>
                <w:sz w:val="10"/>
                <w:szCs w:val="10"/>
                <w:color w:val="auto"/>
              </w:rPr>
            </w:pPr>
          </w:p>
        </w:tc>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At both January 1, 2019 and March 31, 2019, in addition to profit participation interests, there were two managing member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 w:name="page11"/>
    <w:bookmarkEnd w:id="10"/>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30"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those of Lazard Group LLC and its subsidiaries (collectively referred to as “Lazard Group”, “we” or the “Company”). Lazard Group is a Delaware limited liability company and as of December 31, 2018 was governed by an Amended and Restated Operating Agreement dated as of October 26, 2015, as amended (the “Operating Agreement”). The Operating Agreement was subsequently amended and restated on February 4, 2019.</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0"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Lazard Ltd indirectly held 100% of all outstanding Lazard Group common membership interests as of March 31, 2019 and December 31, 2018. Lazard Ltd, through its control of the managing members of Lazard Group, controls Lazard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Lazard Group’s principal operating activities are included in two business segments:</w:t>
      </w:r>
    </w:p>
    <w:p>
      <w:pPr>
        <w:spacing w:after="0" w:line="117" w:lineRule="exact"/>
        <w:rPr>
          <w:sz w:val="20"/>
          <w:szCs w:val="20"/>
          <w:color w:val="auto"/>
        </w:rPr>
      </w:pPr>
    </w:p>
    <w:p>
      <w:pPr>
        <w:ind w:left="900" w:right="100" w:hanging="379"/>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and</w:t>
      </w:r>
    </w:p>
    <w:p>
      <w:pPr>
        <w:spacing w:after="0" w:line="68" w:lineRule="exact"/>
        <w:rPr>
          <w:rFonts w:ascii="Times New Roman" w:cs="Times New Roman" w:eastAsia="Times New Roman" w:hAnsi="Times New Roman"/>
          <w:sz w:val="18"/>
          <w:szCs w:val="18"/>
          <w:color w:val="auto"/>
        </w:rPr>
      </w:pPr>
    </w:p>
    <w:p>
      <w:pPr>
        <w:ind w:left="900" w:right="200" w:hanging="379"/>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76"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2018. The accompanying December 31, 2018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8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4"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consolidated results of operations for the three month period ended March 31, 2019 are not indicative of the results to be expected for any future interim or annual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 w:name="page12"/>
    <w:bookmarkEnd w:id="11"/>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(“VOEs”) where the Company holds a majority of the voting interest in such VOEs, and</w:t>
      </w:r>
    </w:p>
    <w:p>
      <w:pPr>
        <w:spacing w:after="0" w:line="117" w:lineRule="exact"/>
        <w:rPr>
          <w:rFonts w:ascii="Times New Roman" w:cs="Times New Roman" w:eastAsia="Times New Roman" w:hAnsi="Times New Roman"/>
          <w:sz w:val="18"/>
          <w:szCs w:val="18"/>
          <w:color w:val="auto"/>
        </w:rPr>
      </w:pPr>
    </w:p>
    <w:p>
      <w:pPr>
        <w:ind w:left="900" w:right="260" w:hanging="379"/>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76"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200" w:lineRule="exact"/>
        <w:rPr>
          <w:sz w:val="20"/>
          <w:szCs w:val="20"/>
          <w:color w:val="auto"/>
        </w:rPr>
      </w:pPr>
    </w:p>
    <w:p>
      <w:pPr>
        <w:spacing w:after="0" w:line="210"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33" w:lineRule="exact"/>
        <w:rPr>
          <w:sz w:val="20"/>
          <w:szCs w:val="20"/>
          <w:color w:val="auto"/>
        </w:rPr>
      </w:pPr>
    </w:p>
    <w:p>
      <w:pPr>
        <w:ind w:right="10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—In February 2016, the Financial Accounting Standards Board (the “FASB”) issued updated guidance for leases. The guidance requires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lessee to (i) recognize a right-of-use asset and a lease liability that is initially measured at the present value of the lease payments, in the condensed consolidated statement of financial condition, (ii) recognize a single lease cost, calculated so that the cost of the lease is allocated over the lease term on a straight-line basis and (iii) classify operating lease related cash payments within operating activities and finance lease related principal cash payments within financing activities (with interest included in interest paid) in the condensed consolidated statement of cash flows.</w:t>
      </w:r>
    </w:p>
    <w:p>
      <w:pPr>
        <w:spacing w:after="0" w:line="182"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Company adopted the new guidance on January 1, 2019 using the optional transition method, which allows such guidance to be applied initially at the adoption date with a cumulative-effect adjustment and without restating comparative periods. Lazard elected the package of practical expedients, which allows the carry-forward of the prior conclusions on lease definition, classification and initial direct costs related to the existing leases as of the adoption date.</w:t>
      </w:r>
    </w:p>
    <w:p>
      <w:pPr>
        <w:spacing w:after="0" w:line="176"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Substantially all of the Company’s existing lease arrangements are operating leases. The adoption of the new guidance on January 1, 2019 resulted in a recognition of approximately $500,000 of operating lease right-of-use assets (“ROU assets”) and approximately $580,000 of operating lease liabilities in the Company’s condensed consolidated statements of financial condition. The operating lease liabilities at January 1, 2019 reflect any remaining lease payments discounted using an incremental borrowing rate (on a collateralized basis) based on the remaining lease term (the “Discount”), as an implicit rate was not readily determinable for any of the Company’s existing operating leases. The operating lease ROU assets are lower than the operating lease liabilities primarily because lease incentives reduce the ROU assets (see Note 9).</w:t>
      </w:r>
    </w:p>
    <w:p>
      <w:pPr>
        <w:spacing w:after="0" w:line="186" w:lineRule="exact"/>
        <w:rPr>
          <w:sz w:val="20"/>
          <w:szCs w:val="20"/>
          <w:color w:val="auto"/>
        </w:rPr>
      </w:pPr>
    </w:p>
    <w:p>
      <w:pPr>
        <w:ind w:right="16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In June 2018, the FASB issued updated guidance to simplify the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Company adopted the new guidance on January 1, 2019 and its application did not have a material impact on the Company’s financial statements.</w:t>
      </w:r>
    </w:p>
    <w:p>
      <w:pPr>
        <w:spacing w:after="0" w:line="183"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Reclassification of Certain Tax Effects from Accumulated Other Comprehensive Income—</w:t>
      </w:r>
      <w:r>
        <w:rPr>
          <w:rFonts w:ascii="Times New Roman" w:cs="Times New Roman" w:eastAsia="Times New Roman" w:hAnsi="Times New Roman"/>
          <w:sz w:val="18"/>
          <w:szCs w:val="18"/>
          <w:color w:val="auto"/>
        </w:rPr>
        <w:t>In February 2018, the FASB issued updated guidance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The amount of the reclassification would be the difference between the historical corporate income tax rate and the newly enacted 21% corporate income tax rate. The Company adopted the new guidance on January 1, 2019 without reclassifying any amounts from AOCI to retained earnings. The application of the guidance did not have a material impact on the Company’s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2" w:name="page13"/>
    <w:bookmarkEnd w:id="12"/>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1" w:lineRule="exact"/>
        <w:rPr>
          <w:sz w:val="20"/>
          <w:szCs w:val="20"/>
          <w:color w:val="auto"/>
        </w:rPr>
      </w:pPr>
    </w:p>
    <w:p>
      <w:pPr>
        <w:ind w:right="18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—In June 2016, the FASB issued new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new guidance is required to be applied using a modified retrospective approach. The Company is currently evaluating the new guidance.</w:t>
      </w:r>
    </w:p>
    <w:p>
      <w:pPr>
        <w:spacing w:after="0" w:line="183"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Intangibles—Goodwill and Other: Simplifying the Test for Goodwill Impairment</w:t>
      </w:r>
      <w:r>
        <w:rPr>
          <w:rFonts w:ascii="Times New Roman" w:cs="Times New Roman" w:eastAsia="Times New Roman" w:hAnsi="Times New Roman"/>
          <w:sz w:val="18"/>
          <w:szCs w:val="18"/>
          <w:color w:val="auto"/>
        </w:rPr>
        <w:t>—In January 2017, the FASB issued updated guidance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185"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Intangibles—Internal-Use Software: Customer’s Accounting for Implementation Costs Incurred in a Cloud Computing Arrangement that is a Service Contract</w:t>
      </w:r>
      <w:r>
        <w:rPr>
          <w:rFonts w:ascii="Times New Roman" w:cs="Times New Roman" w:eastAsia="Times New Roman" w:hAnsi="Times New Roman"/>
          <w:sz w:val="18"/>
          <w:szCs w:val="18"/>
          <w:color w:val="auto"/>
        </w:rPr>
        <w:t>—In August 2018, the FASB issued updated guidance on the accounting for implementation costs incurred in a cloud computing arrangement.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guidance requires the capitalization of the implementation costs incurred in a cloud computing arrangement to be aligned with the requirements for capitalizing costs incurred to develop or obtain internal-use software. The new guidance is effective for annual and interim reporting periods beginning after December 15, 2019, with early adoption permitted. Upon adoption, the Company may elect to apply the new guidance on either a prospective or retrospective basis. The Company is currently evaluating the new guidance.</w:t>
      </w:r>
    </w:p>
    <w:p>
      <w:pPr>
        <w:spacing w:after="0" w:line="183"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Related Party Guidance for Variable Interest Entities</w:t>
      </w:r>
      <w:r>
        <w:rPr>
          <w:rFonts w:ascii="Times New Roman" w:cs="Times New Roman" w:eastAsia="Times New Roman" w:hAnsi="Times New Roman"/>
          <w:sz w:val="18"/>
          <w:szCs w:val="18"/>
          <w:color w:val="auto"/>
        </w:rPr>
        <w:t>—In October 2018, the FASB issued updated guidance that requires consideration of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held through related parties under common control for determining whether fees paid to decision makers and service providers are variable interests. The new guidance is effective for fiscal years and interim periods beginning after December 15, 2019, with early adoption permitted. The amendments are required to be applied retrospectively with a cumulative-effect adjustment. The Company is currently evaluating the new guidance.</w:t>
      </w:r>
    </w:p>
    <w:p>
      <w:pPr>
        <w:spacing w:after="0" w:line="180" w:lineRule="exact"/>
        <w:rPr>
          <w:sz w:val="20"/>
          <w:szCs w:val="20"/>
          <w:color w:val="auto"/>
        </w:rPr>
      </w:pPr>
    </w:p>
    <w:p>
      <w:pPr>
        <w:ind w:right="4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Fair Value Measurement: Changes to the Disclosure Requirements for Fair Value Measurement</w:t>
      </w:r>
      <w:r>
        <w:rPr>
          <w:rFonts w:ascii="Times New Roman" w:cs="Times New Roman" w:eastAsia="Times New Roman" w:hAnsi="Times New Roman"/>
          <w:sz w:val="18"/>
          <w:szCs w:val="18"/>
          <w:color w:val="auto"/>
        </w:rPr>
        <w:t>—In August 2018, the FASB issued updated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modifies the disclosure requirements on fair value measurement. The updated guidance eliminates or modifies various required disclosures under the current guidance and includes additional requirements. The new guidance is effective for annual and interim reporting periods beginning after December 15, 2019, with early adoption permitted. With certain exceptions, the guidance is required to be applied retrospectively. The Company is currently evaluating the new guidance.</w:t>
      </w:r>
    </w:p>
    <w:p>
      <w:pPr>
        <w:spacing w:after="0" w:line="180" w:lineRule="exact"/>
        <w:rPr>
          <w:sz w:val="20"/>
          <w:szCs w:val="20"/>
          <w:color w:val="auto"/>
        </w:rPr>
      </w:pPr>
    </w:p>
    <w:p>
      <w:pPr>
        <w:ind w:right="2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Compensation–Retirement Benefits: Changes to the Disclosure Requirements for Defined Benefit Plans</w:t>
      </w:r>
      <w:r>
        <w:rPr>
          <w:rFonts w:ascii="Times New Roman" w:cs="Times New Roman" w:eastAsia="Times New Roman" w:hAnsi="Times New Roman"/>
          <w:sz w:val="18"/>
          <w:szCs w:val="18"/>
          <w:color w:val="auto"/>
        </w:rPr>
        <w:t>—In August 2018, the FASB issued updated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which modifies the disclosure requirements regarding defined benefit plans and other postretirement plans. The updated guidance eliminates or clarifies certain currently required disclosures and includes additional requirements. The new guidance is effective for annual and interim reporting periods beginning after December 15, 2020, with early adoption permitted. A retrospective application is required. The Company is currently evaluating the new guidance.</w:t>
      </w:r>
    </w:p>
    <w:p>
      <w:pPr>
        <w:spacing w:after="0" w:line="367"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31"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Investment Banking and Other Advisory Fees</w:t>
      </w:r>
      <w:r>
        <w:rPr>
          <w:rFonts w:ascii="Times New Roman" w:cs="Times New Roman" w:eastAsia="Times New Roman" w:hAnsi="Times New Roman"/>
          <w:sz w:val="18"/>
          <w:szCs w:val="18"/>
          <w:color w:val="auto"/>
        </w:rPr>
        <w:t>—Fees for Financial Advisory services are recorded when: (i) a contract with a client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3" w:name="page14"/>
    <w:bookmarkEnd w:id="13"/>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3"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Asset Management Fees</w:t>
      </w:r>
      <w:r>
        <w:rPr>
          <w:rFonts w:ascii="Times New Roman" w:cs="Times New Roman" w:eastAsia="Times New Roman" w:hAnsi="Times New Roman"/>
          <w:sz w:val="18"/>
          <w:szCs w:val="18"/>
          <w:color w:val="auto"/>
        </w:rPr>
        <w:t>—Fees for Asset Management services are primarily comprised of management fees and incentive fees. Management fees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89"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62"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Receivables relating to asset management and incentive fees are reported in “fees receivable” on the consolidated statements of financial condition.</w:t>
      </w:r>
    </w:p>
    <w:p>
      <w:pPr>
        <w:spacing w:after="0" w:line="225" w:lineRule="exact"/>
        <w:rPr>
          <w:sz w:val="20"/>
          <w:szCs w:val="20"/>
          <w:color w:val="auto"/>
        </w:rPr>
      </w:pPr>
    </w:p>
    <w:p>
      <w:pPr>
        <w:ind w:right="760" w:firstLine="518"/>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38"/>
              <w:spacing w:after="0" w:line="155" w:lineRule="exact"/>
              <w:rPr>
                <w:sz w:val="20"/>
                <w:szCs w:val="20"/>
                <w:color w:val="auto"/>
              </w:rPr>
            </w:pPr>
            <w:r>
              <w:rPr>
                <w:rFonts w:ascii="Times New Roman" w:cs="Times New Roman" w:eastAsia="Times New Roman" w:hAnsi="Times New Roman"/>
                <w:sz w:val="14"/>
                <w:szCs w:val="14"/>
                <w:b w:val="1"/>
                <w:bCs w:val="1"/>
                <w:color w:val="auto"/>
              </w:rPr>
              <w:t>2019 (d)</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 (d)</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Advisory (a)</w:t>
            </w:r>
          </w:p>
        </w:tc>
        <w:tc>
          <w:tcPr>
            <w:tcW w:w="2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321,926</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408,467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Management Fees and Other (b)</w:t>
            </w:r>
          </w:p>
        </w:tc>
        <w:tc>
          <w:tcPr>
            <w:tcW w:w="2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301,253</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Incentive Fees (c)</w:t>
            </w:r>
          </w:p>
        </w:tc>
        <w:tc>
          <w:tcPr>
            <w:tcW w:w="1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 Management</w:t>
            </w:r>
          </w:p>
        </w:tc>
        <w:tc>
          <w:tcPr>
            <w:tcW w:w="1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301,833</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354,283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40" w:hanging="372"/>
        <w:spacing w:after="0" w:line="254"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Therefore, in any given period, advisory fees recognized for certain transactions will relate to 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7" w:lineRule="exact"/>
        <w:rPr>
          <w:sz w:val="20"/>
          <w:szCs w:val="20"/>
          <w:color w:val="auto"/>
        </w:rPr>
      </w:pPr>
    </w:p>
    <w:p>
      <w:pPr>
        <w:ind w:left="380" w:right="80" w:hanging="372"/>
        <w:spacing w:after="0" w:line="258"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5" w:lineRule="exact"/>
        <w:rPr>
          <w:rFonts w:ascii="Times New Roman" w:cs="Times New Roman" w:eastAsia="Times New Roman" w:hAnsi="Times New Roman"/>
          <w:sz w:val="18"/>
          <w:szCs w:val="18"/>
          <w:color w:val="auto"/>
        </w:rPr>
      </w:pPr>
    </w:p>
    <w:p>
      <w:pPr>
        <w:ind w:left="380" w:right="100" w:hanging="372"/>
        <w:spacing w:after="0" w:line="261"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31" w:lineRule="exact"/>
        <w:rPr>
          <w:rFonts w:ascii="Times New Roman" w:cs="Times New Roman" w:eastAsia="Times New Roman" w:hAnsi="Times New Roman"/>
          <w:sz w:val="18"/>
          <w:szCs w:val="18"/>
          <w:color w:val="auto"/>
        </w:rPr>
      </w:pPr>
    </w:p>
    <w:p>
      <w:pPr>
        <w:ind w:left="380" w:right="440" w:hanging="372"/>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76" w:lineRule="exact"/>
        <w:rPr>
          <w:sz w:val="20"/>
          <w:szCs w:val="20"/>
          <w:color w:val="auto"/>
        </w:rPr>
      </w:pPr>
    </w:p>
    <w:p>
      <w:pPr>
        <w:ind w:right="260" w:firstLine="518"/>
        <w:spacing w:after="0" w:line="258" w:lineRule="auto"/>
        <w:rPr>
          <w:sz w:val="20"/>
          <w:szCs w:val="20"/>
          <w:color w:val="auto"/>
        </w:rPr>
      </w:pPr>
      <w:r>
        <w:rPr>
          <w:rFonts w:ascii="Times New Roman" w:cs="Times New Roman" w:eastAsia="Times New Roman" w:hAnsi="Times New Roman"/>
          <w:sz w:val="18"/>
          <w:szCs w:val="18"/>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36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RECEIVABLES</w:t>
      </w:r>
    </w:p>
    <w:p>
      <w:pPr>
        <w:spacing w:after="0" w:line="121" w:lineRule="exact"/>
        <w:rPr>
          <w:sz w:val="20"/>
          <w:szCs w:val="20"/>
          <w:color w:val="auto"/>
        </w:rPr>
      </w:pPr>
    </w:p>
    <w:p>
      <w:pPr>
        <w:ind w:right="780" w:firstLine="518"/>
        <w:spacing w:after="0" w:line="282" w:lineRule="auto"/>
        <w:rPr>
          <w:sz w:val="20"/>
          <w:szCs w:val="20"/>
          <w:color w:val="auto"/>
        </w:rPr>
      </w:pPr>
      <w:r>
        <w:rPr>
          <w:rFonts w:ascii="Times New Roman" w:cs="Times New Roman" w:eastAsia="Times New Roman" w:hAnsi="Times New Roman"/>
          <w:sz w:val="18"/>
          <w:szCs w:val="18"/>
          <w:color w:val="auto"/>
        </w:rPr>
        <w:t>The Company’s receivables represent fee receivables, amounts due from customers and other receivables, and amounts due from Lazard Ltd subsidiaries.</w:t>
      </w:r>
    </w:p>
    <w:p>
      <w:pPr>
        <w:spacing w:after="0" w:line="162"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in the allowance for doubtful accounts for the three month periods ended March 31, 2019 and 2018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23,692</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 net of recoveries</w:t>
            </w:r>
          </w:p>
        </w:tc>
        <w:tc>
          <w:tcPr>
            <w:tcW w:w="1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15,952</w:t>
            </w:r>
          </w:p>
        </w:tc>
        <w:tc>
          <w:tcPr>
            <w:tcW w:w="120" w:type="dxa"/>
            <w:vAlign w:val="bottom"/>
          </w:tcPr>
          <w:p>
            <w:pPr>
              <w:spacing w:after="0"/>
              <w:rPr>
                <w:sz w:val="19"/>
                <w:szCs w:val="19"/>
                <w:color w:val="auto"/>
              </w:rPr>
            </w:pPr>
          </w:p>
        </w:tc>
      </w:tr>
      <w:tr>
        <w:trPr>
          <w:trHeight w:val="211"/>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Charge-offs, foreign currency translation and other</w:t>
            </w:r>
          </w:p>
        </w:tc>
        <w:tc>
          <w:tcPr>
            <w:tcW w:w="16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w:t>
            </w:r>
          </w:p>
        </w:tc>
        <w:tc>
          <w:tcPr>
            <w:tcW w:w="16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(736)</w:t>
            </w:r>
          </w:p>
        </w:tc>
        <w:tc>
          <w:tcPr>
            <w:tcW w:w="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(1,139)</w:t>
            </w: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38,505</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Bad debt expense, net of recoveries is included in “operating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other” on the condensed consolidated statements of operations.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2019 and December 31, 2018, the Company had receivables past due or deemed uncollectible of $51,737 and $42,260, respectively.</w:t>
      </w:r>
    </w:p>
    <w:p>
      <w:pPr>
        <w:spacing w:after="0" w:line="225"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Of the Company’s fee receivables at March 31, 2019 and December 31, 2018, $83,298 and $90,966, respectively, represented interest-bearing financing receivables. In addition, at March 31, 2019, the Company had interest-bearing receivables from Lazard Ltd subsidiaries of $23,414. Based upon our historical loss experience, the credit quality of the counterparties, and the lack of past due or uncollectible amounts, there was no allowance for doubtful accounts required at those dates related to such receivables.</w:t>
      </w:r>
    </w:p>
    <w:p>
      <w:pPr>
        <w:spacing w:after="0" w:line="180"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The aggregate carrying amount of our non-interest bearing receivables of $615,226 and $613,342 at March 31, 2019 and December 31, 2018, respectively, approximates fair value.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0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investments and securities sold, not yet purchased, consist of the following at March 31, 2019 and December 31,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920" w:type="dxa"/>
            <w:vAlign w:val="bottom"/>
            <w:tcBorders>
              <w:bottom w:val="single" w:sz="8" w:color="CFF0FC"/>
            </w:tcBorders>
          </w:tcPr>
          <w:p>
            <w:pPr>
              <w:spacing w:after="0"/>
              <w:rPr>
                <w:sz w:val="15"/>
                <w:szCs w:val="15"/>
                <w:color w:val="auto"/>
              </w:rPr>
            </w:pPr>
          </w:p>
        </w:tc>
        <w:tc>
          <w:tcPr>
            <w:tcW w:w="4820" w:type="dxa"/>
            <w:vAlign w:val="bottom"/>
            <w:tcBorders>
              <w:bottom w:val="single" w:sz="8" w:color="CFF0FC"/>
            </w:tcBorders>
          </w:tcPr>
          <w:p>
            <w:pPr>
              <w:spacing w:after="0"/>
              <w:rPr>
                <w:sz w:val="15"/>
                <w:szCs w:val="15"/>
                <w:color w:val="auto"/>
              </w:rPr>
            </w:pPr>
          </w:p>
        </w:tc>
        <w:tc>
          <w:tcPr>
            <w:tcW w:w="1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1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248,632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Equities</w:t>
            </w:r>
          </w:p>
        </w:tc>
        <w:tc>
          <w:tcPr>
            <w:tcW w:w="1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Alternative investments (a)</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Debt (a)</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(a)</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Private equity</w:t>
            </w:r>
          </w:p>
        </w:tc>
        <w:tc>
          <w:tcPr>
            <w:tcW w:w="1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615,265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574,638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sold, not yet purchased, at fair value (included in “other liabilities”)</w:t>
            </w:r>
          </w:p>
        </w:tc>
        <w:tc>
          <w:tcPr>
            <w:tcW w:w="14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80" w:right="140" w:hanging="372"/>
        <w:spacing w:after="0" w:line="258"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alternative investment funds, debt funds and equity funds include investments with fair values of $6,592, $43,264 and $112,030, respectively, at March 31, 2019 and $9,741, $60,081 and $132,038, respectively, at December 31, 2018,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14).</w:t>
      </w:r>
    </w:p>
    <w:p>
      <w:pPr>
        <w:spacing w:after="0" w:line="197" w:lineRule="exact"/>
        <w:rPr>
          <w:sz w:val="20"/>
          <w:szCs w:val="20"/>
          <w:color w:val="auto"/>
        </w:rPr>
      </w:pPr>
    </w:p>
    <w:p>
      <w:pPr>
        <w:ind w:right="940" w:firstLine="518"/>
        <w:spacing w:after="0" w:line="282" w:lineRule="auto"/>
        <w:rPr>
          <w:sz w:val="20"/>
          <w:szCs w:val="20"/>
          <w:color w:val="auto"/>
        </w:rPr>
      </w:pPr>
      <w:r>
        <w:rPr>
          <w:rFonts w:ascii="Times New Roman" w:cs="Times New Roman" w:eastAsia="Times New Roman" w:hAnsi="Times New Roman"/>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62"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62"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62"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Equity funds primarily consist of seed investments in funds related to our Asset Management business that invest in equity securities, and amounts related to LFI discussed above.</w:t>
      </w:r>
    </w:p>
    <w:p>
      <w:pPr>
        <w:spacing w:after="0" w:line="162"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and (ii) a fund targeting significant noncontrolling-stake investments in established private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Private equity investments consolidated but not owned by Lazard relate to the economic interests that are owned by the management team and other investors in the Edgewater Funds (“Edgewater”).</w:t>
      </w:r>
    </w:p>
    <w:p>
      <w:pPr>
        <w:spacing w:after="0" w:line="162"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2019 and 2018, the Company reported in “revenue-other” on its condensed consolidated statements of operations net unrealized investment gains and losses pertaining to “equity securities and trading debt securities” still held as of the reporting date as follows:</w:t>
      </w:r>
    </w:p>
    <w:p>
      <w:pPr>
        <w:spacing w:after="0" w:line="183"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-3175</wp:posOffset>
            </wp:positionV>
            <wp:extent cx="21780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ind w:left="850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tabs>
          <w:tab w:leader="none" w:pos="7840" w:val="left"/>
          <w:tab w:leader="none" w:pos="8900" w:val="left"/>
          <w:tab w:leader="none" w:pos="9700" w:val="left"/>
          <w:tab w:leader="none" w:pos="10800" w:val="left"/>
        </w:tabs>
        <w:rPr>
          <w:sz w:val="20"/>
          <w:szCs w:val="20"/>
          <w:color w:val="auto"/>
        </w:rPr>
      </w:pPr>
      <w:r>
        <w:rPr>
          <w:rFonts w:ascii="Times New Roman" w:cs="Times New Roman" w:eastAsia="Times New Roman" w:hAnsi="Times New Roman"/>
          <w:sz w:val="18"/>
          <w:szCs w:val="18"/>
          <w:color w:val="auto"/>
        </w:rPr>
        <w:t>Net unrealized investment gains (losses)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19,923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29210</wp:posOffset>
            </wp:positionV>
            <wp:extent cx="21780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Fair Value Hierarchy of Investments and Certain Other Assets and Liabilities</w:t>
      </w:r>
      <w:r>
        <w:rPr>
          <w:rFonts w:ascii="Times New Roman" w:cs="Times New Roman" w:eastAsia="Times New Roman" w:hAnsi="Times New Roman"/>
          <w:sz w:val="18"/>
          <w:szCs w:val="18"/>
          <w:color w:val="auto"/>
        </w:rPr>
        <w:t>—Lazard categorizes its investments and certain other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recorded at fair value into a three-level fair value hierarchy as follows:</w:t>
      </w:r>
    </w:p>
    <w:p>
      <w:pPr>
        <w:spacing w:after="0" w:line="49" w:lineRule="exact"/>
        <w:rPr>
          <w:sz w:val="20"/>
          <w:szCs w:val="20"/>
          <w:color w:val="auto"/>
        </w:rPr>
      </w:pPr>
    </w:p>
    <w:p>
      <w:pPr>
        <w:ind w:left="580" w:right="420" w:hanging="58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Assets and liabilities whose values are based on unadjusted quoted prices for identical assets or liabilities in an active market that Lazard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access.</w:t>
      </w:r>
    </w:p>
    <w:p>
      <w:pPr>
        <w:spacing w:after="0" w:line="50" w:lineRule="exact"/>
        <w:rPr>
          <w:sz w:val="20"/>
          <w:szCs w:val="20"/>
          <w:color w:val="auto"/>
        </w:rPr>
      </w:pPr>
    </w:p>
    <w:p>
      <w:pPr>
        <w:ind w:left="580" w:right="200" w:hanging="58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Assets and liabilities whose values are based on (i) quoted prices for similar assets or liabilities in an active market, or quoted prices for identical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assets or liabilities in non-active markets, or (ii) inputs other than quoted prices that are directly observable or derived principally from, or corroborated by, market data.</w:t>
      </w:r>
    </w:p>
    <w:p>
      <w:pPr>
        <w:spacing w:after="0" w:line="65" w:lineRule="exact"/>
        <w:rPr>
          <w:sz w:val="20"/>
          <w:szCs w:val="20"/>
          <w:color w:val="auto"/>
        </w:rPr>
      </w:pPr>
    </w:p>
    <w:p>
      <w:pPr>
        <w:ind w:left="580" w:hanging="580"/>
        <w:spacing w:after="0" w:line="261"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Assets and liabilities whose values are based on prices or valuation techniques that require inputs that are both unobservable and significant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debt is classified as Level 1 when the fair values are based on unadjusted quoted prices in active markets.</w:t>
      </w:r>
    </w:p>
    <w:p>
      <w:pPr>
        <w:spacing w:after="0" w:line="225"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76"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62"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securities sold, not yet purchased, is classified as Level 1 when the fair values are based on unadjusted quoted prices in active markets.</w:t>
      </w:r>
    </w:p>
    <w:p>
      <w:pPr>
        <w:spacing w:after="0" w:line="162"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 See Note 12.</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7" w:name="page18"/>
    <w:bookmarkEnd w:id="17"/>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19" w:lineRule="exact"/>
        <w:rPr>
          <w:sz w:val="20"/>
          <w:szCs w:val="20"/>
          <w:color w:val="auto"/>
        </w:rPr>
      </w:pPr>
    </w:p>
    <w:p>
      <w:pPr>
        <w:ind w:right="2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Investments Measured at Net Asset Value (“NAV”)</w:t>
      </w:r>
      <w:r>
        <w:rPr>
          <w:rFonts w:ascii="Times New Roman" w:cs="Times New Roman" w:eastAsia="Times New Roman" w:hAnsi="Times New Roman"/>
          <w:sz w:val="18"/>
          <w:szCs w:val="18"/>
          <w:color w:val="auto"/>
        </w:rPr>
        <w:t>—As a practical expedient, the Company uses NAV or its equivalent to measure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1" w:lineRule="exact"/>
        <w:rPr>
          <w:sz w:val="20"/>
          <w:szCs w:val="20"/>
          <w:color w:val="auto"/>
        </w:rPr>
      </w:pPr>
    </w:p>
    <w:p>
      <w:pPr>
        <w:ind w:right="100" w:firstLine="518"/>
        <w:spacing w:after="0" w:line="313" w:lineRule="auto"/>
        <w:rPr>
          <w:sz w:val="20"/>
          <w:szCs w:val="20"/>
          <w:color w:val="auto"/>
        </w:rPr>
      </w:pPr>
      <w:r>
        <w:rPr>
          <w:rFonts w:ascii="Times New Roman" w:cs="Times New Roman" w:eastAsia="Times New Roman" w:hAnsi="Times New Roman"/>
          <w:sz w:val="17"/>
          <w:szCs w:val="17"/>
          <w:color w:val="auto"/>
        </w:rPr>
        <w:t>The following tables present, as of March 31, 2019 and December 31, 2018, the classification of (i) investments and certain other assets and liabilities measured at fair value on a recurring basis within the fair value hierarchy and (ii) investments measured at NAV or its equivalent as a practical expedient: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248,632</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533,074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80,573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617,769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245,561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245,561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202,874</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515,743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8" w:name="page19"/>
    <w:bookmarkEnd w:id="18"/>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a summary of changes in fair value of the Company’s Level 3 assets and liabilities for the three 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and 2018:</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2"/>
                <w:szCs w:val="12"/>
                <w:color w:val="auto"/>
              </w:rPr>
            </w:pPr>
          </w:p>
        </w:tc>
        <w:tc>
          <w:tcPr>
            <w:tcW w:w="110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Earnings (a)</w:t>
            </w:r>
          </w:p>
        </w:tc>
        <w:tc>
          <w:tcPr>
            <w:tcW w:w="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6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Total Level 3 Assets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gridSpan w:val="2"/>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vMerge w:val="continue"/>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2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(1,095)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2"/>
                <w:szCs w:val="12"/>
                <w:color w:val="auto"/>
              </w:rPr>
            </w:pPr>
          </w:p>
        </w:tc>
        <w:tc>
          <w:tcPr>
            <w:tcW w:w="110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Earnings (a)</w:t>
            </w:r>
          </w:p>
        </w:tc>
        <w:tc>
          <w:tcPr>
            <w:tcW w:w="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6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Total Level 3 Assets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gridSpan w:val="2"/>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20" w:type="dxa"/>
            <w:vAlign w:val="bottom"/>
            <w:vMerge w:val="continue"/>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2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380" w:right="380" w:hanging="372"/>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recorded in “other revenue” for investments in equities for the three month periods ended March 31, 2019 and 2018 include net unrealized losses of $2 and $1, respectively. Earnings recorded in “amortization and other acquisition-related (benefits) costs” for the contingent consideration liability for the three month periods ended March 31, 2019 and 2018 include unrealized (gains) losses of $(1,095) and $5, respectively.</w:t>
      </w:r>
    </w:p>
    <w:p>
      <w:pPr>
        <w:spacing w:after="0" w:line="176"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There were no transfers between any of the Level 1, 2 and 3 categories in the fair value measurement hierarchy during the three month periods ended March 31, 2019 and 2018.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tables present, at March 31, 2019 and December 31, 2018, certain investments that are valued using NAV or its equivalent as a practical expedient in determining fair value: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Estimated Liquidation Period of</w:t>
            </w:r>
          </w:p>
        </w:tc>
        <w:tc>
          <w:tcPr>
            <w:tcW w:w="218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Not Redeemable</w:t>
            </w:r>
          </w:p>
        </w:tc>
        <w:tc>
          <w:tcPr>
            <w:tcW w:w="21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Next</w:t>
            </w:r>
          </w:p>
        </w:tc>
        <w:tc>
          <w:tcPr>
            <w:tcW w:w="920" w:type="dxa"/>
            <w:vAlign w:val="bottom"/>
          </w:tcPr>
          <w:p>
            <w:pPr>
              <w:jc w:val="right"/>
              <w:ind w:right="262"/>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38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Hedge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24,372</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(b)</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&gt;90 days</w:t>
            </w:r>
          </w:p>
        </w:tc>
        <w:tc>
          <w:tcPr>
            <w:tcW w:w="0" w:type="dxa"/>
            <w:vAlign w:val="bottom"/>
          </w:tcPr>
          <w:p>
            <w:pPr>
              <w:spacing w:after="0"/>
              <w:rPr>
                <w:sz w:val="1"/>
                <w:szCs w:val="1"/>
                <w:color w:val="auto"/>
              </w:rPr>
            </w:pPr>
          </w:p>
        </w:tc>
      </w:tr>
      <w:tr>
        <w:trPr>
          <w:trHeight w:val="210"/>
        </w:trPr>
        <w:tc>
          <w:tcPr>
            <w:tcW w:w="2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(c)</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&lt;30-30 days</w:t>
            </w:r>
          </w:p>
        </w:tc>
        <w:tc>
          <w:tcPr>
            <w:tcW w:w="0" w:type="dxa"/>
            <w:vAlign w:val="bottom"/>
          </w:tcPr>
          <w:p>
            <w:pPr>
              <w:spacing w:after="0"/>
              <w:rPr>
                <w:sz w:val="1"/>
                <w:szCs w:val="1"/>
                <w:color w:val="auto"/>
              </w:rPr>
            </w:pPr>
          </w:p>
        </w:tc>
      </w:tr>
      <w:tr>
        <w:trPr>
          <w:trHeight w:val="222"/>
        </w:trPr>
        <w:tc>
          <w:tcPr>
            <w:tcW w:w="2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&lt;30 days</w:t>
            </w:r>
          </w:p>
        </w:tc>
        <w:tc>
          <w:tcPr>
            <w:tcW w:w="0" w:type="dxa"/>
            <w:vAlign w:val="bottom"/>
          </w:tcPr>
          <w:p>
            <w:pPr>
              <w:spacing w:after="0"/>
              <w:rPr>
                <w:sz w:val="1"/>
                <w:szCs w:val="1"/>
                <w:color w:val="auto"/>
              </w:rPr>
            </w:pPr>
          </w:p>
        </w:tc>
      </w:tr>
      <w:tr>
        <w:trPr>
          <w:trHeight w:val="210"/>
        </w:trPr>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&lt;30-90 days</w:t>
            </w:r>
          </w:p>
        </w:tc>
        <w:tc>
          <w:tcPr>
            <w:tcW w:w="0" w:type="dxa"/>
            <w:vAlign w:val="bottom"/>
          </w:tcPr>
          <w:p>
            <w:pPr>
              <w:spacing w:after="0"/>
              <w:rPr>
                <w:sz w:val="1"/>
                <w:szCs w:val="1"/>
                <w:color w:val="auto"/>
              </w:rPr>
            </w:pPr>
          </w:p>
        </w:tc>
      </w:tr>
      <w:tr>
        <w:trPr>
          <w:trHeight w:val="222"/>
        </w:trPr>
        <w:tc>
          <w:tcPr>
            <w:tcW w:w="2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55,551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3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Times New Roman" w:cs="Times New Roman" w:eastAsia="Times New Roman" w:hAnsi="Times New Roman"/>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Times New Roman" w:cs="Times New Roman" w:eastAsia="Times New Roman" w:hAnsi="Times New Roman"/>
                <w:sz w:val="16"/>
                <w:szCs w:val="16"/>
                <w:color w:val="auto"/>
              </w:rPr>
              <w:t>14%</w:t>
            </w:r>
          </w:p>
        </w:tc>
        <w:tc>
          <w:tcPr>
            <w:tcW w:w="1180" w:type="dxa"/>
            <w:vAlign w:val="bottom"/>
            <w:tcBorders>
              <w:bottom w:val="single" w:sz="8" w:color="CFF0FC"/>
            </w:tcBorders>
            <w:gridSpan w:val="2"/>
          </w:tcPr>
          <w:p>
            <w:pPr>
              <w:ind w:left="740"/>
              <w:spacing w:after="0"/>
              <w:rPr>
                <w:sz w:val="20"/>
                <w:szCs w:val="20"/>
                <w:color w:val="auto"/>
              </w:rPr>
            </w:pPr>
            <w:r>
              <w:rPr>
                <w:rFonts w:ascii="Times New Roman" w:cs="Times New Roman" w:eastAsia="Times New Roman" w:hAnsi="Times New Roman"/>
                <w:sz w:val="16"/>
                <w:szCs w:val="16"/>
                <w:color w:val="auto"/>
              </w:rPr>
              <w:t>34%</w:t>
            </w:r>
          </w:p>
        </w:tc>
        <w:tc>
          <w:tcPr>
            <w:tcW w:w="1180" w:type="dxa"/>
            <w:vAlign w:val="bottom"/>
            <w:tcBorders>
              <w:bottom w:val="single" w:sz="8" w:color="CFF0FC"/>
            </w:tcBorders>
            <w:gridSpan w:val="2"/>
          </w:tcPr>
          <w:p>
            <w:pPr>
              <w:ind w:left="740"/>
              <w:spacing w:after="0"/>
              <w:rPr>
                <w:sz w:val="20"/>
                <w:szCs w:val="20"/>
                <w:color w:val="auto"/>
              </w:rPr>
            </w:pPr>
            <w:r>
              <w:rPr>
                <w:rFonts w:ascii="Times New Roman" w:cs="Times New Roman" w:eastAsia="Times New Roman" w:hAnsi="Times New Roman"/>
                <w:sz w:val="16"/>
                <w:szCs w:val="16"/>
                <w:color w:val="auto"/>
              </w:rPr>
              <w:t>52%</w:t>
            </w:r>
          </w:p>
        </w:tc>
        <w:tc>
          <w:tcPr>
            <w:tcW w:w="114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80,573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(100%)</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(100%)</w:t>
      </w:r>
    </w:p>
    <w:p>
      <w:pPr>
        <w:spacing w:after="0" w:line="2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(6%) and monthly (94%)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(24%), monthly (72%) and annually (4%)</w:t>
      </w:r>
    </w:p>
    <w:p>
      <w:pPr>
        <w:spacing w:after="0" w:line="9" w:lineRule="exact"/>
        <w:rPr>
          <w:rFonts w:ascii="Times New Roman" w:cs="Times New Roman" w:eastAsia="Times New Roman" w:hAnsi="Times New Roman"/>
          <w:sz w:val="18"/>
          <w:szCs w:val="18"/>
          <w:color w:val="auto"/>
        </w:rPr>
      </w:pPr>
    </w:p>
    <w:p>
      <w:pPr>
        <w:ind w:left="380" w:hanging="372"/>
        <w:spacing w:after="0" w:line="261"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$14,437 are excluded. Such commitments are required to be funded by capital contributions from noncontrolling interest holders.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Estimated Liquidation Period of</w:t>
            </w:r>
          </w:p>
        </w:tc>
        <w:tc>
          <w:tcPr>
            <w:tcW w:w="218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Not Redeemable</w:t>
            </w:r>
          </w:p>
        </w:tc>
        <w:tc>
          <w:tcPr>
            <w:tcW w:w="21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Next</w:t>
            </w:r>
          </w:p>
        </w:tc>
        <w:tc>
          <w:tcPr>
            <w:tcW w:w="900" w:type="dxa"/>
            <w:vAlign w:val="bottom"/>
          </w:tcPr>
          <w:p>
            <w:pPr>
              <w:jc w:val="right"/>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40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Hedge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(b)</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&gt;90 days</w:t>
            </w:r>
          </w:p>
        </w:tc>
        <w:tc>
          <w:tcPr>
            <w:tcW w:w="0" w:type="dxa"/>
            <w:vAlign w:val="bottom"/>
          </w:tcPr>
          <w:p>
            <w:pPr>
              <w:spacing w:after="0"/>
              <w:rPr>
                <w:sz w:val="1"/>
                <w:szCs w:val="1"/>
                <w:color w:val="auto"/>
              </w:rPr>
            </w:pPr>
          </w:p>
        </w:tc>
      </w:tr>
      <w:tr>
        <w:trPr>
          <w:trHeight w:val="210"/>
        </w:trPr>
        <w:tc>
          <w:tcPr>
            <w:tcW w:w="21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(c)</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&lt;30-30 days</w:t>
            </w:r>
          </w:p>
        </w:tc>
        <w:tc>
          <w:tcPr>
            <w:tcW w:w="0" w:type="dxa"/>
            <w:vAlign w:val="bottom"/>
          </w:tcPr>
          <w:p>
            <w:pPr>
              <w:spacing w:after="0"/>
              <w:rPr>
                <w:sz w:val="1"/>
                <w:szCs w:val="1"/>
                <w:color w:val="auto"/>
              </w:rPr>
            </w:pPr>
          </w:p>
        </w:tc>
      </w:tr>
      <w:tr>
        <w:trPr>
          <w:trHeight w:val="22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&lt;30 days</w:t>
            </w:r>
          </w:p>
        </w:tc>
        <w:tc>
          <w:tcPr>
            <w:tcW w:w="0" w:type="dxa"/>
            <w:vAlign w:val="bottom"/>
          </w:tcPr>
          <w:p>
            <w:pPr>
              <w:spacing w:after="0"/>
              <w:rPr>
                <w:sz w:val="1"/>
                <w:szCs w:val="1"/>
                <w:color w:val="auto"/>
              </w:rPr>
            </w:pPr>
          </w:p>
        </w:tc>
      </w:tr>
      <w:tr>
        <w:trPr>
          <w:trHeight w:val="210"/>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&lt;30-90 days</w:t>
            </w:r>
          </w:p>
        </w:tc>
        <w:tc>
          <w:tcPr>
            <w:tcW w:w="0" w:type="dxa"/>
            <w:vAlign w:val="bottom"/>
          </w:tcPr>
          <w:p>
            <w:pPr>
              <w:spacing w:after="0"/>
              <w:rPr>
                <w:sz w:val="1"/>
                <w:szCs w:val="1"/>
                <w:color w:val="auto"/>
              </w:rPr>
            </w:pPr>
          </w:p>
        </w:tc>
      </w:tr>
      <w:tr>
        <w:trPr>
          <w:trHeight w:val="22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56,343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4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(f)</w:t>
            </w:r>
          </w:p>
        </w:tc>
        <w:tc>
          <w:tcPr>
            <w:tcW w:w="1160" w:type="dxa"/>
            <w:vAlign w:val="bottom"/>
            <w:tcBorders>
              <w:bottom w:val="single" w:sz="8" w:color="CFF0FC"/>
            </w:tcBorders>
            <w:gridSpan w:val="2"/>
          </w:tcPr>
          <w:p>
            <w:pPr>
              <w:ind w:left="640"/>
              <w:spacing w:after="0"/>
              <w:rPr>
                <w:sz w:val="20"/>
                <w:szCs w:val="20"/>
                <w:color w:val="auto"/>
              </w:rPr>
            </w:pPr>
            <w:r>
              <w:rPr>
                <w:rFonts w:ascii="Times New Roman" w:cs="Times New Roman" w:eastAsia="Times New Roman" w:hAnsi="Times New Roman"/>
                <w:sz w:val="16"/>
                <w:szCs w:val="16"/>
                <w:color w:val="auto"/>
              </w:rPr>
              <w:t>100%</w:t>
            </w:r>
          </w:p>
        </w:tc>
        <w:tc>
          <w:tcPr>
            <w:tcW w:w="1160" w:type="dxa"/>
            <w:vAlign w:val="bottom"/>
            <w:tcBorders>
              <w:bottom w:val="single" w:sz="8" w:color="CFF0FC"/>
            </w:tcBorders>
            <w:gridSpan w:val="2"/>
          </w:tcPr>
          <w:p>
            <w:pPr>
              <w:ind w:left="720"/>
              <w:spacing w:after="0"/>
              <w:rPr>
                <w:sz w:val="20"/>
                <w:szCs w:val="20"/>
                <w:color w:val="auto"/>
              </w:rPr>
            </w:pPr>
            <w:r>
              <w:rPr>
                <w:rFonts w:ascii="Times New Roman" w:cs="Times New Roman" w:eastAsia="Times New Roman" w:hAnsi="Times New Roman"/>
                <w:sz w:val="16"/>
                <w:szCs w:val="16"/>
                <w:color w:val="auto"/>
              </w:rPr>
              <w:t>14%</w:t>
            </w:r>
          </w:p>
        </w:tc>
        <w:tc>
          <w:tcPr>
            <w:tcW w:w="1160" w:type="dxa"/>
            <w:vAlign w:val="bottom"/>
            <w:tcBorders>
              <w:bottom w:val="single" w:sz="8" w:color="CFF0FC"/>
            </w:tcBorders>
            <w:gridSpan w:val="2"/>
          </w:tcPr>
          <w:p>
            <w:pPr>
              <w:ind w:left="720"/>
              <w:spacing w:after="0"/>
              <w:rPr>
                <w:sz w:val="20"/>
                <w:szCs w:val="20"/>
                <w:color w:val="auto"/>
              </w:rPr>
            </w:pPr>
            <w:r>
              <w:rPr>
                <w:rFonts w:ascii="Times New Roman" w:cs="Times New Roman" w:eastAsia="Times New Roman" w:hAnsi="Times New Roman"/>
                <w:sz w:val="16"/>
                <w:szCs w:val="16"/>
                <w:color w:val="auto"/>
              </w:rPr>
              <w:t>34%</w:t>
            </w:r>
          </w:p>
        </w:tc>
        <w:tc>
          <w:tcPr>
            <w:tcW w:w="1180" w:type="dxa"/>
            <w:vAlign w:val="bottom"/>
            <w:tcBorders>
              <w:bottom w:val="single" w:sz="8" w:color="CFF0FC"/>
            </w:tcBorders>
            <w:gridSpan w:val="2"/>
          </w:tcPr>
          <w:p>
            <w:pPr>
              <w:ind w:left="740"/>
              <w:spacing w:after="0"/>
              <w:rPr>
                <w:sz w:val="20"/>
                <w:szCs w:val="20"/>
                <w:color w:val="auto"/>
              </w:rPr>
            </w:pPr>
            <w:r>
              <w:rPr>
                <w:rFonts w:ascii="Times New Roman" w:cs="Times New Roman" w:eastAsia="Times New Roman" w:hAnsi="Times New Roman"/>
                <w:sz w:val="16"/>
                <w:szCs w:val="16"/>
                <w:color w:val="auto"/>
              </w:rPr>
              <w:t>52%</w:t>
            </w:r>
          </w:p>
        </w:tc>
        <w:tc>
          <w:tcPr>
            <w:tcW w:w="114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57,273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4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(100%)</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(100%)</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(6%) and monthly (94%)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(25%), monthly (70%) and annually (5%)</w:t>
      </w:r>
    </w:p>
    <w:p>
      <w:pPr>
        <w:spacing w:after="0" w:line="9" w:lineRule="exact"/>
        <w:rPr>
          <w:rFonts w:ascii="Times New Roman" w:cs="Times New Roman" w:eastAsia="Times New Roman" w:hAnsi="Times New Roman"/>
          <w:sz w:val="18"/>
          <w:szCs w:val="18"/>
          <w:color w:val="auto"/>
        </w:rPr>
      </w:pPr>
    </w:p>
    <w:p>
      <w:pPr>
        <w:ind w:left="380" w:hanging="372"/>
        <w:spacing w:after="0" w:line="261"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$14,437 are excluded. Such commitments are required to be funded by capital contributions from noncontrolling interest holders.</w:t>
      </w:r>
    </w:p>
    <w:p>
      <w:pPr>
        <w:spacing w:after="0" w:line="176" w:lineRule="exact"/>
        <w:rPr>
          <w:sz w:val="20"/>
          <w:szCs w:val="20"/>
          <w:color w:val="auto"/>
        </w:rPr>
      </w:pPr>
    </w:p>
    <w:p>
      <w:pPr>
        <w:ind w:right="4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Investment Capital Funding Commitments</w:t>
      </w:r>
      <w:r>
        <w:rPr>
          <w:rFonts w:ascii="Times New Roman" w:cs="Times New Roman" w:eastAsia="Times New Roman" w:hAnsi="Times New Roman"/>
          <w:sz w:val="18"/>
          <w:szCs w:val="18"/>
          <w:color w:val="auto"/>
        </w:rPr>
        <w:t>—At March 31, 2019, the Company’s maximum unfunded commitments for capital contributions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funds primarily arose from commitments to EGCP III, which amounted to $7,602. The investment period for EGCP III ended on October 12, 2016, after which point the Company’s obligation to fund capital contributions for new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investments in EGCP III expired. The Company remains obligated until October 12, 2023 (or any earlier liquidation of EGCP III) to make capital contributions necessary to fund follow-on investments and to pay for fund expenses.</w:t>
      </w:r>
    </w:p>
    <w:p>
      <w:pPr>
        <w:spacing w:after="0" w:line="34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8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March 31, 2019 and December 31,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920" w:type="dxa"/>
            <w:vAlign w:val="bottom"/>
            <w:tcBorders>
              <w:bottom w:val="single" w:sz="8" w:color="CFF0FC"/>
            </w:tcBorders>
          </w:tcPr>
          <w:p>
            <w:pPr>
              <w:spacing w:after="0"/>
              <w:rPr>
                <w:sz w:val="15"/>
                <w:szCs w:val="15"/>
                <w:color w:val="auto"/>
              </w:rPr>
            </w:pPr>
          </w:p>
        </w:tc>
        <w:tc>
          <w:tcPr>
            <w:tcW w:w="4260" w:type="dxa"/>
            <w:vAlign w:val="bottom"/>
            <w:tcBorders>
              <w:bottom w:val="single" w:sz="8" w:color="CFF0FC"/>
            </w:tcBorders>
          </w:tcPr>
          <w:p>
            <w:pPr>
              <w:spacing w:after="0"/>
              <w:rPr>
                <w:sz w:val="15"/>
                <w:szCs w:val="15"/>
                <w:color w:val="auto"/>
              </w:rPr>
            </w:pPr>
          </w:p>
        </w:tc>
        <w:tc>
          <w:tcPr>
            <w:tcW w:w="16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241,971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188,022</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245,561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9" w:lineRule="exact"/>
        <w:rPr>
          <w:sz w:val="20"/>
          <w:szCs w:val="20"/>
          <w:color w:val="auto"/>
        </w:rPr>
      </w:pPr>
    </w:p>
    <w:p>
      <w:pPr>
        <w:jc w:val="both"/>
        <w:ind w:left="380" w:right="60" w:hanging="372"/>
        <w:spacing w:after="0" w:line="289" w:lineRule="auto"/>
        <w:tabs>
          <w:tab w:leader="none" w:pos="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total return swaps, amounts represent the netting of gross derivative assets and liabilities of $331 and $2,564 as of March 31, 2019, respectively, and $10,792 and $369 as of December 31, 2018, respectively, for contracts with the same counterparty under legally enforceable master netting agreements. Such amounts are recorded “net” in “other assets”, with receivables for net cash collateral under such contracts of $5,070 as of March 31, 2019.</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1" w:name="page22"/>
    <w:bookmarkEnd w:id="21"/>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jc w:val="both"/>
        <w:ind w:right="80" w:firstLine="518"/>
        <w:spacing w:after="0" w:line="289" w:lineRule="auto"/>
        <w:rPr>
          <w:sz w:val="20"/>
          <w:szCs w:val="20"/>
          <w:color w:val="auto"/>
        </w:rPr>
      </w:pPr>
      <w:r>
        <w:rPr>
          <w:rFonts w:ascii="Times New Roman" w:cs="Times New Roman" w:eastAsia="Times New Roman" w:hAnsi="Times New Roman"/>
          <w:sz w:val="17"/>
          <w:szCs w:val="17"/>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periods ended March 31, 2019 and 2018,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60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06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8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(13,870)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return swaps and other</w:t>
            </w:r>
          </w:p>
        </w:tc>
        <w:tc>
          <w:tcPr>
            <w:tcW w:w="18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(7,657)</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shd w:val="clear" w:color="auto" w:fill="CFF0FC"/>
          </w:tcPr>
          <w:p>
            <w:pPr>
              <w:spacing w:after="0"/>
              <w:rPr>
                <w:sz w:val="19"/>
                <w:szCs w:val="19"/>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(17,007)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March 31, 2019 and December 31, 2018, property consisted of the following:</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186,665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550,892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342,460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339,448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208,432</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211,713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adopted the new lease accounting guidance as of January 1, 2019, which resulted in recognition of ROU assets and lease liabilities related to operating leases on the condensed consolidated statements of financial condition. The Company determines if an arrangement is, or contains, a lease at inception. Operating lease ROU assets represent the right to use an underlying asset for the lease term and operating lease liabilities reflect the obligation to make lease payments arising from the lease. At any given time during the lease term, the operating lease liability represents the present value of the remaining lease payments and the operating lease ROU asset is measured at the amount of the lease liability, adjusted for rent prepayments, unamortized initial direct costs and the remaining balance of lease incentives received. Both the operating lease ROU asset and the operating lease liability are reduced to zero at the end of the lease.</w:t>
      </w:r>
    </w:p>
    <w:p>
      <w:pPr>
        <w:spacing w:after="0" w:line="18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leases office space and equipment under non-cancelable lease agreements, which expire on various dates through 2033. Substantially all of these arrangements are operating leases relating to office space. Certain leases have renewal options that can be exercised at the discretion of the Company. The Company only includes renewal options in the lease term when it is reasonably certain to exercise the option. The Company does not record leases with a lease term of 12 months or less on the condensed consolidated statements of financial condition; lease expense for these leases is recognized over the lease term on a straight-line basis.</w:t>
      </w:r>
    </w:p>
    <w:p>
      <w:pPr>
        <w:spacing w:after="0" w:line="184" w:lineRule="exact"/>
        <w:rPr>
          <w:sz w:val="20"/>
          <w:szCs w:val="20"/>
          <w:color w:val="auto"/>
        </w:rPr>
      </w:pPr>
    </w:p>
    <w:p>
      <w:pPr>
        <w:ind w:right="400" w:firstLine="518"/>
        <w:spacing w:after="0" w:line="261" w:lineRule="auto"/>
        <w:rPr>
          <w:sz w:val="20"/>
          <w:szCs w:val="20"/>
          <w:color w:val="auto"/>
        </w:rPr>
      </w:pPr>
      <w:r>
        <w:rPr>
          <w:rFonts w:ascii="Times New Roman" w:cs="Times New Roman" w:eastAsia="Times New Roman" w:hAnsi="Times New Roman"/>
          <w:sz w:val="18"/>
          <w:szCs w:val="18"/>
          <w:color w:val="auto"/>
        </w:rPr>
        <w:t>For leases commencing on January 1, 2019 or thereafter that are recognized on the condensed consolidated statements of financial condition, the Company applies its estimated Discount. The Company bases this Discount on the information available at the lease commencement date. The Company determines its Discount with consideration of the Company’s public debt issuances as well as publicly available data for instruments with similar characteristics.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For leases commencing on January 1, 2019 or thereafter that relate to office space and equipment, the Company accounts for the lease and non-lease components as a single lease component.</w:t>
      </w:r>
    </w:p>
    <w:p>
      <w:pPr>
        <w:spacing w:after="0" w:line="162"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In addition to rent payments, operating leases for office space generally contain payments for real estate taxes, insurance costs, common area maintenance, and utilities that are not fixed. The Company accounts for these costs as variable payments and does not include them in the lease component. There are certain office leases outside of the U.S. that have annual rent increases that are also accounted for as variable payments and are excluded from the lease component.</w:t>
      </w:r>
    </w:p>
    <w:p>
      <w:pPr>
        <w:spacing w:after="0" w:line="180"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operating lease expense reflected on the accompanying condensed consolidated statements of operations for the three month period ended March 31, 2019:</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6"/>
        </w:trPr>
        <w:tc>
          <w:tcPr>
            <w:tcW w:w="9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37"/>
        </w:trPr>
        <w:tc>
          <w:tcPr>
            <w:tcW w:w="9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tcPr>
          <w:p>
            <w:pPr>
              <w:spacing w:after="0"/>
              <w:rPr>
                <w:sz w:val="21"/>
                <w:szCs w:val="21"/>
                <w:color w:val="auto"/>
              </w:rPr>
            </w:pPr>
          </w:p>
        </w:tc>
      </w:tr>
      <w:tr>
        <w:trPr>
          <w:trHeight w:val="24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(1,770)</w:t>
            </w:r>
          </w:p>
        </w:tc>
      </w:tr>
      <w:tr>
        <w:trPr>
          <w:trHeight w:val="237"/>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22,373</w:t>
            </w:r>
          </w:p>
        </w:tc>
        <w:tc>
          <w:tcPr>
            <w:tcW w:w="10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supplemental cash flow information and certain other information related to operating leases for the three month period ended March 31,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5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 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Maturities of the operating lease liabilities outstanding at March 31, 2019 for each of the five years in the period ending December 31, 2023 and therafter are set forth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(April 1 through December 31)</w:t>
            </w:r>
          </w:p>
        </w:tc>
        <w:tc>
          <w:tcPr>
            <w:tcW w:w="5860" w:type="dxa"/>
            <w:vAlign w:val="bottom"/>
            <w:gridSpan w:val="2"/>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480" w:type="dxa"/>
            <w:vAlign w:val="bottom"/>
            <w:shd w:val="clear" w:color="auto" w:fill="CFF0FC"/>
          </w:tcPr>
          <w:p>
            <w:pPr>
              <w:spacing w:after="0"/>
              <w:rPr>
                <w:sz w:val="19"/>
                <w:szCs w:val="19"/>
                <w:color w:val="auto"/>
              </w:rPr>
            </w:pPr>
          </w:p>
        </w:tc>
        <w:tc>
          <w:tcPr>
            <w:tcW w:w="5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480" w:type="dxa"/>
            <w:vAlign w:val="bottom"/>
            <w:shd w:val="clear" w:color="auto" w:fill="CFF0FC"/>
          </w:tcPr>
          <w:p>
            <w:pPr>
              <w:spacing w:after="0"/>
              <w:rPr>
                <w:sz w:val="19"/>
                <w:szCs w:val="19"/>
                <w:color w:val="auto"/>
              </w:rPr>
            </w:pPr>
          </w:p>
        </w:tc>
        <w:tc>
          <w:tcPr>
            <w:tcW w:w="5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5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0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080" w:type="dxa"/>
            <w:vAlign w:val="bottom"/>
            <w:vMerge w:val="restart"/>
          </w:tcPr>
          <w:p>
            <w:pPr>
              <w:jc w:val="right"/>
              <w:ind w:right="3330"/>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47"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Prior to the adoption of the new lease accounting guidance, the minimum rental commitments under non-cancelable operating leases at December 31, 2018, net of sublease income, were approximately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4240" w:type="dxa"/>
            <w:vAlign w:val="bottom"/>
            <w:shd w:val="clear" w:color="auto" w:fill="CFF0FC"/>
          </w:tcPr>
          <w:p>
            <w:pPr>
              <w:spacing w:after="0"/>
              <w:rPr>
                <w:sz w:val="19"/>
                <w:szCs w:val="19"/>
                <w:color w:val="auto"/>
              </w:rPr>
            </w:pPr>
          </w:p>
        </w:tc>
        <w:tc>
          <w:tcPr>
            <w:tcW w:w="4100" w:type="dxa"/>
            <w:vAlign w:val="bottom"/>
            <w:gridSpan w:val="2"/>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86,664</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2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89,260</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4240" w:type="dxa"/>
            <w:vAlign w:val="bottom"/>
            <w:shd w:val="clear" w:color="auto" w:fill="CFF0FC"/>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83,517</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2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70,611</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240" w:type="dxa"/>
            <w:vAlign w:val="bottom"/>
            <w:shd w:val="clear" w:color="auto" w:fill="CFF0FC"/>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59,973</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488,612</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rental commitments</w:t>
            </w:r>
          </w:p>
        </w:tc>
        <w:tc>
          <w:tcPr>
            <w:tcW w:w="3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878,637</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Less - sublease proceeds</w:t>
            </w:r>
          </w:p>
        </w:tc>
        <w:tc>
          <w:tcPr>
            <w:tcW w:w="33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26,941</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rental commitments</w:t>
            </w:r>
          </w:p>
        </w:tc>
        <w:tc>
          <w:tcPr>
            <w:tcW w:w="33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851,696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In August 2018, the Company entered into a lease agreement for additional office facilities, which are currently under construction. The lease is expected to commence in the third quarter of 2019 when the facilities are delivered to the Company. The Company will recognize the related operating lease right-of-use assets and the operating lease liability on the lease commencement date. Operating lease commitments in the table above include the impact of the new lease agreement.</w:t>
      </w:r>
    </w:p>
    <w:p>
      <w:pPr>
        <w:spacing w:after="0" w:line="32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components of goodwill and other intangible assets at March 31, 2019 and December 31, 2018 are presented below:</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18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351,190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354,412</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354,463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At March 31, 2019 and December 31, 2018, goodwill of $286,649 and $286,288, respectively, was attributable to the Company’s Financial Advisory segment and, at each such respective date, $64,541 of goodwill was attributable to the Company’s Asset Management segment.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 periods ended March 31, 2019 and 2018 are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350,829</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(1,555)</w:t>
            </w: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All changes in the carrying amount of goodwill for the three month periods ended March 31, 2019 and 2018 are attributable to the Company’s Financial Advisory segment.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4" w:name="page25"/>
    <w:bookmarkEnd w:id="24"/>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The gross cost and accumulated amortization of other intangible assets as of March 31, 2019 and December 31, 2018, by major intangible asset category,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Success/incentive fees</w:t>
            </w: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33,586</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34,185</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33,548</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63,591</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 assets, included in “amortization and other acquisition-related (benefits) costs” in the condensed consolidated statements of operations, for the three month periods ended March 31, 2019 and 2018 was $411 and $617, respectively. Estimated future amortization expense is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86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80"/>
        </w:trPr>
        <w:tc>
          <w:tcPr>
            <w:tcW w:w="1660" w:type="dxa"/>
            <w:vAlign w:val="bottom"/>
            <w:tcBorders>
              <w:bottom w:val="single" w:sz="8" w:color="auto"/>
            </w:tcBorders>
            <w:gridSpan w:val="2"/>
            <w:vMerge w:val="continue"/>
          </w:tcPr>
          <w:p>
            <w:pPr>
              <w:spacing w:after="0"/>
              <w:rPr>
                <w:sz w:val="15"/>
                <w:szCs w:val="15"/>
                <w:color w:val="auto"/>
              </w:rPr>
            </w:pPr>
          </w:p>
        </w:tc>
        <w:tc>
          <w:tcPr>
            <w:tcW w:w="5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(April 1 through December 31)</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5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5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DEBT</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Senior debt is comprised of the following as of March 31, 2019 and December 31,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Outstanding as of</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40" w:type="dxa"/>
            <w:vAlign w:val="bottom"/>
            <w:gridSpan w:val="2"/>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0" w:type="dxa"/>
            <w:vAlign w:val="bottom"/>
            <w:gridSpan w:val="4"/>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Rate(b)</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5"/>
        </w:trPr>
        <w:tc>
          <w:tcPr>
            <w:tcW w:w="1920" w:type="dxa"/>
            <w:vAlign w:val="bottom"/>
            <w:tcBorders>
              <w:top w:val="single" w:sz="8" w:color="CFF0FC"/>
            </w:tcBorders>
            <w:shd w:val="clear" w:color="auto" w:fill="CFF0FC"/>
          </w:tcPr>
          <w:p>
            <w:pPr>
              <w:jc w:val="center"/>
              <w:ind w:right="410"/>
              <w:spacing w:after="0" w:line="205" w:lineRule="exact"/>
              <w:rPr>
                <w:sz w:val="20"/>
                <w:szCs w:val="20"/>
                <w:color w:val="auto"/>
              </w:rPr>
            </w:pPr>
            <w:r>
              <w:rPr>
                <w:rFonts w:ascii="Times New Roman" w:cs="Times New Roman" w:eastAsia="Times New Roman" w:hAnsi="Times New Roman"/>
                <w:sz w:val="18"/>
                <w:szCs w:val="18"/>
                <w:color w:val="auto"/>
              </w:rPr>
              <w:t>Lazard Group 2020</w:t>
            </w:r>
          </w:p>
        </w:tc>
        <w:tc>
          <w:tcPr>
            <w:tcW w:w="6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FF0FC"/>
          </w:tcPr>
          <w:p>
            <w:pPr>
              <w:jc w:val="center"/>
              <w:ind w:right="370"/>
              <w:spacing w:after="0"/>
              <w:rPr>
                <w:sz w:val="20"/>
                <w:szCs w:val="20"/>
                <w:color w:val="auto"/>
              </w:rPr>
            </w:pPr>
            <w:r>
              <w:rPr>
                <w:rFonts w:ascii="Times New Roman" w:cs="Times New Roman" w:eastAsia="Times New Roman" w:hAnsi="Times New Roman"/>
                <w:sz w:val="18"/>
                <w:szCs w:val="18"/>
                <w:color w:val="auto"/>
                <w:w w:val="99"/>
              </w:rPr>
              <w:t>Senior Notes (a)</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82,057</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81,812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Lazard Group 2025</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shd w:val="clear" w:color="auto" w:fill="CFF0FC"/>
          </w:tcPr>
          <w:p>
            <w:pPr>
              <w:jc w:val="center"/>
              <w:ind w:right="410"/>
              <w:spacing w:after="0"/>
              <w:rPr>
                <w:sz w:val="20"/>
                <w:szCs w:val="20"/>
                <w:color w:val="auto"/>
              </w:rPr>
            </w:pPr>
            <w:r>
              <w:rPr>
                <w:rFonts w:ascii="Times New Roman" w:cs="Times New Roman" w:eastAsia="Times New Roman" w:hAnsi="Times New Roman"/>
                <w:sz w:val="18"/>
                <w:szCs w:val="18"/>
                <w:color w:val="auto"/>
              </w:rPr>
              <w:t>Lazard Group 2027</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296,883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Lazard Group 2028</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9/19/28</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491,452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shd w:val="clear" w:color="auto" w:fill="CFF0FC"/>
          </w:tcPr>
          <w:p>
            <w:pPr>
              <w:jc w:val="center"/>
              <w:ind w:right="410"/>
              <w:spacing w:after="0"/>
              <w:rPr>
                <w:sz w:val="20"/>
                <w:szCs w:val="20"/>
                <w:color w:val="auto"/>
              </w:rPr>
            </w:pPr>
            <w:r>
              <w:rPr>
                <w:rFonts w:ascii="Times New Roman" w:cs="Times New Roman" w:eastAsia="Times New Roman" w:hAnsi="Times New Roman"/>
                <w:sz w:val="18"/>
                <w:szCs w:val="18"/>
                <w:color w:val="auto"/>
              </w:rPr>
              <w:t>Lazard Group 2029</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FF0FC"/>
          </w:tcPr>
          <w:p>
            <w:pPr>
              <w:jc w:val="center"/>
              <w:ind w:right="370"/>
              <w:spacing w:after="0"/>
              <w:rPr>
                <w:sz w:val="20"/>
                <w:szCs w:val="20"/>
                <w:color w:val="auto"/>
              </w:rPr>
            </w:pPr>
            <w:r>
              <w:rPr>
                <w:rFonts w:ascii="Times New Roman" w:cs="Times New Roman" w:eastAsia="Times New Roman" w:hAnsi="Times New Roman"/>
                <w:sz w:val="18"/>
                <w:szCs w:val="18"/>
                <w:color w:val="auto"/>
                <w:w w:val="99"/>
              </w:rPr>
              <w:t>Senior Notes (a)</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4.375%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491,920</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1,782,057</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1,759,297</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1,450,000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1,434,260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right="40" w:hanging="372"/>
        <w:spacing w:after="0" w:line="258"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March 2019, Lazard Group completed an offering of $500,000 aggregate principal amount of 4.375% senior notes due 2029 (the “2029 Notes”). Interest on the 2029 Notes is payable semi-annually on March 11 and September 11 of each year, beginning September 11, 2019. Lazard Group used a portion of the net proceeds of the 2029 Notes to redeem or otherwise retire $250,000 aggregate principal amount of the 4.25% senior notes due 2020 (the “2020 Notes”). As of March 31, 2019, $167,943 aggregate principal amount was redeemed or otherwise retired, and the remaining $82,057 was redeemed or otherwise retired on April 10, 2019.</w:t>
      </w:r>
    </w:p>
    <w:p>
      <w:pPr>
        <w:spacing w:after="0" w:line="8" w:lineRule="exact"/>
        <w:rPr>
          <w:rFonts w:ascii="Times New Roman" w:cs="Times New Roman" w:eastAsia="Times New Roman" w:hAnsi="Times New Roman"/>
          <w:sz w:val="18"/>
          <w:szCs w:val="18"/>
          <w:color w:val="auto"/>
        </w:rPr>
      </w:pPr>
    </w:p>
    <w:p>
      <w:pPr>
        <w:ind w:left="380" w:right="220" w:hanging="372"/>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interest rates of Lazard Group’s 3.75% senior notes due February 13, 2025 (the “2025 Notes”), Lazard Group’s 3.625% senior notes due March 1, 2027 (the “2027 Notes”), Lazard Group’s 4.50% senior notes due September 19, 2028 (the “2028 Notes”) and the 2029 Notes are 3.87%, 3.76%, 4.68% and 4.54% respectively.</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25" w:name="page26"/>
    <w:bookmarkEnd w:id="25"/>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7"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March 31, 2019 and December 31, 2018, no amounts were outstanding under the Amended and Restated Credit Agreement.</w:t>
      </w:r>
    </w:p>
    <w:p>
      <w:pPr>
        <w:spacing w:after="0" w:line="188"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March 31, 2019, the Company was in compliance with such provisions. All of the Company’s senior debt obligations are unsecured.</w:t>
      </w:r>
    </w:p>
    <w:p>
      <w:pPr>
        <w:spacing w:after="0" w:line="176"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As of March 31, 2019, the Company had approximately $168,000 in unused lines of credit available to it, including the credit facility provided under the Amended and Restated Credit Agreement and unused lines of credit available to LFB of approximately $17,000.</w:t>
      </w:r>
    </w:p>
    <w:p>
      <w:pPr>
        <w:spacing w:after="0" w:line="162"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Company’s senior debt at March 31, 2019 and December 31, 2018 is carried at historical amounts of $1,759,297 and $1,434,260, respectively. At those dates, the fair value of such senior debt was approximately $1,810,000 and $1,429,000, respectively. The fair value of the Company’s senior debt is based on market quotations. The Company’s senior debt would be categorized within Level 2 of the hierarchy of fair value measurements if carried at fair value.</w:t>
      </w:r>
    </w:p>
    <w:p>
      <w:pPr>
        <w:spacing w:after="0" w:line="365"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17" w:lineRule="exact"/>
        <w:rPr>
          <w:sz w:val="20"/>
          <w:szCs w:val="20"/>
          <w:color w:val="auto"/>
        </w:rPr>
      </w:pPr>
    </w:p>
    <w:p>
      <w:pPr>
        <w:ind w:right="14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—In the normal course of business, LFB provides indemnifications to third parties to protect them in the event of non-performance by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clients. At March 31, 2019, LFB had $45,649 of such indemnifications and held $45,649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77"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Business Acquisitions</w:t>
      </w:r>
      <w:r>
        <w:rPr>
          <w:rFonts w:ascii="Times New Roman" w:cs="Times New Roman" w:eastAsia="Times New Roman" w:hAnsi="Times New Roman"/>
          <w:sz w:val="18"/>
          <w:szCs w:val="18"/>
          <w:color w:val="auto"/>
        </w:rPr>
        <w:t>—For a business acquired in 2016, the remaining consideration consists of (i) 40,524 shares of Class A common stock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non-compete provisions and employment conditions and (ii) up to 210,431 additional shares of Class A common stock that are subject to certain performance thresholds. During the three month period ended March 31, 2019, none of the contingent shares were earned.</w:t>
      </w:r>
    </w:p>
    <w:p>
      <w:pPr>
        <w:spacing w:after="0" w:line="171" w:lineRule="exact"/>
        <w:rPr>
          <w:sz w:val="20"/>
          <w:szCs w:val="20"/>
          <w:color w:val="auto"/>
        </w:rPr>
      </w:pPr>
    </w:p>
    <w:p>
      <w:pPr>
        <w:ind w:right="18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Commitments</w:t>
      </w:r>
      <w:r>
        <w:rPr>
          <w:rFonts w:ascii="Times New Roman" w:cs="Times New Roman" w:eastAsia="Times New Roman" w:hAnsi="Times New Roman"/>
          <w:sz w:val="18"/>
          <w:szCs w:val="18"/>
          <w:color w:val="auto"/>
        </w:rPr>
        <w:t>—The Company has various other contractual commitments arising in the ordinary course of business. In addition,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each of LFB and LFNY may enter into underwriting commitments in which it will participate as an underwriter. At March 31, 2019, LFB and LFNY had no such underwriting commitments.</w:t>
      </w:r>
    </w:p>
    <w:p>
      <w:pPr>
        <w:spacing w:after="0" w:line="175"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See Notes 6 and 15 for information regarding commitments relating to investment capital funding commitments and obligations to fund our pension plans, respectively.</w:t>
      </w:r>
    </w:p>
    <w:p>
      <w:pPr>
        <w:spacing w:after="0" w:line="162" w:lineRule="exact"/>
        <w:rPr>
          <w:sz w:val="20"/>
          <w:szCs w:val="20"/>
          <w:color w:val="auto"/>
        </w:rPr>
      </w:pPr>
    </w:p>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58"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Legal</w:t>
      </w: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6" w:name="page27"/>
    <w:bookmarkEnd w:id="26"/>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3"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MEMBERS’ EQUITY</w:t>
      </w:r>
    </w:p>
    <w:p>
      <w:pPr>
        <w:spacing w:after="0" w:line="117" w:lineRule="exact"/>
        <w:rPr>
          <w:sz w:val="20"/>
          <w:szCs w:val="20"/>
          <w:color w:val="auto"/>
        </w:rPr>
      </w:pPr>
    </w:p>
    <w:p>
      <w:pPr>
        <w:ind w:right="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Lazard Group Distributions</w:t>
      </w:r>
      <w:r>
        <w:rPr>
          <w:rFonts w:ascii="Times New Roman" w:cs="Times New Roman" w:eastAsia="Times New Roman" w:hAnsi="Times New Roman"/>
          <w:sz w:val="18"/>
          <w:szCs w:val="18"/>
          <w:color w:val="auto"/>
        </w:rPr>
        <w:t>—Distributions in respect of Lazard Group’s common membership interests are allocated to the holders of such interests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175"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During the three month periods ended March 31, 2019 and 2018, Lazard Group distributed $52,210 and $203,920, respectively, to the subsidiaries of Lazard Ltd.</w:t>
      </w:r>
    </w:p>
    <w:p>
      <w:pPr>
        <w:spacing w:after="0" w:line="162"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58" w:lineRule="exact"/>
        <w:rPr>
          <w:sz w:val="20"/>
          <w:szCs w:val="20"/>
          <w:color w:val="auto"/>
        </w:rPr>
      </w:pPr>
    </w:p>
    <w:p>
      <w:pPr>
        <w:ind w:right="1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—During the three month period ended March 31, 2019 and since 2017, the Board of Directors of Lazard authorized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repurchase of Class A common stock as set forth in the table below:</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40" w:type="dxa"/>
            <w:vAlign w:val="bottom"/>
            <w:vMerge w:val="restart"/>
          </w:tcPr>
          <w:p>
            <w:pPr>
              <w:spacing w:after="0"/>
              <w:rPr>
                <w:sz w:val="13"/>
                <w:szCs w:val="13"/>
                <w:color w:val="auto"/>
              </w:rPr>
            </w:pP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22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65"/>
        </w:trPr>
        <w:tc>
          <w:tcPr>
            <w:tcW w:w="300" w:type="dxa"/>
            <w:vAlign w:val="bottom"/>
            <w:tcBorders>
              <w:bottom w:val="single" w:sz="8" w:color="auto"/>
            </w:tcBorders>
            <w:gridSpan w:val="2"/>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Authorization</w:t>
            </w:r>
          </w:p>
        </w:tc>
        <w:tc>
          <w:tcPr>
            <w:tcW w:w="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2017</w:t>
            </w:r>
          </w:p>
        </w:tc>
        <w:tc>
          <w:tcPr>
            <w:tcW w:w="25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vMerge w:val="continue"/>
            <w:shd w:val="clear" w:color="auto" w:fill="CFF0FC"/>
          </w:tcPr>
          <w:p>
            <w:pPr>
              <w:spacing w:after="0"/>
              <w:rPr>
                <w:sz w:val="20"/>
                <w:szCs w:val="20"/>
                <w:color w:val="auto"/>
              </w:rPr>
            </w:pPr>
          </w:p>
        </w:tc>
        <w:tc>
          <w:tcPr>
            <w:tcW w:w="2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December 31, 2019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2018</w:t>
            </w:r>
          </w:p>
        </w:tc>
        <w:tc>
          <w:tcPr>
            <w:tcW w:w="2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December 31, 2020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2018</w:t>
            </w:r>
          </w:p>
        </w:tc>
        <w:tc>
          <w:tcPr>
            <w:tcW w:w="2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December 31, 2020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2019</w:t>
            </w:r>
          </w:p>
        </w:tc>
        <w:tc>
          <w:tcPr>
            <w:tcW w:w="2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December 31, 2020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Company expects that the share repurchase program will continue to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40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Borders>
              <w:bottom w:val="single" w:sz="8" w:color="auto"/>
            </w:tcBorders>
            <w:vMerge w:val="continue"/>
          </w:tcPr>
          <w:p>
            <w:pPr>
              <w:spacing w:after="0"/>
              <w:rPr>
                <w:sz w:val="11"/>
                <w:szCs w:val="11"/>
                <w:color w:val="auto"/>
              </w:rPr>
            </w:pPr>
          </w:p>
        </w:tc>
        <w:tc>
          <w:tcPr>
            <w:tcW w:w="4040" w:type="dxa"/>
            <w:vAlign w:val="bottom"/>
          </w:tcPr>
          <w:p>
            <w:pPr>
              <w:spacing w:after="0"/>
              <w:rPr>
                <w:sz w:val="11"/>
                <w:szCs w:val="11"/>
                <w:color w:val="auto"/>
              </w:rPr>
            </w:pPr>
          </w:p>
        </w:tc>
        <w:tc>
          <w:tcPr>
            <w:tcW w:w="12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bottom w:val="single" w:sz="8" w:color="CFF0FC"/>
            </w:tcBorders>
          </w:tcPr>
          <w:p>
            <w:pPr>
              <w:spacing w:after="0" w:line="20" w:lineRule="exact"/>
              <w:rPr>
                <w:sz w:val="1"/>
                <w:szCs w:val="1"/>
                <w:color w:val="auto"/>
              </w:rPr>
            </w:pPr>
          </w:p>
        </w:tc>
        <w:tc>
          <w:tcPr>
            <w:tcW w:w="404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40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2,662,286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0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5,177,948</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During the three month periods ended March 31, 2019 and 2018,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the executive officers equal in value to all or a portion of the estimated amount of such tax. In addition, during the three month period ended March 31, 2018, the Company purchased shares of Class A common stock from certain of our executive officers. The aggregate value of all such purchases during the three month periods ended March 31, 2019 and 2018 was approximately $14,600 and $16,400, respectively. Such shares of Class A common stock are reported at cost.</w:t>
      </w:r>
    </w:p>
    <w:p>
      <w:pPr>
        <w:spacing w:after="0" w:line="188"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As of March 31, 2019, a total of $403,415 of share repurchase authorization remained available under Lazard Ltd’s share repurchase program, all of which will expire on December 31, 2020.</w:t>
      </w:r>
    </w:p>
    <w:p>
      <w:pPr>
        <w:spacing w:after="0" w:line="162"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During the three month period ended March 31, 2019, Lazard Ltd had in place trading plans under Rule 10b5-1 of the Securities Exchange Act of 1934, as amended (the “Exchange Act”), pursuant to which it effected stock repurchases in the open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19" w:lineRule="exact"/>
        <w:rPr>
          <w:sz w:val="20"/>
          <w:szCs w:val="20"/>
          <w:color w:val="auto"/>
        </w:rPr>
      </w:pPr>
    </w:p>
    <w:p>
      <w:pPr>
        <w:ind w:right="3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Net of Tax</w:t>
      </w:r>
      <w:r>
        <w:rPr>
          <w:rFonts w:ascii="Times New Roman" w:cs="Times New Roman" w:eastAsia="Times New Roman" w:hAnsi="Times New Roman"/>
          <w:sz w:val="18"/>
          <w:szCs w:val="18"/>
          <w:color w:val="auto"/>
        </w:rPr>
        <w:t>—The tables below reflect the balances of each component of AOCI at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and 2018 and activity during the three month periods then ended: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ind w:left="82"/>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1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Lazard Group</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(145,831</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(228,660</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(228,660</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2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(144,650</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(224,550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(224,551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ind w:left="82"/>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1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Lazard Group</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860" w:type="dxa"/>
            <w:vAlign w:val="bottom"/>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(151,466</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(195,256</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(195,256</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(5,014)</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2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2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(155,418</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(180,259</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(180,259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reflects adjustments for items reclassified out of AOCI, by component, for the three month periods ended March 31, 2019 and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19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relating to employee benefit plans (a)</w:t>
            </w:r>
          </w:p>
        </w:tc>
        <w:tc>
          <w:tcPr>
            <w:tcW w:w="20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Less - related income taxes</w:t>
            </w:r>
          </w:p>
        </w:tc>
        <w:tc>
          <w:tcPr>
            <w:tcW w:w="20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20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0" w:lineRule="exact"/>
        <w:rPr>
          <w:sz w:val="20"/>
          <w:szCs w:val="20"/>
          <w:color w:val="auto"/>
        </w:rPr>
      </w:pPr>
    </w:p>
    <w:p>
      <w:pPr>
        <w:ind w:left="380" w:right="400" w:hanging="372"/>
        <w:spacing w:after="0" w:line="284"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computation of net periodic benefit cost (see Note 15). Such amounts are included in “operating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other” on the condensed consolidated statements of operations.</w:t>
      </w:r>
    </w:p>
    <w:p>
      <w:pPr>
        <w:spacing w:after="0" w:line="156" w:lineRule="exact"/>
        <w:rPr>
          <w:sz w:val="20"/>
          <w:szCs w:val="20"/>
          <w:color w:val="auto"/>
        </w:rPr>
      </w:pPr>
    </w:p>
    <w:p>
      <w:pPr>
        <w:ind w:right="4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Noncontrolling Interests</w:t>
      </w:r>
      <w:r>
        <w:rPr>
          <w:rFonts w:ascii="Times New Roman" w:cs="Times New Roman" w:eastAsia="Times New Roman" w:hAnsi="Times New Roman"/>
          <w:sz w:val="18"/>
          <w:szCs w:val="18"/>
          <w:color w:val="auto"/>
        </w:rPr>
        <w:t>—Noncontrolling interests principally represent interests held in Edgewater’s management vehicles that the Company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deemed to control, but does not own.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8" w:name="page29"/>
    <w:bookmarkEnd w:id="28"/>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tables below summarize net income attributable to noncontrolling interests for the three month periods ended March 31, 2019 and 2018 and noncontrolling interests as of March 31, 2019 and December 31, 2018 in the Company’s condensed consolidated financial statements:</w:t>
      </w:r>
    </w:p>
    <w:p>
      <w:pPr>
        <w:spacing w:after="0" w:line="169"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Net Income</w:t>
      </w:r>
    </w:p>
    <w:p>
      <w:pPr>
        <w:jc w:val="center"/>
        <w:ind w:left="7740"/>
        <w:spacing w:after="0" w:line="229" w:lineRule="auto"/>
        <w:rPr>
          <w:sz w:val="20"/>
          <w:szCs w:val="20"/>
          <w:color w:val="auto"/>
        </w:rPr>
      </w:pPr>
      <w:r>
        <w:rPr>
          <w:rFonts w:ascii="Times New Roman" w:cs="Times New Roman" w:eastAsia="Times New Roman" w:hAnsi="Times New Roman"/>
          <w:sz w:val="14"/>
          <w:szCs w:val="14"/>
          <w:b w:val="1"/>
          <w:bCs w:val="1"/>
          <w:color w:val="auto"/>
        </w:rPr>
        <w:t>Attributable to Noncontrolling</w:t>
      </w:r>
    </w:p>
    <w:p>
      <w:pPr>
        <w:jc w:val="center"/>
        <w:ind w:left="7740"/>
        <w:spacing w:after="0" w:line="232" w:lineRule="auto"/>
        <w:rPr>
          <w:sz w:val="20"/>
          <w:szCs w:val="20"/>
          <w:color w:val="auto"/>
        </w:rPr>
      </w:pPr>
      <w:r>
        <w:rPr>
          <w:rFonts w:ascii="Times New Roman" w:cs="Times New Roman" w:eastAsia="Times New Roman" w:hAnsi="Times New Roman"/>
          <w:sz w:val="14"/>
          <w:szCs w:val="14"/>
          <w:b w:val="1"/>
          <w:bCs w:val="1"/>
          <w:color w:val="auto"/>
        </w:rPr>
        <w:t>Interests</w:t>
      </w:r>
    </w:p>
    <w:tbl>
      <w:tblPr>
        <w:tblLayout w:type="fixed"/>
        <w:tblInd w:w="0" w:type="dxa"/>
        <w:tblCellMar>
          <w:top w:w="0" w:type="dxa"/>
          <w:left w:w="0" w:type="dxa"/>
          <w:bottom w:w="0" w:type="dxa"/>
          <w:right w:w="0" w:type="dxa"/>
        </w:tblCellMar>
      </w:tblPr>
      <w:tr>
        <w:trPr>
          <w:trHeight w:val="144"/>
        </w:trPr>
        <w:tc>
          <w:tcPr>
            <w:tcW w:w="78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5"/>
          </w:tcPr>
          <w:p>
            <w:pPr>
              <w:jc w:val="center"/>
              <w:ind w:right="196"/>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2"/>
                <w:szCs w:val="12"/>
                <w:color w:val="auto"/>
              </w:rPr>
            </w:pPr>
          </w:p>
        </w:tc>
      </w:tr>
      <w:tr>
        <w:trPr>
          <w:trHeight w:val="173"/>
        </w:trPr>
        <w:tc>
          <w:tcPr>
            <w:tcW w:w="7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center"/>
              <w:ind w:left="9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Edgewater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Noncontrolling Interests as of</w:t>
            </w:r>
          </w:p>
        </w:tc>
      </w:tr>
      <w:tr>
        <w:trPr>
          <w:trHeight w:val="144"/>
        </w:trPr>
        <w:tc>
          <w:tcPr>
            <w:tcW w:w="78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96"/>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r>
      <w:tr>
        <w:trPr>
          <w:trHeight w:val="173"/>
        </w:trPr>
        <w:tc>
          <w:tcPr>
            <w:tcW w:w="78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Edgewater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52,695</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Plan Awards</w:t>
      </w:r>
    </w:p>
    <w:p>
      <w:pPr>
        <w:spacing w:after="0" w:line="121"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 description of Lazard Ltd’s 2018 Plan, 2008 Plan and 2005 Equity Incentive Plan (the “2005 Plan”) and activity with respect thereto during the three month periods ended March 31, 2019 and 2018 is presented below.</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2018 Plan, 2008 Plan and 2005 Plan</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profits interest participation rights and other share-based awards.</w:t>
      </w:r>
    </w:p>
    <w:p>
      <w:pPr>
        <w:spacing w:after="0" w:line="176"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outstanding awards granted under the 2008 Plan before its termination continue to be subject to its terms.</w:t>
      </w:r>
    </w:p>
    <w:p>
      <w:pPr>
        <w:spacing w:after="0" w:line="184"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outstanding deferred stock unit (“DSU”) awards granted under the 2005 Plan before its expiration continue to be subject to its terms.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9" w:name="page30"/>
    <w:bookmarkEnd w:id="29"/>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The following reflects the amortization expense recorded with respect to share-based incentive plans within “compensation and benefits” expense (with respect to RSUs, PRSUs and other share-based awards) and “professional services” expense (with respect to DSUs) within the Company’s accompanying condensed consolidated statements of operations for the three month periods ended March 31, 2019 and 2018:</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00" w:type="dxa"/>
            <w:vAlign w:val="bottom"/>
            <w:tcBorders>
              <w:bottom w:val="single" w:sz="8" w:color="CFF0FC"/>
            </w:tcBorders>
          </w:tcPr>
          <w:p>
            <w:pPr>
              <w:spacing w:after="0"/>
              <w:rPr>
                <w:sz w:val="13"/>
                <w:szCs w:val="13"/>
                <w:color w:val="auto"/>
              </w:rPr>
            </w:pPr>
          </w:p>
        </w:tc>
        <w:tc>
          <w:tcPr>
            <w:tcW w:w="25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incentive awards:</w:t>
            </w:r>
          </w:p>
        </w:tc>
        <w:tc>
          <w:tcPr>
            <w:tcW w:w="2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RSUs</w:t>
            </w:r>
          </w:p>
        </w:tc>
        <w:tc>
          <w:tcPr>
            <w:tcW w:w="356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55,197</w:t>
            </w:r>
          </w:p>
        </w:tc>
        <w:tc>
          <w:tcPr>
            <w:tcW w:w="86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60,887</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PRSUs</w:t>
            </w:r>
          </w:p>
        </w:tc>
        <w:tc>
          <w:tcPr>
            <w:tcW w:w="2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w:t>
            </w:r>
          </w:p>
        </w:tc>
        <w:tc>
          <w:tcPr>
            <w:tcW w:w="2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Profits interest participation rights</w:t>
            </w:r>
          </w:p>
        </w:tc>
        <w:tc>
          <w:tcPr>
            <w:tcW w:w="2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DSUs</w:t>
            </w:r>
          </w:p>
        </w:tc>
        <w:tc>
          <w:tcPr>
            <w:tcW w:w="25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84,589</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share-based incentive plans and awards are described below.</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RSUs and DSUs</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84"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three month periods ended March 31, 2019 and 2018, dividend participation rights required the issuance of 406,886 and 535,695 RSUs, respectively.</w:t>
      </w:r>
    </w:p>
    <w:p>
      <w:pPr>
        <w:spacing w:after="0" w:line="203"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84"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Lazard Ltd’s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three month period ended March 31, 2019, 4,983 DSUs had been granted pursuant to such Plan.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0" w:name="page31"/>
    <w:bookmarkEnd w:id="30"/>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activity relating to RSUs and DSUs during the three month period ended March 31, 2019:</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9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DSUs</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11,362,306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323,546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406,886 RSUs relating to dividend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5,282,074</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(21,323)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(5,424,772)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11,198,285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328,529</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RSUs that settled during the three month period ended March 31, 2019, the Company satisfied its minimum statutory tax withholding requirements in lieu of delivering 1,976,674 shares of Class A common stock during such three month period. Accordingly, 3,448,098 shares of Class A common stock held by the Company were delivered during the three month period ended March 31, 2019.</w:t>
      </w:r>
    </w:p>
    <w:p>
      <w:pPr>
        <w:spacing w:after="0" w:line="176" w:lineRule="exact"/>
        <w:rPr>
          <w:sz w:val="20"/>
          <w:szCs w:val="20"/>
          <w:color w:val="auto"/>
        </w:rPr>
      </w:pPr>
    </w:p>
    <w:p>
      <w:pPr>
        <w:ind w:right="800" w:firstLine="518"/>
        <w:spacing w:after="0" w:line="282" w:lineRule="auto"/>
        <w:rPr>
          <w:sz w:val="20"/>
          <w:szCs w:val="20"/>
          <w:color w:val="auto"/>
        </w:rPr>
      </w:pPr>
      <w:r>
        <w:rPr>
          <w:rFonts w:ascii="Times New Roman" w:cs="Times New Roman" w:eastAsia="Times New Roman" w:hAnsi="Times New Roman"/>
          <w:sz w:val="18"/>
          <w:szCs w:val="18"/>
          <w:color w:val="auto"/>
        </w:rPr>
        <w:t>As of March 31, 2019, estimated unrecognized RSU compensation expense was approximately $250,758, with such expense expected to be recognized over a weighted average period of approximately 1.0 years subsequent to March 31, 2019.</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following is a summary of activity related to shares of restricted Class A common stock associated with compensation arrangements during the three month period ended March 31, 2019:</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1,541,058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1,039,736</w:t>
            </w:r>
          </w:p>
        </w:tc>
        <w:tc>
          <w:tcPr>
            <w:tcW w:w="120" w:type="dxa"/>
            <w:vAlign w:val="bottom"/>
          </w:tcPr>
          <w:p>
            <w:pPr>
              <w:spacing w:after="0"/>
              <w:rPr>
                <w:sz w:val="19"/>
                <w:szCs w:val="19"/>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(7,776)</w:t>
            </w: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(876,062)</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1,696,956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shares of restricted Class A common stock that settled during the three month period ended March 31, 2019, the Company satisfied its minimum statutory tax withholding requirements in lieu of delivering 321,508 shares of Class A common stock during such three month period. Accordingly, 554,554 shares of Class A common stock held by the Company were delivered during the three month period ended March 31, 2019.</w:t>
      </w:r>
    </w:p>
    <w:p>
      <w:pPr>
        <w:spacing w:after="0" w:line="17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restricted stock awards include a cash dividend participation right equivalent to dividends paid on Class A common stock during the period, which will vest concurrently with the underlying restricted stock award. At March 31, 2019, estimated unrecognized restricted stock expense was approximately $43,712, with such expense to be recognized over a weighted average period of approximately 0.9 years subsequent to March 31, 2019.</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121"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1" w:name="page32"/>
    <w:bookmarkEnd w:id="31"/>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31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activity relating to PRSUs during the three month period ended March 31, 2019:</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1,771,795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(1,049,153)</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722,642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certain PRSUs that settled during the three month period ended March 31, 2019, the Company satisfied its minimum statutory tax withholding requirements in lieu of delivering 145,174 of Class A common stock during such three month period. Accordingly, 903,979 shares of Class A common stock held by the Company were delivered during the three month period ended March 31, 2019.</w:t>
      </w:r>
    </w:p>
    <w:p>
      <w:pPr>
        <w:spacing w:after="0" w:line="176" w:lineRule="exact"/>
        <w:rPr>
          <w:sz w:val="20"/>
          <w:szCs w:val="20"/>
          <w:color w:val="auto"/>
        </w:rPr>
      </w:pPr>
    </w:p>
    <w:p>
      <w:pPr>
        <w:ind w:right="320" w:firstLine="518"/>
        <w:spacing w:after="0" w:line="261" w:lineRule="auto"/>
        <w:rPr>
          <w:sz w:val="20"/>
          <w:szCs w:val="20"/>
          <w:color w:val="auto"/>
        </w:rPr>
      </w:pPr>
      <w:r>
        <w:rPr>
          <w:rFonts w:ascii="Times New Roman" w:cs="Times New Roman" w:eastAsia="Times New Roman" w:hAnsi="Times New Roman"/>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March 31, 2019, the total estimated unrecognized compensation expense was approximately $5,177, and the Company expects to amortize such expense over a weighted-average period of approximately 0.8 years subsequent to March 31, 2019.</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 Participation Rights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early 2019, the Company established a new long-term incentive compensation program consisting of profits interest participation rights, which are equity incentive awards that, subject to certain conditions, may be exchanged for shares of Class A common stock pursuant to the 2018 Plan. Pursuant to the program, in February 2019, the Company granted profits interest participation rights subject to service-based and performance-based vesting criteria and other conditions, which we refer to as performance-based restricted participation units (“PRPUs”), to each of the Company’s NEOs, and profits interest participation rights subject to service-based vesting criteria and other conditions to a limited number of other senior employees, pursuant to profits interest participation right agreements. Profits interest participation rights generally provide for vesting approximately three years following the grant date, so long as applicable conditions have been satisfied.</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Profits interest participation rights are a class of membership interests in the Company that are intended to qualify as “profits interests” for U.S. federal income tax purposes, and are recorded within members’ equity in the Company’s condensed consolidated statements of financial condition. The profits interest participation rights generally allow the recipient to realize value only to the extent that both (i) the service-based vesting conditions and, if applicable, the performance conditions, are satisfied, and (ii) an amount of economic appreciation in the assets of the Company occurs as necessary to satisfy certain partnership tax rules (referred to as the "Minimum Value Condition") before the fifth anniversary of the grant date, otherwise the profits interest participation rights will be forfeited. Upon satisfaction of such conditions, profits interest participation rights that are in parity with the value of Class A common stock will be exchanged on a one-for-one basis for shares of Class A common stock. If forfeited based solely on failing to meet the Minimum Value Condition, the associated compensation expense cannot be reversed.</w:t>
      </w:r>
    </w:p>
    <w:p>
      <w:pPr>
        <w:spacing w:after="0" w:line="185"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Like outstanding RSUs and similar awards, profits interest participation rights will be subject to continued employment and other vesting conditions and restrictions and will be forfeited if those conditions and restrictions are not fulfilled. In addition, profits interest participation rights must satisfy the Minimum Value Condition. PRPUs, like outstanding PRSUs, will be subject to the achievement of incremental pre-established performance conditions and financial metrics and will only result in value to the recipient to the extent the conditions are satisfied. Furthermore, vesting of profits interest participation rights will be subject to compliance with restrictive covenants including non-compete, non-solicitation of clients, no hire of employees and confidentiality, which are similar to those applicable to PRSUs and RSUs.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2" w:name="page33"/>
    <w:bookmarkEnd w:id="32"/>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number of shares of Class A common stock that a recipient will receive upon vesting of a PRPU award will be calculated by reference to applicable financial metrics. The target number of shares of Class A common stock subject to each PRPU is one. Based on the achievement of performance criteria, as determined by the Compensation Committee, the number of shares of Class A common stock that may be received in connection with each PRPU award will range from zero to two times the target number. Unless applicable performance conditions are satisfied during the three year performance period, and the Minimum Value Condition is satisfied within five years following the grant date, all PRPUs will be forfeited, and the recipients will not be entitled to any payments with respect to such awards.</w:t>
      </w:r>
    </w:p>
    <w:p>
      <w:pPr>
        <w:spacing w:after="0" w:line="188"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addition, the performance metrics applicable to each PRPU will be evaluated on an annual basis at the end of each fiscal year during the performance period, and, if Lazard Ltd has achieved a threshold level of performance with respect to the fiscal year, 25% of the target number of shares of Class A common stock subject to the applicable units will no longer be at risk of forfeiture based on the achievement of performance criteria. Profits interest participation rights are allocated income, subject to vesting and settled in cash, in respect of dividends paid on Class A common stock.</w:t>
      </w:r>
    </w:p>
    <w:p>
      <w:pPr>
        <w:spacing w:after="0" w:line="2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following is a summary of activity relating to profits interest participation rights, including PRPUs, during the three month period ended March 31, 2019:</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Profits Interest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Participation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Granted (a)</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1,462,702</w:t>
            </w:r>
          </w:p>
        </w:tc>
        <w:tc>
          <w:tcPr>
            <w:tcW w:w="40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1,462,702</w:t>
            </w:r>
          </w:p>
        </w:tc>
        <w:tc>
          <w:tcPr>
            <w:tcW w:w="4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Table includes the target number of PRPUs assuming the achievement of applicable performance conditions at the target level.</w:t>
      </w:r>
    </w:p>
    <w:p>
      <w:pPr>
        <w:spacing w:after="0" w:line="23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Compensation expense recognized for profits interest participation rights, including PRPUs, is determined by multiplying the number of shares of Class A common stock underlying such awards that, based on the Company’s estimate, are considered probable of vesting, by the grant date fair value. As of March 31, 2019, the total estimated unrecognized compensation expense was approximately $38,066, and the Company expects to amortize such expense over a weighted-average period of approximately 0.9 years subsequent to March 31, 2019.</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LFI and Other Similar Deferred Compensation Arrangements</w:t>
      </w:r>
    </w:p>
    <w:p>
      <w:pPr>
        <w:spacing w:after="0" w:line="121" w:lineRule="exact"/>
        <w:rPr>
          <w:sz w:val="20"/>
          <w:szCs w:val="20"/>
          <w:color w:val="auto"/>
        </w:rPr>
      </w:pPr>
    </w:p>
    <w:p>
      <w:pPr>
        <w:ind w:right="80" w:firstLine="518"/>
        <w:spacing w:after="0" w:line="273" w:lineRule="auto"/>
        <w:rPr>
          <w:sz w:val="20"/>
          <w:szCs w:val="20"/>
          <w:color w:val="auto"/>
        </w:rPr>
      </w:pPr>
      <w:r>
        <w:rPr>
          <w:rFonts w:ascii="Times New Roman" w:cs="Times New Roman" w:eastAsia="Times New Roman" w:hAnsi="Times New Roman"/>
          <w:sz w:val="17"/>
          <w:szCs w:val="17"/>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33" w:name="page34"/>
    <w:bookmarkEnd w:id="33"/>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activity relating to LFI and other similar deferred compensation arrangements during the three 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and 2018:</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Prepaid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76,362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(62,997)</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(16,380)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161,907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(72,979)</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(15,373)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149,096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The amortization of the prepaid compensation asset will generally be recognized over a weighted average period of approximately 1.0 years subsequent to March 31, 2019.</w:t>
      </w:r>
    </w:p>
    <w:p>
      <w:pPr>
        <w:spacing w:after="0" w:line="162"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impact of LFI and other similar deferred compensation arrangements on “compensation and benefits” expense within the accompanying condensed consolidated statements of operations for the three month periods ended March 31, 2019 and 2018:</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net of forfeitures</w:t>
            </w:r>
          </w:p>
        </w:tc>
        <w:tc>
          <w:tcPr>
            <w:tcW w:w="17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17,934</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Change in the fair value of underlying investments</w:t>
            </w: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 PLANS</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other” for the other components of benefit costs on the condensed consolidated statements of operations.</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17" w:right="379" w:bottom="1440" w:gutter="0" w:footer="0" w:header="0"/>
        </w:sectPr>
      </w:pPr>
    </w:p>
    <w:bookmarkStart w:id="34" w:name="page35"/>
    <w:bookmarkEnd w:id="34"/>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19" w:lineRule="exact"/>
        <w:rPr>
          <w:sz w:val="20"/>
          <w:szCs w:val="20"/>
          <w:color w:val="auto"/>
        </w:rPr>
      </w:pPr>
    </w:p>
    <w:p>
      <w:pPr>
        <w:ind w:right="80" w:firstLine="51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Employer Contributions to Pension Plans</w:t>
      </w:r>
      <w:r>
        <w:rPr>
          <w:rFonts w:ascii="Times New Roman" w:cs="Times New Roman" w:eastAsia="Times New Roman" w:hAnsi="Times New Roman"/>
          <w:sz w:val="17"/>
          <w:szCs w:val="17"/>
          <w:color w:val="auto"/>
        </w:rPr>
        <w:t>—The Company’s funding policy for its U.S. and non-U.S. pension plans is to fund when required or when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applicable upon an agreement with the plans’ trustees. Management also evaluates from time to time whether to make voluntary contributions to the plans.</w:t>
      </w:r>
    </w:p>
    <w:p>
      <w:pPr>
        <w:spacing w:after="0" w:line="136"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benefit cost (credit) related to the Company’s pension plans for the three month periods ended March 31,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880" w:type="dxa"/>
            <w:vAlign w:val="bottom"/>
            <w:tcBorders>
              <w:bottom w:val="single" w:sz="8" w:color="auto"/>
            </w:tcBorders>
            <w:gridSpan w:val="5"/>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20" w:type="dxa"/>
            <w:vAlign w:val="bottom"/>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(Credit):</w:t>
            </w:r>
          </w:p>
        </w:tc>
        <w:tc>
          <w:tcPr>
            <w:tcW w:w="19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 cost</w:t>
            </w:r>
          </w:p>
        </w:tc>
        <w:tc>
          <w:tcPr>
            <w:tcW w:w="3000" w:type="dxa"/>
            <w:vAlign w:val="bottom"/>
            <w:gridSpan w:val="2"/>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9"/>
                <w:szCs w:val="19"/>
                <w:color w:val="auto"/>
              </w:rPr>
            </w:pPr>
          </w:p>
        </w:tc>
        <w:tc>
          <w:tcPr>
            <w:tcW w:w="1140" w:type="dxa"/>
            <w:vAlign w:val="bottom"/>
            <w:gridSpan w:val="2"/>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cost</w:t>
            </w:r>
          </w:p>
        </w:tc>
        <w:tc>
          <w:tcPr>
            <w:tcW w:w="1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(7,783)</w:t>
            </w:r>
          </w:p>
        </w:tc>
      </w:tr>
      <w:tr>
        <w:trPr>
          <w:trHeight w:val="230"/>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w:t>
            </w:r>
          </w:p>
        </w:tc>
        <w:tc>
          <w:tcPr>
            <w:tcW w:w="1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Prior service cost</w:t>
            </w: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actuarial loss (gain)</w:t>
            </w:r>
          </w:p>
        </w:tc>
        <w:tc>
          <w:tcPr>
            <w:tcW w:w="1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Settlement loss</w:t>
            </w:r>
          </w:p>
        </w:tc>
        <w:tc>
          <w:tcPr>
            <w:tcW w:w="19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9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8"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color w:val="auto"/>
        </w:rPr>
        <w:t>The Company recorded income tax provisions of $15,988 and $18,615 for the three month periods ended March 31, 2019 and 2018, respectively, representing effective tax rates of 14.7% and 10.0%, respectively. The difference between the U.S. federal statutory rate of 21.0% and the effective tax rates reflected above principally relates to (i) Lazard Group primarily operating as a limited liability company in the U.S., (ii) taxes payable to foreign jurisdictions,</w:t>
      </w:r>
    </w:p>
    <w:p>
      <w:pPr>
        <w:spacing w:after="0" w:line="2" w:lineRule="exact"/>
        <w:rPr>
          <w:sz w:val="20"/>
          <w:szCs w:val="20"/>
          <w:color w:val="auto"/>
        </w:rPr>
      </w:pPr>
    </w:p>
    <w:p>
      <w:pPr>
        <w:ind w:firstLine="8"/>
        <w:spacing w:after="0" w:line="261"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net tax benefit for share-based incentive compensation, (iv) change in the valuation allowance affecting the provision for income taxes, (v) U.S. state and local taxes, which are incremental to the U.S. federal statutory tax rate, and (vi) impact of U.S. tax reform, including base erosion and anti-abuse tax.</w:t>
      </w:r>
    </w:p>
    <w:p>
      <w:pPr>
        <w:spacing w:after="0" w:line="365"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 PARTIES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Receivables from and Payables to Lazard Ltd Subsidiaries</w:t>
      </w:r>
    </w:p>
    <w:p>
      <w:pPr>
        <w:spacing w:after="0" w:line="121"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Lazard Group’s receivables from subsidiaries of Lazard Ltd at March 31, 2019 included interest-bearing loans of $23,414, including accrued interest thereon. Interest income relating to interest-bearing loans with subsidiaries of Lazard Ltd amounted to $15 and $21 for the three month periods ended March 31, 2019 and 2018, respectively.</w:t>
      </w:r>
    </w:p>
    <w:p>
      <w:pPr>
        <w:spacing w:after="0" w:line="176"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Lazard Group’s payables to subsidiaries of Lazard Ltd at March 31, 2019 and December 31, 2018 included interest-bearing loans, including interest thereon, of $62,029 and $60,875, respectively. Interest expense relating to interest-bearing loans with subsidiaries of Lazard Ltd amounted to $887 and $973 for the three month periods ended March 31, 2019 and 2018,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5" w:name="page36"/>
    <w:bookmarkEnd w:id="35"/>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Sponsored Funds</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$144,170 and $181,309 for the three month periods ended March 31, 2019 and 2018, respectively, and are included in “asset management fees” on the condensed consolidated statements of operations. Of such amounts, $52,040 and $59,304 remained as receivables at March 31, 2019 and December 31, 2018, respectively, and are included in “fees receivable” on the condensed consolidated statements of financial condition.</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the first quarter of 2019, the Company recognized approximately $3,000 of investment banking and other advisory fees pertaining to financial advisory services provided to a company of which a member of the Company’s Board of Directors served as Chairman and CEO. The engagement terms were negotiated in the ordinary course of business on an arms-length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13 for information regarding related party transactions pertaining to shares repurchased from certain of our executive officers.</w:t>
      </w:r>
    </w:p>
    <w:p>
      <w:pPr>
        <w:spacing w:after="0" w:line="200" w:lineRule="exact"/>
        <w:rPr>
          <w:sz w:val="20"/>
          <w:szCs w:val="20"/>
          <w:color w:val="auto"/>
        </w:rPr>
      </w:pPr>
    </w:p>
    <w:p>
      <w:pPr>
        <w:spacing w:after="0" w:line="210"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REGULATORY AUTHORITIES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March 31, 2019, LFNY’s regulatory net capital was $62,245, which exceeded the minimum requirement by $60,157. LFNY’s aggregate indebtedness to net capital ratio was 0.50:1 as of March 31, 2019.</w:t>
      </w:r>
    </w:p>
    <w:p>
      <w:pPr>
        <w:spacing w:after="0" w:line="188"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Certain U.K. subsidiaries of the Company, including LCL, Lazard Fund Managers Limited and Lazard Asset Management Limited (collectively, the “U.K. Subsidiaries”) are regulated by the Financial Conduct Authority. At March 31, 2019, the aggregate regulatory net capital of the U.K. Subsidiaries was $175,591, which exceeded the minimum requirement by $158,550.</w:t>
      </w:r>
    </w:p>
    <w:p>
      <w:pPr>
        <w:spacing w:after="0" w:line="176"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March 31, 2019, the consolidated regulatory net capital of CFLF was $125,741, which exceeded the minimum requirement set for regulatory capital levels by $70,978.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2018, the regulatory net capital of the combined European regulated group was $157,783, which exceeded the minimum requirement set for regulatory capital levels by $56,330.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99"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Certain other U.S. and non-U.S. subsidiaries are subject to various capital adequacy requirements promulgated by various regulatory and exchange authorities in the countries in which they operate. At March 31, 2019, for those subsidiaries with regulatory capital requirements, their aggregate net capital was $151,125, which exceeded the minimum required capital by $122,820.</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2019, each of these subsidiaries individually was in compliance with its regulatory capital requirements.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6" w:name="page37"/>
    <w:bookmarkEnd w:id="36"/>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Any new or expanded rules and regulations that may be adopted in countries in which we operate (including regulations that have not yet been proposed) could affect us in other ways.</w:t>
      </w:r>
    </w:p>
    <w:p>
      <w:pPr>
        <w:spacing w:after="0" w:line="347"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segment information for the three month periods ended March 31, 2019 and 2018 is prepared using the following methodology:</w:t>
      </w:r>
    </w:p>
    <w:p>
      <w:pPr>
        <w:spacing w:after="0" w:line="117" w:lineRule="exact"/>
        <w:rPr>
          <w:sz w:val="20"/>
          <w:szCs w:val="20"/>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expenses directly associated with each segment are included in determining operating income.</w:t>
      </w:r>
    </w:p>
    <w:p>
      <w:pPr>
        <w:spacing w:after="0" w:line="117" w:lineRule="exact"/>
        <w:rPr>
          <w:rFonts w:ascii="Times New Roman" w:cs="Times New Roman" w:eastAsia="Times New Roman" w:hAnsi="Times New Roman"/>
          <w:sz w:val="18"/>
          <w:szCs w:val="18"/>
          <w:color w:val="auto"/>
        </w:rPr>
      </w:pPr>
    </w:p>
    <w:p>
      <w:pPr>
        <w:ind w:left="900" w:right="400" w:hanging="379"/>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not directly associated with specific segments are allocated based on the most relevant measures applicable, including headcount, square footage and other factors.</w:t>
      </w:r>
    </w:p>
    <w:p>
      <w:pPr>
        <w:spacing w:after="0" w:line="53" w:lineRule="exact"/>
        <w:rPr>
          <w:rFonts w:ascii="Times New Roman" w:cs="Times New Roman" w:eastAsia="Times New Roman" w:hAnsi="Times New Roman"/>
          <w:sz w:val="18"/>
          <w:szCs w:val="18"/>
          <w:color w:val="auto"/>
        </w:rPr>
      </w:pPr>
    </w:p>
    <w:p>
      <w:pPr>
        <w:ind w:left="900" w:hanging="379"/>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62"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Company allocates investment gains and losses, interest income and interest expense among the various segments based on the segment in which the underlying asset or liability is reported.</w:t>
      </w:r>
    </w:p>
    <w:p>
      <w:pPr>
        <w:spacing w:after="0" w:line="16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7" w:right="319" w:bottom="1440" w:gutter="0" w:footer="0" w:header="0"/>
        </w:sectPr>
      </w:pPr>
    </w:p>
    <w:bookmarkStart w:id="37" w:name="page38"/>
    <w:bookmarkEnd w:id="37"/>
    <w:p>
      <w:pPr>
        <w:ind w:left="478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0" w:lineRule="exact"/>
        <w:rPr>
          <w:sz w:val="20"/>
          <w:szCs w:val="20"/>
          <w:color w:val="auto"/>
        </w:rPr>
      </w:pPr>
    </w:p>
    <w:p>
      <w:pPr>
        <w:spacing w:after="0" w:line="223"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56"/>
        </w:trPr>
        <w:tc>
          <w:tcPr>
            <w:tcW w:w="32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92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tc>
        <w:tc>
          <w:tcPr>
            <w:tcW w:w="3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Revenue</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408,467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274,035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322,508</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85,959</w:t>
            </w:r>
          </w:p>
        </w:tc>
        <w:tc>
          <w:tcPr>
            <w:tcW w:w="100" w:type="dxa"/>
            <w:vAlign w:val="bottom"/>
            <w:shd w:val="clear" w:color="auto" w:fill="CFF0FC"/>
          </w:tcPr>
          <w:p>
            <w:pPr>
              <w:spacing w:after="0"/>
              <w:rPr>
                <w:sz w:val="19"/>
                <w:szCs w:val="19"/>
                <w:color w:val="auto"/>
              </w:rPr>
            </w:pPr>
          </w:p>
        </w:tc>
      </w:t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Revenue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301,833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207,348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229,669</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Borders>
              <w:bottom w:val="single" w:sz="8" w:color="CFF0FC"/>
            </w:tcBorders>
          </w:tcPr>
          <w:p>
            <w:pPr>
              <w:spacing w:after="0"/>
              <w:rPr>
                <w:sz w:val="19"/>
                <w:szCs w:val="19"/>
                <w:color w:val="auto"/>
              </w:rPr>
            </w:pPr>
          </w:p>
        </w:tc>
        <w:tc>
          <w:tcPr>
            <w:tcW w:w="3100" w:type="dxa"/>
            <w:vAlign w:val="bottom"/>
            <w:tcBorders>
              <w:bottom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94,485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124,614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Revenue</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(9,489)</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(23,621)</w:t>
            </w:r>
          </w:p>
        </w:tc>
        <w:tc>
          <w:tcPr>
            <w:tcW w:w="100" w:type="dxa"/>
            <w:vAlign w:val="bottom"/>
            <w:shd w:val="clear" w:color="auto" w:fill="CFF0FC"/>
          </w:tcPr>
          <w:p>
            <w:pPr>
              <w:spacing w:after="0"/>
              <w:rPr>
                <w:sz w:val="19"/>
                <w:szCs w:val="19"/>
                <w:color w:val="auto"/>
              </w:rPr>
            </w:pPr>
          </w:p>
        </w:tc>
      </w:t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Revenue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626,002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517,139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566,309</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108,863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186,952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gridSpan w:val="2"/>
          </w:tcPr>
          <w:p>
            <w:pPr>
              <w:spacing w:after="0"/>
              <w:rPr>
                <w:sz w:val="13"/>
                <w:szCs w:val="13"/>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CFF0FC"/>
            </w:tcBorders>
            <w:shd w:val="clear" w:color="auto" w:fill="CFF0FC"/>
          </w:tcPr>
          <w:p>
            <w:pPr>
              <w:spacing w:after="0"/>
              <w:rPr>
                <w:sz w:val="19"/>
                <w:szCs w:val="19"/>
                <w:color w:val="auto"/>
              </w:rPr>
            </w:pPr>
          </w:p>
        </w:tc>
        <w:tc>
          <w:tcPr>
            <w:tcW w:w="29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Advisory</w:t>
            </w:r>
          </w:p>
        </w:tc>
        <w:tc>
          <w:tcPr>
            <w:tcW w:w="1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1,037,589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18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698,694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CFF0FC"/>
            </w:tcBorders>
          </w:tcPr>
          <w:p>
            <w:pPr>
              <w:spacing w:after="0"/>
              <w:rPr>
                <w:sz w:val="19"/>
                <w:szCs w:val="19"/>
                <w:color w:val="auto"/>
              </w:rPr>
            </w:pPr>
          </w:p>
        </w:tc>
        <w:tc>
          <w:tcPr>
            <w:tcW w:w="292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3,218,448</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2,831,357</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3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4,954,731</w:t>
            </w: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4,389,475</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2018 (the “Form 10-K”). All references to “2019,” “2018,” “first quarter” or “the period” refer to, as the context requires, the three month periods ended March 31, 2019 and March 31, 2018.</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Certain Factors that May Affect Our Business</w:t>
      </w:r>
    </w:p>
    <w:p>
      <w:pPr>
        <w:spacing w:after="0" w:line="121"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1" w:lineRule="exact"/>
        <w:rPr>
          <w:sz w:val="20"/>
          <w:szCs w:val="20"/>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or the global or regional financial markets;</w:t>
      </w:r>
    </w:p>
    <w:p>
      <w:pPr>
        <w:spacing w:after="0" w:line="117" w:lineRule="exact"/>
        <w:rPr>
          <w:rFonts w:ascii="Times New Roman" w:cs="Times New Roman" w:eastAsia="Times New Roman" w:hAnsi="Times New Roman"/>
          <w:sz w:val="18"/>
          <w:szCs w:val="18"/>
          <w:color w:val="auto"/>
        </w:rPr>
      </w:pPr>
    </w:p>
    <w:p>
      <w:pPr>
        <w:ind w:left="900" w:right="240" w:hanging="379"/>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revenues, for example due to a decline in overall mergers and acquisitions (“M&amp;A”) activity, our share of the M&amp;A market or our assets under management (“AUM”);</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caused by financial or other problems experienced by third parties;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unidentified or unanticipated risks;</w:t>
      </w:r>
    </w:p>
    <w:p>
      <w:pPr>
        <w:spacing w:after="0" w:line="11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lack of liquidity,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ready access to funds, for use in our businesses; and</w:t>
      </w:r>
    </w:p>
    <w:p>
      <w:pPr>
        <w:spacing w:after="0" w:line="119"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4"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goals, including ratios of compensation and benefits expense to operating revenue;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deploy surplus cash through distributions to members, purchases of Class A common stock and debt repurchases;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assumed future results of operations and operating cash flows;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and investment policies;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plans and the availability of short-term borrowing;</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including the consideration to be paid and the timing of consummation;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opportunities available to our businesses;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 of investments in our technology infrastructure and data science capabilities;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9" w:name="page40"/>
    <w:bookmarkEnd w:id="39"/>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our managing directors and employees;</w:t>
      </w:r>
    </w:p>
    <w:p>
      <w:pPr>
        <w:spacing w:after="0" w:line="117" w:lineRule="exact"/>
        <w:rPr>
          <w:rFonts w:ascii="Times New Roman" w:cs="Times New Roman" w:eastAsia="Times New Roman" w:hAnsi="Times New Roman"/>
          <w:sz w:val="18"/>
          <w:szCs w:val="18"/>
          <w:color w:val="auto"/>
        </w:rPr>
      </w:pPr>
    </w:p>
    <w:p>
      <w:pPr>
        <w:ind w:left="900" w:right="62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levels of compensation expense, including awarded compensation and benefits expense and adjusted compensation and benefits expense, and non-compensation expense;</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operating performance, achievements, productivity improvements, efficiency and cost reduction efforts;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success and impact of litigation;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tax rates, including effective tax rates;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and tax rates;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certain tax benefits, including certain potential deductions;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 of certain events or circumstances on our financial statements;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117" w:lineRule="exact"/>
        <w:rPr>
          <w:rFonts w:ascii="Times New Roman" w:cs="Times New Roman" w:eastAsia="Times New Roman" w:hAnsi="Times New Roman"/>
          <w:sz w:val="18"/>
          <w:szCs w:val="18"/>
          <w:color w:val="auto"/>
        </w:rPr>
      </w:pPr>
    </w:p>
    <w:p>
      <w:pPr>
        <w:ind w:left="900" w:right="140" w:hanging="379"/>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on our business;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new or future legislation and regulation, including tax laws and regulations, on our business.</w:t>
      </w:r>
    </w:p>
    <w:p>
      <w:pPr>
        <w:spacing w:after="0" w:line="22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our Asset Management business. Investors can link to Lazard Ltd, Lazard Group and their operating company websites through </w:t>
      </w:r>
      <w:r>
        <w:rPr>
          <w:rFonts w:ascii="Times New Roman" w:cs="Times New Roman" w:eastAsia="Times New Roman" w:hAnsi="Times New Roman"/>
          <w:sz w:val="18"/>
          <w:szCs w:val="18"/>
          <w:i w:val="1"/>
          <w:iCs w:val="1"/>
          <w:color w:val="auto"/>
        </w:rPr>
        <w:t>http://www.lazard.com</w:t>
      </w:r>
      <w:r>
        <w:rPr>
          <w:rFonts w:ascii="Times New Roman" w:cs="Times New Roman" w:eastAsia="Times New Roman" w:hAnsi="Times New Roman"/>
          <w:sz w:val="18"/>
          <w:szCs w:val="18"/>
          <w:color w:val="auto"/>
        </w:rPr>
        <w:t>. Our websites and social media sites and the information contained therein or connected thereto shall not be deemed to be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this Form 10-Q.</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0"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76"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right="20" w:hanging="379"/>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M&amp;A, capital advisory, restructurings, shareholder advisory, sovereign advisory, capital raising and other strategic advisory, and</w:t>
      </w:r>
    </w:p>
    <w:p>
      <w:pPr>
        <w:spacing w:after="0" w:line="68" w:lineRule="exact"/>
        <w:rPr>
          <w:rFonts w:ascii="Times New Roman" w:cs="Times New Roman" w:eastAsia="Times New Roman" w:hAnsi="Times New Roman"/>
          <w:sz w:val="18"/>
          <w:szCs w:val="18"/>
          <w:color w:val="auto"/>
        </w:rPr>
      </w:pPr>
    </w:p>
    <w:p>
      <w:pPr>
        <w:ind w:left="900" w:right="180" w:hanging="379"/>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0" w:name="page41"/>
    <w:bookmarkEnd w:id="40"/>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net revenue was derived from the following segments:</w:t>
      </w:r>
    </w:p>
    <w:p>
      <w:pPr>
        <w:spacing w:after="0" w:line="300"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3"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1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Advisory</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w:t>
            </w: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and (ii) a fund targeting significant noncontrolling-stake investments in established private companies. We also make investments to seed our Asset Management strategies.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Outlook</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84"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On an ongoing basis, regional, macroeconomic and geopolitical factors, including trade policy and regional tax and regulatory reform, may impact our business. The U.S. economy remains healthy. The European economy’s growth rate has slowed. Global borrowing costs remain low.</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outlook with respect to our Financial Advisory and Asset Management businesses is described below.</w:t>
      </w:r>
    </w:p>
    <w:p>
      <w:pPr>
        <w:spacing w:after="0" w:line="113" w:lineRule="exact"/>
        <w:rPr>
          <w:sz w:val="20"/>
          <w:szCs w:val="20"/>
          <w:color w:val="auto"/>
        </w:rPr>
      </w:pPr>
    </w:p>
    <w:p>
      <w:pPr>
        <w:ind w:left="900" w:right="60" w:hanging="379"/>
        <w:spacing w:after="0" w:line="257"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Advisory</w:t>
      </w:r>
      <w:r>
        <w:rPr>
          <w:rFonts w:ascii="Times New Roman" w:cs="Times New Roman" w:eastAsia="Times New Roman" w:hAnsi="Times New Roman"/>
          <w:sz w:val="18"/>
          <w:szCs w:val="18"/>
          <w:color w:val="auto"/>
        </w:rPr>
        <w:t>—The fundamentals for continued M&amp;A activity appear to remain in place. We believe our Financial Advisory business is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strong competitive position as demand continues for expert, independent strategic advice that can be levered across geographies and our range of capabilities. The global scale and breadth of our Financial Advisory business allows us to advise on a wide range of strategic and restructuring transactions across a variety of industries. In addition, we believe our businesses throughout the emerging markets position us for growth in these markets, while enhancing our relationships with, and the services that we can provide to, clients in other economies. We continue to invest for growth in our Financial Advisory business and to hire talented senior professionals selectively.</w:t>
      </w:r>
    </w:p>
    <w:p>
      <w:pPr>
        <w:spacing w:after="0" w:line="88" w:lineRule="exact"/>
        <w:rPr>
          <w:rFonts w:ascii="Times New Roman" w:cs="Times New Roman" w:eastAsia="Times New Roman" w:hAnsi="Times New Roman"/>
          <w:sz w:val="18"/>
          <w:szCs w:val="18"/>
          <w:color w:val="auto"/>
        </w:rPr>
      </w:pPr>
    </w:p>
    <w:p>
      <w:pPr>
        <w:ind w:left="900" w:right="60" w:hanging="379"/>
        <w:spacing w:after="0" w:line="25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Asset Management</w:t>
      </w:r>
      <w:r>
        <w:rPr>
          <w:rFonts w:ascii="Times New Roman" w:cs="Times New Roman" w:eastAsia="Times New Roman" w:hAnsi="Times New Roman"/>
          <w:sz w:val="18"/>
          <w:szCs w:val="18"/>
          <w:color w:val="auto"/>
        </w:rPr>
        <w:t>—In the short to intermediate term, we expect most investor demand will come from defined benefit and defined contribution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 in the developed economies because of their sheer scope and size. Over the longer term, and depending upon local market conditions, we would expect an increasing share of our AUM to come from the developing economies around the globe, as their retirement systems evolve and individual wealth is increasingly deployed in the financial markets.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various Multi-Asset strategies, an International Value strategy, a Global Equity Franchise strategy, and a Market Neutral Quantitative Equity strategy.</w:t>
      </w:r>
    </w:p>
    <w:p>
      <w:pPr>
        <w:spacing w:after="0" w:line="18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1" w:name="page42"/>
    <w:bookmarkEnd w:id="41"/>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Overall, we continue to focus on the development of our business, including the generation of stable revenue growth, earnings growth and member returns, the evaluation of potential growth opportunities, the investment in new technology to support the development of existing and new business opportunities, the prudent management of our costs and expenses, the efficient use of our assets and the return of equity to our members.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data with respect to our Financial Advisory and Asset Management businesses is included below.</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As reflected in the following table, which sets forth global M&amp;A industry statistics, the value and number of all completed transactions, including the subset of completed transactions involving values greater than $500 million, decreased in the first quarter of 2019 as compared to 2018. With respect to announced M&amp;A transactions, the value and number of all transactions, including the subset of announced transactions involving values greater than $500 million, decreased in the first quarter of 2019 as compared to 2018.</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2"/>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2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vMerge w:val="restart"/>
          </w:tcPr>
          <w:p>
            <w:pPr>
              <w:jc w:val="center"/>
              <w:ind w:right="4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80" w:type="dxa"/>
            <w:vAlign w:val="bottom"/>
          </w:tcPr>
          <w:p>
            <w:pPr>
              <w:jc w:val="right"/>
              <w:ind w:right="45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in billions)</w:t>
            </w:r>
          </w:p>
        </w:tc>
        <w:tc>
          <w:tcPr>
            <w:tcW w:w="1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Completed M&amp;A Transactions:</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deals:</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244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4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935</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4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9,547</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2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4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716</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310</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Announced M&amp;A Transactions:</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All deals:</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2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1,177</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9,586</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244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4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956</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1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80" w:type="dxa"/>
            <w:vAlign w:val="bottom"/>
          </w:tcPr>
          <w:p>
            <w:pPr>
              <w:spacing w:after="0"/>
              <w:rPr>
                <w:sz w:val="20"/>
                <w:szCs w:val="20"/>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313</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57150</wp:posOffset>
            </wp:positionV>
            <wp:extent cx="12090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Source: Dealogic as of April 3, 2019.</w:t>
      </w:r>
    </w:p>
    <w:p>
      <w:pPr>
        <w:spacing w:after="0" w:line="225"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Global restructuring activity during the first quarter of 2019, as measured by the number of corporate defaults, decreased as compared to the first quarter of 2018. The number of defaulting issuers decreased to 20 in the first quarter of 2019, according to Moody’s Investors Service, Inc., as compared to 30 in the first quarter of 2018.</w:t>
      </w:r>
    </w:p>
    <w:p>
      <w:pPr>
        <w:spacing w:after="0" w:line="17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121"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Equity market indices for major markets at March 31, 2019 generally increased as compared to such indices at December 31, 2018. The percentage change in major equity market indices at March 31, 2019, as compared to such indices at December 31, 2018, and at March 31, 2018, is shown in the table below.</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2580" w:type="dxa"/>
            <w:vAlign w:val="bottom"/>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Percentage Changes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580" w:type="dxa"/>
            <w:vAlign w:val="bottom"/>
            <w:tcBorders>
              <w:bottom w:val="single" w:sz="8" w:color="auto"/>
            </w:tcBorders>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March 31, 2019 vs.</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31"/>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060" w:type="dxa"/>
            <w:vAlign w:val="bottom"/>
          </w:tcPr>
          <w:p>
            <w:pPr>
              <w:jc w:val="center"/>
              <w:ind w:left="10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center"/>
              <w:ind w:left="128"/>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73"/>
        </w:trPr>
        <w:tc>
          <w:tcPr>
            <w:tcW w:w="20" w:type="dxa"/>
            <w:vAlign w:val="bottom"/>
          </w:tcPr>
          <w:p>
            <w:pPr>
              <w:spacing w:after="0"/>
              <w:rPr>
                <w:sz w:val="15"/>
                <w:szCs w:val="15"/>
                <w:color w:val="auto"/>
              </w:rPr>
            </w:pPr>
          </w:p>
        </w:tc>
        <w:tc>
          <w:tcPr>
            <w:tcW w:w="608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MSCI World Index</w:t>
            </w:r>
          </w:p>
        </w:tc>
        <w:tc>
          <w:tcPr>
            <w:tcW w:w="10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6"/>
              </w:rPr>
              <w:t>13%</w:t>
            </w:r>
          </w:p>
        </w:tc>
        <w:tc>
          <w:tcPr>
            <w:tcW w:w="10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 Stoxx</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12%</w:t>
            </w:r>
          </w:p>
        </w:tc>
        <w:tc>
          <w:tcPr>
            <w:tcW w:w="10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tcPr>
          <w:p>
            <w:pPr>
              <w:spacing w:after="0"/>
              <w:rPr>
                <w:sz w:val="19"/>
                <w:szCs w:val="19"/>
                <w:color w:val="auto"/>
              </w:rPr>
            </w:pPr>
          </w:p>
        </w:tc>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MSCI Emerging Market</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6"/>
              </w:rPr>
              <w:t>10%</w:t>
            </w:r>
          </w:p>
        </w:tc>
        <w:tc>
          <w:tcPr>
            <w:tcW w:w="10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14%</w:t>
            </w:r>
          </w:p>
        </w:tc>
        <w:tc>
          <w:tcPr>
            <w:tcW w:w="100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bl>
    <w:p>
      <w:pPr>
        <w:spacing w:after="0" w:line="233"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right="180" w:firstLine="518"/>
        <w:spacing w:after="0" w:line="254" w:lineRule="auto"/>
        <w:rPr>
          <w:sz w:val="20"/>
          <w:szCs w:val="20"/>
          <w:color w:val="auto"/>
        </w:rPr>
      </w:pPr>
      <w:r>
        <w:rPr>
          <w:rFonts w:ascii="Times New Roman" w:cs="Times New Roman" w:eastAsia="Times New Roman" w:hAnsi="Times New Roman"/>
          <w:sz w:val="18"/>
          <w:szCs w:val="18"/>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97"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3" w:name="page44"/>
    <w:bookmarkEnd w:id="43"/>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8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0"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equity securities and investments classified as “trading”, as well as due to changes in interest and currency exchange rates and in the levels of cash, investments and indebtedness.</w:t>
      </w:r>
    </w:p>
    <w:p>
      <w:pPr>
        <w:spacing w:after="0" w:line="184" w:lineRule="exact"/>
        <w:rPr>
          <w:sz w:val="20"/>
          <w:szCs w:val="20"/>
          <w:color w:val="auto"/>
        </w:rPr>
      </w:pPr>
    </w:p>
    <w:p>
      <w:pPr>
        <w:ind w:right="440" w:firstLine="518"/>
        <w:spacing w:after="0" w:line="266" w:lineRule="auto"/>
        <w:rPr>
          <w:sz w:val="20"/>
          <w:szCs w:val="20"/>
          <w:color w:val="auto"/>
        </w:rPr>
      </w:pPr>
      <w:r>
        <w:rPr>
          <w:rFonts w:ascii="Times New Roman" w:cs="Times New Roman" w:eastAsia="Times New Roman" w:hAnsi="Times New Roman"/>
          <w:sz w:val="18"/>
          <w:szCs w:val="18"/>
          <w:color w:val="auto"/>
        </w:rPr>
        <w:t>Although Corporate segment net revenue during 2019 is not significant compared to Lazard’s net revenue, total assets in the Corporate segment represented 65% of Lazard’s consolidated total assets as of March 31, 2019, which are attributable to cash and cash equivalents, investments in debt and equity securities, interests in alternative investment, debt, equity and private equity funds, deferred tax assets and certain assets associated with LFB.</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80" w:firstLine="518"/>
        <w:spacing w:after="0" w:line="255" w:lineRule="auto"/>
        <w:rPr>
          <w:sz w:val="20"/>
          <w:szCs w:val="20"/>
          <w:color w:val="auto"/>
        </w:rPr>
      </w:pPr>
      <w:r>
        <w:rPr>
          <w:rFonts w:ascii="Times New Roman" w:cs="Times New Roman" w:eastAsia="Times New Roman" w:hAnsi="Times New Roman"/>
          <w:sz w:val="18"/>
          <w:szCs w:val="18"/>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14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8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72" w:lineRule="exact"/>
        <w:rPr>
          <w:sz w:val="20"/>
          <w:szCs w:val="20"/>
          <w:color w:val="auto"/>
        </w:rPr>
      </w:pPr>
    </w:p>
    <w:p>
      <w:pPr>
        <w:ind w:left="900" w:right="120" w:hanging="379"/>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 incentive compensation with respect to the fiscal year, which is comprised of:</w:t>
      </w:r>
    </w:p>
    <w:p>
      <w:pPr>
        <w:spacing w:after="0" w:line="115" w:lineRule="exact"/>
        <w:rPr>
          <w:rFonts w:ascii="Times New Roman" w:cs="Times New Roman" w:eastAsia="Times New Roman" w:hAnsi="Times New Roman"/>
          <w:sz w:val="18"/>
          <w:szCs w:val="18"/>
          <w:color w:val="auto"/>
        </w:rPr>
      </w:pPr>
    </w:p>
    <w:p>
      <w:pPr>
        <w:ind w:left="1420" w:right="260" w:hanging="386"/>
        <w:spacing w:after="0" w:line="290" w:lineRule="auto"/>
        <w:tabs>
          <w:tab w:leader="none" w:pos="14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deferred incentive compensation awards granted in the year-end compensation process with respect to the fiscal year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deferred incentive compensation awards granted in 2019 related to the 2018 year-end compensation process), including performance-based restricted stock unit (“PRSU”) and performance-based restricted participation unit (“PRPU”) awards (based on the target payout level);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4" w:name="page45"/>
    <w:bookmarkEnd w:id="44"/>
    <w:p>
      <w:pPr>
        <w:ind w:left="1420" w:right="480" w:hanging="386"/>
        <w:spacing w:after="0" w:line="284" w:lineRule="auto"/>
        <w:tabs>
          <w:tab w:leader="none" w:pos="1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investments in people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“sign-on” bonuses or retention awards) and other special deferred incentive compensation awards that is applicable to the fiscal year the award becomes effective; and</w:t>
      </w:r>
    </w:p>
    <w:p>
      <w:pPr>
        <w:spacing w:after="0" w:line="52"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excess of the target payout level for PRSU and PRPU awards at the end of their respective performance periods;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which compares to 55.7% and 55.0%, respectively, for the year ended December 31, 2018.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89"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 In 2019, non-compensation expense included expenses related to the redemption of the Company’s 4.25% senior notes due 2020 (the “2020 Notes”).</w:t>
      </w:r>
    </w:p>
    <w:p>
      <w:pPr>
        <w:spacing w:after="0" w:line="184" w:lineRule="exact"/>
        <w:rPr>
          <w:sz w:val="20"/>
          <w:szCs w:val="20"/>
          <w:color w:val="auto"/>
        </w:rPr>
      </w:pPr>
    </w:p>
    <w:p>
      <w:pPr>
        <w:ind w:right="360" w:firstLine="518"/>
        <w:spacing w:after="0" w:line="313" w:lineRule="auto"/>
        <w:rPr>
          <w:sz w:val="20"/>
          <w:szCs w:val="20"/>
          <w:color w:val="auto"/>
        </w:rPr>
      </w:pPr>
      <w:r>
        <w:rPr>
          <w:rFonts w:ascii="Times New Roman" w:cs="Times New Roman" w:eastAsia="Times New Roman" w:hAnsi="Times New Roman"/>
          <w:sz w:val="17"/>
          <w:szCs w:val="17"/>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38"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Our operating expenses also include “amortization and other acquisition-related (benefits) costs” which includes the change in fair value of the contingent consideration associated with business acquisitions.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4"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See “Critical Accounting Policies and Estimates—Income Taxes” below and Note 16 of Notes to Condensed Consolidated Financial Statements for additional information regarding income taxes and our deferred tax assets.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Noncontrolling interests primarily consist of amounts related to Edgewater’s management vehicles that the Company is deemed to control but not own. See Note 13 of Notes to Condensed Consolidated Financial Statements for information regarding the Company’s noncontrolling interests.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9"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color w:val="auto"/>
        </w:rPr>
        <w:t>Lazard’s condensed consolidated financial statements are presented in U.S. Dollars. Many of our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condensed consolidated statements of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45" w:name="page46"/>
    <w:bookmarkEnd w:id="45"/>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A portion of our net revenue is derived from transactions that are denominated in currencies other than the U.S. Dollar. Net revenue for the three month period ended March 31, 2019 was negatively impacted by exchange rate movements in comparison to the relevant prior year period. The majority of the impact to net revenue was offset by the impact of the exchange rate movements on our operating expenses during the periods denominated in currencies other than the U.S. Dollar.</w:t>
      </w:r>
    </w:p>
    <w:p>
      <w:pPr>
        <w:spacing w:after="0" w:line="180"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240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626,002</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753,261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370,248</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403,307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Non-compensation</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147,575</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and other acquisition-related (benefits) costs</w:t>
            </w:r>
          </w:p>
        </w:tc>
        <w:tc>
          <w:tcPr>
            <w:tcW w:w="1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(684)</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517,139</w:t>
            </w:r>
          </w:p>
        </w:tc>
        <w:tc>
          <w:tcPr>
            <w:tcW w:w="36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566,309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tc>
        <w:tc>
          <w:tcPr>
            <w:tcW w:w="1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108,863</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186,952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1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92,875</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168,337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Less - Net Income (Loss) Attributable to Noncontrolling Interests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(566)</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Lazard Group</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93,441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as a % of net revenue</w:t>
            </w:r>
          </w:p>
        </w:tc>
        <w:tc>
          <w:tcPr>
            <w:tcW w:w="1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19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19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3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626,002</w:t>
            </w:r>
          </w:p>
        </w:tc>
        <w:tc>
          <w:tcPr>
            <w:tcW w:w="280" w:type="dxa"/>
            <w:vAlign w:val="bottom"/>
          </w:tcPr>
          <w:p>
            <w:pPr>
              <w:spacing w:after="0"/>
              <w:rPr>
                <w:sz w:val="19"/>
                <w:szCs w:val="19"/>
                <w:color w:val="auto"/>
              </w:rPr>
            </w:pPr>
          </w:p>
        </w:tc>
        <w:tc>
          <w:tcPr>
            <w:tcW w:w="580" w:type="dxa"/>
            <w:vAlign w:val="bottom"/>
            <w:gridSpan w:val="2"/>
          </w:tcPr>
          <w:p>
            <w:pPr>
              <w:jc w:val="right"/>
              <w:ind w:right="44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753,261</w:t>
            </w:r>
          </w:p>
        </w:tc>
        <w:tc>
          <w:tcPr>
            <w:tcW w:w="120" w:type="dxa"/>
            <w:vAlign w:val="bottom"/>
          </w:tcPr>
          <w:p>
            <w:pPr>
              <w:spacing w:after="0"/>
              <w:rPr>
                <w:sz w:val="19"/>
                <w:szCs w:val="19"/>
                <w:color w:val="auto"/>
              </w:rPr>
            </w:pPr>
          </w:p>
        </w:tc>
      </w:tr>
      <w:tr>
        <w:trPr>
          <w:trHeight w:val="23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 expense (a)</w:t>
            </w: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w:t>
            </w:r>
          </w:p>
        </w:tc>
        <w:tc>
          <w:tcPr>
            <w:tcW w:w="120" w:type="dxa"/>
            <w:vAlign w:val="bottom"/>
          </w:tcPr>
          <w:p>
            <w:pPr>
              <w:spacing w:after="0"/>
              <w:rPr>
                <w:sz w:val="19"/>
                <w:szCs w:val="19"/>
                <w:color w:val="auto"/>
              </w:rPr>
            </w:pPr>
          </w:p>
        </w:tc>
      </w:tr>
      <w:tr>
        <w:trPr>
          <w:trHeight w:val="230"/>
        </w:trPr>
        <w:tc>
          <w:tcPr>
            <w:tcW w:w="6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Distribution fees, reimbursable deal costs and bad debt expense (b)</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(24,296)</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(39,508)</w:t>
            </w:r>
          </w:p>
        </w:tc>
      </w:tr>
      <w:tr>
        <w:trPr>
          <w:trHeight w:val="230"/>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Revenue related to noncontrolling interests (c)</w:t>
            </w: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(5,217)</w:t>
            </w:r>
          </w:p>
        </w:tc>
      </w:tr>
      <w:tr>
        <w:trPr>
          <w:trHeight w:val="230"/>
        </w:trPr>
        <w:tc>
          <w:tcPr>
            <w:tcW w:w="6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(Gains) losses on investments pertaining to LFI (d)</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(13,870)</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FF0FC"/>
          </w:tcPr>
          <w:p>
            <w:pPr>
              <w:spacing w:after="0"/>
              <w:rPr>
                <w:sz w:val="19"/>
                <w:szCs w:val="19"/>
                <w:color w:val="auto"/>
              </w:rPr>
            </w:pPr>
          </w:p>
        </w:tc>
      </w:tr>
      <w:tr>
        <w:trPr>
          <w:trHeight w:val="223"/>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603,240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723,469</w:t>
            </w:r>
          </w:p>
        </w:tc>
        <w:tc>
          <w:tcPr>
            <w:tcW w:w="12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5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2" w:lineRule="exact"/>
        <w:rPr>
          <w:sz w:val="20"/>
          <w:szCs w:val="20"/>
          <w:color w:val="auto"/>
        </w:rPr>
      </w:pPr>
    </w:p>
    <w:p>
      <w:pPr>
        <w:ind w:left="380" w:right="40" w:hanging="372"/>
        <w:spacing w:after="0" w:line="261"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380" w:right="80" w:hanging="372"/>
        <w:spacing w:after="0" w:line="250"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right="220" w:hanging="372"/>
        <w:spacing w:after="0" w:line="250"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related to the consolidation of noncontrolling interests is excluded from operating revenue because the Company has no economic interest in such amount.</w:t>
      </w:r>
    </w:p>
    <w:p>
      <w:pPr>
        <w:ind w:left="380" w:right="460" w:hanging="372"/>
        <w:spacing w:after="0" w:line="261"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19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19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Compensation and Benefits Expense:</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compensation and benefits expense</w:t>
            </w:r>
          </w:p>
        </w:tc>
        <w:tc>
          <w:tcPr>
            <w:tcW w:w="214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370,248</w:t>
            </w:r>
          </w:p>
        </w:tc>
        <w:tc>
          <w:tcPr>
            <w:tcW w:w="360" w:type="dxa"/>
            <w:vAlign w:val="bottom"/>
          </w:tcPr>
          <w:p>
            <w:pPr>
              <w:spacing w:after="0"/>
              <w:rPr>
                <w:sz w:val="19"/>
                <w:szCs w:val="19"/>
                <w:color w:val="auto"/>
              </w:rPr>
            </w:pP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403,307</w:t>
            </w:r>
          </w:p>
        </w:tc>
        <w:tc>
          <w:tcPr>
            <w:tcW w:w="180" w:type="dxa"/>
            <w:vAlign w:val="bottom"/>
          </w:tcPr>
          <w:p>
            <w:pPr>
              <w:spacing w:after="0"/>
              <w:rPr>
                <w:sz w:val="19"/>
                <w:szCs w:val="19"/>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Noncontrolling interests (a)</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(1,889)</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(2,527)</w:t>
            </w:r>
          </w:p>
        </w:tc>
      </w:tr>
      <w:tr>
        <w:trPr>
          <w:trHeight w:val="230"/>
        </w:trPr>
        <w:tc>
          <w:tcPr>
            <w:tcW w:w="6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(Charges) credits pertaining to LFI (b)</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(13,870)</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80" w:type="dxa"/>
            <w:vAlign w:val="bottom"/>
            <w:shd w:val="clear" w:color="auto" w:fill="CFF0FC"/>
          </w:tcPr>
          <w:p>
            <w:pPr>
              <w:spacing w:after="0"/>
              <w:rPr>
                <w:sz w:val="19"/>
                <w:szCs w:val="19"/>
                <w:color w:val="auto"/>
              </w:rPr>
            </w:pPr>
          </w:p>
        </w:tc>
      </w:tr>
      <w:tr>
        <w:trPr>
          <w:trHeight w:val="263"/>
        </w:trPr>
        <w:tc>
          <w:tcPr>
            <w:tcW w:w="65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12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354,489</w:t>
            </w:r>
          </w:p>
        </w:tc>
        <w:tc>
          <w:tcPr>
            <w:tcW w:w="36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402,216</w:t>
            </w:r>
          </w:p>
        </w:tc>
        <w:tc>
          <w:tcPr>
            <w:tcW w:w="180" w:type="dxa"/>
            <w:vAlign w:val="bottom"/>
            <w:tcBorders>
              <w:bottom w:val="single" w:sz="8" w:color="CFF0FC"/>
            </w:tcBorders>
          </w:tcPr>
          <w:p>
            <w:pPr>
              <w:spacing w:after="0"/>
              <w:rPr>
                <w:sz w:val="22"/>
                <w:szCs w:val="22"/>
                <w:color w:val="auto"/>
              </w:rPr>
            </w:pPr>
          </w:p>
        </w:tc>
      </w:tr>
      <w:tr>
        <w:trPr>
          <w:trHeight w:val="210"/>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compensation and benefits expense, as a % of operating revenue</w:t>
            </w:r>
          </w:p>
        </w:tc>
        <w:tc>
          <w:tcPr>
            <w:tcW w:w="1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58.8%</w:t>
            </w: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55.6%</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46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2"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Lazard has no economic interest in such amounts.</w:t>
      </w:r>
    </w:p>
    <w:p>
      <w:pPr>
        <w:spacing w:after="0" w:line="27" w:lineRule="exact"/>
        <w:rPr>
          <w:rFonts w:ascii="Times New Roman" w:cs="Times New Roman" w:eastAsia="Times New Roman" w:hAnsi="Times New Roman"/>
          <w:sz w:val="18"/>
          <w:szCs w:val="18"/>
          <w:color w:val="auto"/>
        </w:rPr>
      </w:pPr>
    </w:p>
    <w:p>
      <w:pPr>
        <w:ind w:left="380" w:hanging="372"/>
        <w:spacing w:after="0" w:line="261"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Non-Compensation Expense:</w:t>
            </w:r>
          </w:p>
        </w:tc>
        <w:tc>
          <w:tcPr>
            <w:tcW w:w="1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non-compensation expense</w:t>
            </w:r>
          </w:p>
        </w:tc>
        <w:tc>
          <w:tcPr>
            <w:tcW w:w="228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147,575</w:t>
            </w:r>
          </w:p>
        </w:tc>
        <w:tc>
          <w:tcPr>
            <w:tcW w:w="360" w:type="dxa"/>
            <w:vAlign w:val="bottom"/>
          </w:tcPr>
          <w:p>
            <w:pPr>
              <w:spacing w:after="0"/>
              <w:rPr>
                <w:sz w:val="19"/>
                <w:szCs w:val="19"/>
                <w:color w:val="auto"/>
              </w:rPr>
            </w:pP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Expenses associated with ERP system implementation (a)</w:t>
            </w: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(3,205)</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(7,426)</w:t>
            </w: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Expenses related to office space reorganization (b)</w:t>
            </w:r>
          </w:p>
        </w:tc>
        <w:tc>
          <w:tcPr>
            <w:tcW w:w="1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30"/>
        </w:trPr>
        <w:tc>
          <w:tcPr>
            <w:tcW w:w="6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Distribution fees, reimbursable deal costs and bad debt expense (c)</w:t>
            </w: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(24,296)</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(39,508)</w:t>
            </w: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Charges pertaining to senior debt refinancing (d)</w:t>
            </w:r>
          </w:p>
        </w:tc>
        <w:tc>
          <w:tcPr>
            <w:tcW w:w="1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(4,243)</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Noncontrolling interests (e)</w:t>
            </w: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(770)</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3"/>
        </w:trPr>
        <w:tc>
          <w:tcPr>
            <w:tcW w:w="6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115,061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113,510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non-compensation expense, as a % of operating revenue</w:t>
            </w:r>
          </w:p>
        </w:tc>
        <w:tc>
          <w:tcPr>
            <w:tcW w:w="1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associated with the Enterprise Resource Planning (“ERP”) system implementation.</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incremental rent expense and lease abandonment costs related to office space reorganization.</w:t>
      </w:r>
    </w:p>
    <w:p>
      <w:pPr>
        <w:spacing w:after="0" w:line="22" w:lineRule="exact"/>
        <w:rPr>
          <w:rFonts w:ascii="Times New Roman" w:cs="Times New Roman" w:eastAsia="Times New Roman" w:hAnsi="Times New Roman"/>
          <w:sz w:val="18"/>
          <w:szCs w:val="18"/>
          <w:color w:val="auto"/>
        </w:rPr>
      </w:pPr>
    </w:p>
    <w:p>
      <w:pPr>
        <w:ind w:left="380" w:right="80" w:hanging="372"/>
        <w:spacing w:after="0" w:line="25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right="220" w:hanging="372"/>
        <w:spacing w:after="0" w:line="25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represents charges pertaining to the partial redemption of the Company’s 2020 Notes due to the non-operating nature of such transaction. See “—Liquidity and Capital Resources—Financing Activities” below.</w:t>
      </w: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the Company has no economic interest in such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gridSpan w:val="3"/>
          </w:tcPr>
          <w:p>
            <w:pPr>
              <w:jc w:val="center"/>
              <w:ind w:left="538"/>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Operations:</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3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603,240</w:t>
            </w:r>
          </w:p>
        </w:tc>
        <w:tc>
          <w:tcPr>
            <w:tcW w:w="360" w:type="dxa"/>
            <w:vAlign w:val="bottom"/>
          </w:tcPr>
          <w:p>
            <w:pPr>
              <w:spacing w:after="0"/>
              <w:rPr>
                <w:sz w:val="19"/>
                <w:szCs w:val="19"/>
                <w:color w:val="auto"/>
              </w:rPr>
            </w:pP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(354,489)</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(402,216)</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(115,061)</w:t>
            </w: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(113,510)</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29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133,690</w:t>
            </w:r>
          </w:p>
        </w:tc>
        <w:tc>
          <w:tcPr>
            <w:tcW w:w="36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207,743</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from operations, as a % of operating revenue</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22.2%</w:t>
            </w: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2980" w:type="dxa"/>
            <w:vAlign w:val="bottom"/>
            <w:tcBorders>
              <w:top w:val="single" w:sz="8" w:color="CFF0FC"/>
              <w:bottom w:val="single" w:sz="8" w:color="CFF0FC"/>
            </w:tcBorders>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47" w:name="page48"/>
    <w:bookmarkEnd w:id="47"/>
    <w:p>
      <w:pPr>
        <w:ind w:left="520"/>
        <w:spacing w:after="0"/>
        <w:rPr>
          <w:sz w:val="20"/>
          <w:szCs w:val="20"/>
          <w:color w:val="auto"/>
        </w:rPr>
      </w:pPr>
      <w:r>
        <w:rPr>
          <w:rFonts w:ascii="Times New Roman" w:cs="Times New Roman" w:eastAsia="Times New Roman" w:hAnsi="Times New Roman"/>
          <w:sz w:val="18"/>
          <w:szCs w:val="18"/>
          <w:color w:val="auto"/>
        </w:rPr>
        <w:t>Headcount information is set forth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1"/>
        </w:trPr>
        <w:tc>
          <w:tcPr>
            <w:tcW w:w="6780" w:type="dxa"/>
            <w:vAlign w:val="bottom"/>
          </w:tcPr>
          <w:p>
            <w:pPr>
              <w:spacing w:after="0"/>
              <w:rPr>
                <w:sz w:val="11"/>
                <w:szCs w:val="11"/>
                <w:color w:val="auto"/>
              </w:rPr>
            </w:pPr>
          </w:p>
        </w:tc>
        <w:tc>
          <w:tcPr>
            <w:tcW w:w="1600" w:type="dxa"/>
            <w:vAlign w:val="bottom"/>
            <w:gridSpan w:val="2"/>
          </w:tcPr>
          <w:p>
            <w:pPr>
              <w:ind w:left="3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Pr>
          <w:p>
            <w:pPr>
              <w:jc w:val="right"/>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r>
      <w:tr>
        <w:trPr>
          <w:trHeight w:val="173"/>
        </w:trPr>
        <w:tc>
          <w:tcPr>
            <w:tcW w:w="678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6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Headcount:</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Directors:</w:t>
            </w: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Financial Advisory</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Asset Management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Corporate</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Managing Directors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Business Segment Professionals and Support Staff:</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Financial Advisory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Asset Management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Corporate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2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117" w:lineRule="exact"/>
        <w:rPr>
          <w:sz w:val="20"/>
          <w:szCs w:val="20"/>
          <w:color w:val="auto"/>
        </w:rPr>
      </w:pPr>
    </w:p>
    <w:p>
      <w:pPr>
        <w:ind w:right="22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versus March 31, 2018</w:t>
      </w:r>
    </w:p>
    <w:p>
      <w:pPr>
        <w:spacing w:after="0" w:line="121" w:lineRule="exact"/>
        <w:rPr>
          <w:sz w:val="20"/>
          <w:szCs w:val="20"/>
          <w:color w:val="auto"/>
        </w:rPr>
      </w:pPr>
    </w:p>
    <w:p>
      <w:pPr>
        <w:ind w:right="900" w:firstLine="518"/>
        <w:spacing w:after="0" w:line="282" w:lineRule="auto"/>
        <w:rPr>
          <w:sz w:val="20"/>
          <w:szCs w:val="20"/>
          <w:color w:val="auto"/>
        </w:rPr>
      </w:pPr>
      <w:r>
        <w:rPr>
          <w:rFonts w:ascii="Times New Roman" w:cs="Times New Roman" w:eastAsia="Times New Roman" w:hAnsi="Times New Roman"/>
          <w:sz w:val="18"/>
          <w:szCs w:val="18"/>
          <w:color w:val="auto"/>
        </w:rPr>
        <w:t>The Company reported net income attributable to Lazard Group of $93 million, as compared to net income attributable to Lazard Group of $166 million in the 2018 period.</w:t>
      </w:r>
    </w:p>
    <w:p>
      <w:pPr>
        <w:spacing w:after="0" w:line="162"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Net revenue decreased $127 million, or 17%, with operating revenue decreasing $120 million, or 17%, as compared to the 2018 period. Fee revenue from investment banking and other advisory activities decreased $89 million, or 22%, as compared to the 2018 period. Asset management fees, including incentive fees, decreased $46 million, or 14%, as compared to the 2018 period, primarily due to a decrease in average AUM. In the aggregate, interest income, other revenue and interest expense increased $8 million as compared to the 2018 period, primarily due to higher income attributable to investments held in connection with LFI.</w:t>
      </w:r>
    </w:p>
    <w:p>
      <w:pPr>
        <w:spacing w:after="0" w:line="184"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Compensation and benefits expense decreased $33 million, or 8%, as compared to the 2018 period, primarily associated with decreased operating revenue.</w:t>
      </w:r>
    </w:p>
    <w:p>
      <w:pPr>
        <w:spacing w:after="0" w:line="162"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Adjusted compensation and benefits expense (which excludes certain items and which we believe allows for improved comparability between periods, as described above) was $354 million, a decrease of $48 million, or 12%, as compared to $402 million in the 2018 period. The ratio of adjusted compensation and benefits expense to operating revenue was 58.8% for the 2019 period, as compared to 55.6% for the 2018 period and 55.0% for full-year 2018.</w:t>
      </w:r>
    </w:p>
    <w:p>
      <w:pPr>
        <w:spacing w:after="0" w:line="176"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Non-compensation expense decreased $15 million, or 9%, as compared to the 2018 period primarily due to higher bad debt expense in the 2018 period and lower fund administration fees in the 2019 period. Adjusted non-compensation expense was substantially unchanged as compared to the 2018 period. The ratio of adjusted non-compensation expense to operating revenue was 19.1% for the 2019 period, as compared to 15.7% for the 2018 period.</w:t>
      </w:r>
    </w:p>
    <w:p>
      <w:pPr>
        <w:spacing w:after="0" w:line="176"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Amortization and other acquisition-related (benefits) costs reflects a benefit of $1 million in the 2019 period as compared to costs of $1 million in the 2018 period, primarily due to the change in the fair market value of contingent consideration.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income decreased $78 million, or 42%, as compared to the 2018 period.</w:t>
      </w:r>
    </w:p>
    <w:p>
      <w:pPr>
        <w:spacing w:after="0" w:line="225"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$74 million, or 36%, as compared to the 2018 period, and, as a percentage of operating revenue, was 22.2%, as compared to 28.7% in the 2018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48" w:name="page49"/>
    <w:bookmarkEnd w:id="48"/>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provision for income taxes reflects an effective tax rate of 14.7%, as compared to 10.0% for the 2018 period. The increase in the effective tax rate is primarily due to (i) a reduction in excess net tax benefits related to share-based incentive compensation, (ii) a change in the geographic mix of earnings, and (iii) the impact of U.S. tax reform primarily related to base erosion and anti-abuse tax.</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income attributable to noncontrolling interests decreased $3 million as compared to the 2018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ind w:right="620" w:firstLine="518"/>
        <w:spacing w:after="0" w:line="276" w:lineRule="auto"/>
        <w:rPr>
          <w:sz w:val="20"/>
          <w:szCs w:val="20"/>
          <w:color w:val="auto"/>
        </w:rPr>
      </w:pPr>
      <w:r>
        <w:rPr>
          <w:rFonts w:ascii="Times New Roman" w:cs="Times New Roman" w:eastAsia="Times New Roman" w:hAnsi="Times New Roman"/>
          <w:sz w:val="17"/>
          <w:szCs w:val="17"/>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spacing w:after="0" w:line="1" w:lineRule="exact"/>
        <w:rPr>
          <w:sz w:val="20"/>
          <w:szCs w:val="20"/>
          <w:color w:val="auto"/>
        </w:rPr>
      </w:pPr>
    </w:p>
    <w:p>
      <w:pPr>
        <w:ind w:right="20" w:firstLine="8"/>
        <w:spacing w:after="0" w:line="253" w:lineRule="auto"/>
        <w:tabs>
          <w:tab w:leader="none" w:pos="2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Financial Advisory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34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321,926</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408,467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274,035</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322,508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47,891</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85,959</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 of net revenue</w:t>
            </w:r>
          </w:p>
        </w:tc>
        <w:tc>
          <w:tcPr>
            <w:tcW w:w="2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Lazard fee and transaction statistics for the Financial Advisory segment are set forth below:</w:t>
      </w:r>
    </w:p>
    <w:p>
      <w:pPr>
        <w:spacing w:after="0" w:line="300"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gridSpan w:val="2"/>
          </w:tcPr>
          <w:p>
            <w:pPr>
              <w:spacing w:after="0"/>
              <w:rPr>
                <w:sz w:val="13"/>
                <w:szCs w:val="13"/>
                <w:color w:val="auto"/>
              </w:rPr>
            </w:pPr>
          </w:p>
        </w:tc>
        <w:tc>
          <w:tcPr>
            <w:tcW w:w="11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Lazard Statistics:</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clients with fees greater than $1 million:</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9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Financial Advisory</w:t>
            </w: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63</w:t>
            </w: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74</w:t>
            </w:r>
          </w:p>
        </w:tc>
        <w:tc>
          <w:tcPr>
            <w:tcW w:w="180" w:type="dxa"/>
            <w:vAlign w:val="bottom"/>
            <w:shd w:val="clear" w:color="auto" w:fill="CFF0FC"/>
          </w:tcPr>
          <w:p>
            <w:pPr>
              <w:spacing w:after="0"/>
              <w:rPr>
                <w:sz w:val="19"/>
                <w:szCs w:val="19"/>
                <w:color w:val="auto"/>
              </w:rPr>
            </w:pPr>
          </w:p>
        </w:tc>
      </w:tr>
      <w:tr>
        <w:trPr>
          <w:trHeight w:val="211"/>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Percentage of total Financial Advisory net revenue from top 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8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clients</w:t>
            </w: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43%</w:t>
            </w: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38%</w:t>
            </w:r>
          </w:p>
        </w:tc>
      </w:tr>
      <w:tr>
        <w:trPr>
          <w:trHeight w:val="211"/>
        </w:trPr>
        <w:tc>
          <w:tcPr>
            <w:tcW w:w="8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M&amp;A transactions completed with values greater than</w:t>
            </w: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89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$500 million (a)</w:t>
            </w: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17</w:t>
            </w:r>
          </w:p>
        </w:tc>
        <w:tc>
          <w:tcPr>
            <w:tcW w:w="360" w:type="dxa"/>
            <w:vAlign w:val="bottom"/>
            <w:shd w:val="clear" w:color="auto" w:fill="CFF0FC"/>
          </w:tcPr>
          <w:p>
            <w:pPr>
              <w:spacing w:after="0"/>
              <w:rPr>
                <w:sz w:val="20"/>
                <w:szCs w:val="20"/>
                <w:color w:val="auto"/>
              </w:rPr>
            </w:pPr>
          </w:p>
        </w:tc>
        <w:tc>
          <w:tcPr>
            <w:tcW w:w="15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28</w:t>
            </w:r>
          </w:p>
        </w:tc>
        <w:tc>
          <w:tcPr>
            <w:tcW w:w="180" w:type="dxa"/>
            <w:vAlign w:val="bottom"/>
            <w:shd w:val="clear" w:color="auto" w:fill="CFF0FC"/>
          </w:tcPr>
          <w:p>
            <w:pPr>
              <w:spacing w:after="0"/>
              <w:rPr>
                <w:sz w:val="20"/>
                <w:szCs w:val="20"/>
                <w:color w:val="auto"/>
              </w:rPr>
            </w:pPr>
          </w:p>
        </w:tc>
      </w:tr>
      <w:tr>
        <w:trPr>
          <w:trHeight w:val="95"/>
        </w:trPr>
        <w:tc>
          <w:tcPr>
            <w:tcW w:w="192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Source: Dealogic as of April 3, 2019.</w:t>
      </w:r>
    </w:p>
    <w:p>
      <w:pPr>
        <w:spacing w:after="0" w:line="22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55"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47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77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9" w:name="page50"/>
    <w:bookmarkEnd w:id="49"/>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Results of Operations</w:t>
      </w:r>
    </w:p>
    <w:p>
      <w:pPr>
        <w:spacing w:after="0" w:line="117" w:lineRule="exact"/>
        <w:rPr>
          <w:sz w:val="20"/>
          <w:szCs w:val="20"/>
          <w:color w:val="auto"/>
        </w:rPr>
      </w:pPr>
    </w:p>
    <w:p>
      <w:pPr>
        <w:ind w:right="26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versus March 31, 2018</w:t>
      </w:r>
    </w:p>
    <w:p>
      <w:pPr>
        <w:spacing w:after="0" w:line="121" w:lineRule="exact"/>
        <w:rPr>
          <w:sz w:val="20"/>
          <w:szCs w:val="20"/>
          <w:color w:val="auto"/>
        </w:rPr>
      </w:pPr>
    </w:p>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Financial Advisory net revenue decreased $87 million, or 21%, as compared to the 2018 period, primarily due to a decrease in the number of transactions involving fees greater than $5 million as compared to 2018.</w:t>
      </w:r>
    </w:p>
    <w:p>
      <w:pPr>
        <w:spacing w:after="0" w:line="16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Operating expenses decreased $48 million, or 15%, as compared to the 2018 period, primarily due to a decrease in compensation and benefits expense associated with decreased operating revenue.</w:t>
      </w:r>
    </w:p>
    <w:p>
      <w:pPr>
        <w:spacing w:after="0" w:line="162"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Financial Advisory operating income was $48 million, a decrease of $38 million, or 44%, as compared to the 2018 period and, as a percentage of net revenue, was 14.9%, as compared to 21.0% in the 2018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composition of AUM for the Asset Management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ind w:right="39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r>
      <w:tr>
        <w:trPr>
          <w:trHeight w:val="173"/>
        </w:trPr>
        <w:tc>
          <w:tcPr>
            <w:tcW w:w="48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Emerging Markets</w:t>
            </w:r>
          </w:p>
        </w:tc>
        <w:tc>
          <w:tcPr>
            <w:tcW w:w="3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45,112</w:t>
            </w:r>
          </w:p>
        </w:tc>
        <w:tc>
          <w:tcPr>
            <w:tcW w:w="6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Global</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Local</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63,112</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Equity</w:t>
            </w:r>
          </w:p>
        </w:tc>
        <w:tc>
          <w:tcPr>
            <w:tcW w:w="2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195,095</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176,998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Income:</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Emerging Markets</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Global</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Local</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Fixed Income</w:t>
            </w:r>
          </w:p>
        </w:tc>
        <w:tc>
          <w:tcPr>
            <w:tcW w:w="2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35,008</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234,979</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214,734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Total AUM at March 31, 2019 was $235 billion, an increase of $20 billion, or 9%, as compared to total AUM of $215 billion at December 31, 2018, due to market appreciation and net inflows, partially offset by foreign exchange depreciation. Average AUM for the first quarter of 2019 decreased 11% as compared to the first quarter of 2018 and increased 2% as compared to the fourth quarter of 2018.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As of both March 31, 2019 and December 31. 2018, approximately 88% of our AUM was managed on behalf of institutional clients, including corporations, labor unions, public pension funds, insurance companies and banks, and through sub-advisory relationships, mutual fund sponsors, broker-dealers and registered advisors. As of both March 31, 2019 and December 31, 2018, approximately 12% of our AUM was managed on behalf of individual client relationships, which are principally with family offices and individuals.</w:t>
      </w:r>
    </w:p>
    <w:p>
      <w:pPr>
        <w:spacing w:after="0" w:line="180"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As of both March 31, 2019 and December 31, 2018, AUM with foreign currency exposure represented approximately 70% of our total AUM. AUM with foreign currency exposure generally declines in value with the strengthening of the U.S. Dollar and increases in value as the U.S. Dollar weakens, with all other factors held constant.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changes in AUM by asset class for the three month periods ended March 31, 2019 and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0"/>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Inflows (a)</w:t>
            </w:r>
          </w:p>
        </w:tc>
        <w:tc>
          <w:tcPr>
            <w:tcW w:w="10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8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(7,229)</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(831)</w:t>
            </w:r>
          </w:p>
        </w:tc>
        <w:tc>
          <w:tcPr>
            <w:tcW w:w="3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214,734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right="200" w:hanging="372"/>
        <w:spacing w:after="0" w:line="261"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Inflows in the Equity asset class were primarily attributable to the Global, Emerging Markets and Multi-Regional platforms, and inflows in the Fixed Income asset class were primarily attributable to the Global, Multi-Regional and Emerging Markets platforms. Outflows in the Equity asset class were primarily attributable to the Global, Emerging Markets and Multi-Regional platforms, and outflows in the Fixed Income asset class were primarily attributable to the Emerging Markets and Global platforms.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0"/>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8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249,459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As of April 17, 2019, AUM was $240.6 billion, a $5.6 billion increase since March 31, 2019. The increase in AUM was due to market appreciation of $5.4 billion and foreign exchange appreciation of $0.4 billion, partially offset by net outflows of $0.2 billion.</w:t>
      </w:r>
    </w:p>
    <w:p>
      <w:pPr>
        <w:spacing w:after="0" w:line="162"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Average AUM for the three month periods ended March 31, 2019 and 2018 for each significant asset class is set forth below. Average AUM generally represents the average of the monthly ending AUM balances for the period.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Average AUM by Asset Class:</w:t>
            </w:r>
          </w:p>
        </w:tc>
        <w:tc>
          <w:tcPr>
            <w:tcW w:w="3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w:t>
            </w:r>
          </w:p>
        </w:tc>
        <w:tc>
          <w:tcPr>
            <w:tcW w:w="486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189,221</w:t>
            </w:r>
          </w:p>
        </w:tc>
        <w:tc>
          <w:tcPr>
            <w:tcW w:w="86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Income</w:t>
            </w:r>
          </w:p>
        </w:tc>
        <w:tc>
          <w:tcPr>
            <w:tcW w:w="3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Alternative Investments</w:t>
            </w:r>
          </w:p>
        </w:tc>
        <w:tc>
          <w:tcPr>
            <w:tcW w:w="3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 Equity</w:t>
            </w:r>
          </w:p>
        </w:tc>
        <w:tc>
          <w:tcPr>
            <w:tcW w:w="3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Cash Management</w:t>
            </w:r>
          </w:p>
        </w:tc>
        <w:tc>
          <w:tcPr>
            <w:tcW w:w="39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Average AUM</w:t>
            </w:r>
          </w:p>
        </w:tc>
        <w:tc>
          <w:tcPr>
            <w:tcW w:w="39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228,837</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90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49</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6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Asset Management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34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301,833</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354,283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207,348</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229,669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94,485</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124,614</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 of net revenue</w:t>
            </w:r>
          </w:p>
        </w:tc>
        <w:tc>
          <w:tcPr>
            <w:tcW w:w="2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23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7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Results of Operations</w:t>
      </w:r>
    </w:p>
    <w:p>
      <w:pPr>
        <w:spacing w:after="0" w:line="117" w:lineRule="exact"/>
        <w:rPr>
          <w:sz w:val="20"/>
          <w:szCs w:val="20"/>
          <w:color w:val="auto"/>
        </w:rPr>
      </w:pPr>
    </w:p>
    <w:p>
      <w:pPr>
        <w:ind w:right="58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versus March 31, 2018</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Asset Management net revenue decreased $52 million, or 15%, as compared to the 2018 period. Management fees and other revenue was $301 million, a decrease of $47 million, or 14%, as compared to $348 million in the 2018 period, primarily due a decrease in average AUM. Incentive fees were $1 million, a decrease of $5 million as compared to $6 million in the 2018 period.</w:t>
      </w:r>
    </w:p>
    <w:p>
      <w:pPr>
        <w:spacing w:after="0" w:line="176"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Operating expenses decreased $22 million, or 10%, as compared to the 2018 period, primarily due to a decrease in compensation and benefits expense associated with decreased operating revenue, as well as lower fund administration fees.</w:t>
      </w:r>
    </w:p>
    <w:p>
      <w:pPr>
        <w:spacing w:after="0" w:line="162"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Asset Management operating income was $94 million, a decrease of $30 million, or 24%, as compared to operating income of $125 million in the 2018 period and, as a percentage of net revenue, was 31.3%, as compared to 35.2% in the 2018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Corporate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02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(13,977)</w:t>
            </w: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Interest (Expense)</w:t>
            </w:r>
          </w:p>
        </w:tc>
        <w:tc>
          <w:tcPr>
            <w:tcW w:w="40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(15,296)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4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Revenue (Expense)</w:t>
            </w:r>
          </w:p>
        </w:tc>
        <w:tc>
          <w:tcPr>
            <w:tcW w:w="4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0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(33,513)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06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52" w:name="page53"/>
    <w:bookmarkEnd w:id="5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Corporate Results of Operations</w:t>
      </w:r>
    </w:p>
    <w:p>
      <w:pPr>
        <w:spacing w:after="0" w:line="117" w:lineRule="exact"/>
        <w:rPr>
          <w:sz w:val="20"/>
          <w:szCs w:val="20"/>
          <w:color w:val="auto"/>
        </w:rPr>
      </w:pPr>
    </w:p>
    <w:p>
      <w:pPr>
        <w:ind w:right="18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versus March 31, 2018</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interest expense increased $4 million, or 31%, as compared to the 2018 period.</w:t>
      </w:r>
    </w:p>
    <w:p>
      <w:pPr>
        <w:spacing w:after="0" w:line="225"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Other revenue increased $15 million as compared to the 2018 period, primarily due to higher income in the 2019 period attributable to investments held in connection with LFI.</w:t>
      </w:r>
    </w:p>
    <w:p>
      <w:pPr>
        <w:spacing w:after="0" w:line="162"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Operating expenses increased $22 million as compared to the 2018 period, primarily due to an increase in compensation and benefits expense, including an increase in charges pertaining to LFI.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The Company’s cash flows are influenced primarily by the timing of the receipt of Financial Advisory and Asset Management fees, the timing of distributions to members, payments of incentive compensation to managing directors and employees and purchases of Class A common stock. Cash flows were also affected in 2019 by Lazard Group’s issuance of $500 million aggregate principal amount of its 4.375% senior notes maturing in 2029 (the “2029 Notes”) and the partial redemption of the 2020 Notes.</w:t>
      </w:r>
    </w:p>
    <w:p>
      <w:pPr>
        <w:spacing w:after="0" w:line="180"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76"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19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1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4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19"/>
                <w:szCs w:val="19"/>
                <w:color w:val="auto"/>
              </w:rPr>
            </w:pPr>
          </w:p>
        </w:tc>
      </w:tr>
      <w:tr>
        <w:trPr>
          <w:trHeight w:val="230"/>
        </w:trPr>
        <w:tc>
          <w:tcPr>
            <w:tcW w:w="7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(a)</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operating activities (b)</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790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FF0FC"/>
            </w:tcBorders>
          </w:tcPr>
          <w:p>
            <w:pPr>
              <w:spacing w:after="0"/>
              <w:rPr>
                <w:sz w:val="19"/>
                <w:szCs w:val="19"/>
                <w:color w:val="auto"/>
              </w:rPr>
            </w:pPr>
          </w:p>
        </w:tc>
      </w:tr>
      <w:tr>
        <w:trPr>
          <w:trHeight w:val="223"/>
        </w:trPr>
        <w:tc>
          <w:tcPr>
            <w:tcW w:w="79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r>
      <w:tr>
        <w:trPr>
          <w:trHeight w:val="230"/>
        </w:trPr>
        <w:tc>
          <w:tcPr>
            <w:tcW w:w="7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Financing activities (c)</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w:t>
            </w:r>
          </w:p>
        </w:tc>
      </w:tr>
      <w:tr>
        <w:trPr>
          <w:trHeight w:val="230"/>
        </w:trPr>
        <w:tc>
          <w:tcPr>
            <w:tcW w:w="79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9"/>
                <w:szCs w:val="19"/>
                <w:color w:val="auto"/>
              </w:rPr>
            </w:pPr>
          </w:p>
        </w:tc>
      </w:tr>
      <w:tr>
        <w:trPr>
          <w:trHeight w:val="223"/>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 and Restricted Cash</w:t>
            </w: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r>
      <w:tr>
        <w:trPr>
          <w:trHeight w:val="230"/>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(d):</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90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Borders>
              <w:bottom w:val="single" w:sz="8" w:color="CFF0FC"/>
            </w:tcBorders>
          </w:tcPr>
          <w:p>
            <w:pPr>
              <w:spacing w:after="0"/>
              <w:rPr>
                <w:sz w:val="19"/>
                <w:szCs w:val="19"/>
                <w:color w:val="auto"/>
              </w:rPr>
            </w:pPr>
          </w:p>
        </w:tc>
      </w:tr>
      <w:tr>
        <w:trPr>
          <w:trHeight w:val="223"/>
        </w:trPr>
        <w:tc>
          <w:tcPr>
            <w:tcW w:w="790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5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Consists of the following: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3" w:name="page54"/>
    <w:bookmarkEnd w:id="53"/>
    <w:tbl>
      <w:tblPr>
        <w:tblLayout w:type="fixed"/>
        <w:tblInd w:w="58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6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3"/>
                <w:szCs w:val="13"/>
                <w:color w:val="auto"/>
              </w:rPr>
            </w:pPr>
          </w:p>
        </w:tc>
      </w:tr>
      <w:tr>
        <w:trPr>
          <w:trHeight w:val="156"/>
        </w:trPr>
        <w:tc>
          <w:tcPr>
            <w:tcW w:w="6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1680" w:type="dxa"/>
            <w:vAlign w:val="bottom"/>
            <w:gridSpan w:val="2"/>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expenses and share-based incentive compensation</w:t>
            </w:r>
          </w:p>
        </w:tc>
        <w:tc>
          <w:tcPr>
            <w:tcW w:w="8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and other acquisition-related (benefits) costs</w:t>
            </w:r>
          </w:p>
        </w:tc>
        <w:tc>
          <w:tcPr>
            <w:tcW w:w="8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hanging="372"/>
        <w:spacing w:after="0"/>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changes in operating assets and liabilities.</w:t>
      </w:r>
    </w:p>
    <w:p>
      <w:pPr>
        <w:spacing w:after="0" w:line="27" w:lineRule="exact"/>
        <w:rPr>
          <w:rFonts w:ascii="Times New Roman" w:cs="Times New Roman" w:eastAsia="Times New Roman" w:hAnsi="Times New Roman"/>
          <w:sz w:val="18"/>
          <w:szCs w:val="18"/>
          <w:color w:val="auto"/>
        </w:rPr>
      </w:pPr>
    </w:p>
    <w:p>
      <w:pPr>
        <w:ind w:left="380" w:right="60" w:hanging="372"/>
        <w:spacing w:after="0" w:line="250"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purchases of shares of Class A common stock, tax withholdings related to the settlement of vested restricted stock units (“RSUs”), vested restricted stock awards and vested PRSUs, changes in customer deposits, distributions to members and noncontrolling interest holders and activity relating to borrowings (including in 2019, the partial redemption of the 2020 Notes and the issuance of the 2029 Notes).</w:t>
      </w:r>
    </w:p>
    <w:p>
      <w:pPr>
        <w:spacing w:after="0" w:line="1" w:lineRule="exact"/>
        <w:rPr>
          <w:rFonts w:ascii="Times New Roman" w:cs="Times New Roman" w:eastAsia="Times New Roman" w:hAnsi="Times New Roman"/>
          <w:sz w:val="18"/>
          <w:szCs w:val="18"/>
          <w:color w:val="auto"/>
        </w:rPr>
      </w:pPr>
    </w:p>
    <w:p>
      <w:pPr>
        <w:ind w:left="380" w:right="100" w:hanging="372"/>
        <w:spacing w:after="0" w:line="261"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liquidity and capital resources are derived from operating activities, financing activities and equity offerings.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80" w:firstLine="518"/>
        <w:spacing w:after="0" w:line="313" w:lineRule="auto"/>
        <w:rPr>
          <w:sz w:val="20"/>
          <w:szCs w:val="20"/>
          <w:color w:val="auto"/>
        </w:rPr>
      </w:pPr>
      <w:r>
        <w:rPr>
          <w:rFonts w:ascii="Times New Roman" w:cs="Times New Roman" w:eastAsia="Times New Roman" w:hAnsi="Times New Roman"/>
          <w:sz w:val="17"/>
          <w:szCs w:val="17"/>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3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certain managing directors, which serve to reduce their respective incentive compensation payments. We expect this seasonal pattern of cash flow to continue.</w:t>
      </w:r>
    </w:p>
    <w:p>
      <w:pPr>
        <w:spacing w:after="0" w:line="180"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quarter of 2019, as reflected on the condensed consolidated statements of financial condition, both “deposits with banks and short-term investments” and “deposits and other customer payables” increased as compared to December 31, 2018, due to a higher level of LFB customer-related demand deposits, primarily from clients and funds managed by LFG.</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Lazard’s condensed consolidated financial statements are presented in U.S. Dollars. Many of Lazard’s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levels, investments in U.S. Treasury securities, credit lines, principal investment commitments, interest and principal payments on debt, capital expenditures, distributions to members, purchases of shares of Class A common stock and matters relating to liquidity and to compliance with regulatory net capital requirements. At March 31, 2019, Lazard had approximately $1,003 million of cash, with such amount including approximately $590 million held at Lazard’s operations outside the U.S. Lazard provides for income taxes on substantially all of its foreign earnings. We expect that no material amount of additional taxes would be recognized upon receipt of dividends or distributions of such earnings from our foreign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28" w:right="259" w:bottom="1440" w:gutter="0" w:footer="0" w:header="0"/>
        </w:sectPr>
      </w:pPr>
    </w:p>
    <w:bookmarkStart w:id="54" w:name="page55"/>
    <w:bookmarkEnd w:id="54"/>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We maintain lines of credit in excess of anticipated liquidity requirements. As of March 31, 2019, Lazard had approximately $168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$17 million.</w:t>
      </w:r>
    </w:p>
    <w:p>
      <w:pPr>
        <w:spacing w:after="0" w:line="176"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table below sets forth our corporate indebtedness as of March 31, 2019 and December 31, 2018. The agreements with respect to this indebtedness are discussed in more detail in our condensed consolidated financial statements and related notes included elsewhere in this Form 10-Q and in our Form 10-K.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Outstanding as of</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34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1"/>
                <w:szCs w:val="11"/>
                <w:color w:val="auto"/>
              </w:rPr>
            </w:pPr>
          </w:p>
        </w:tc>
        <w:tc>
          <w:tcPr>
            <w:tcW w:w="10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1"/>
                <w:szCs w:val="11"/>
                <w:color w:val="auto"/>
              </w:rPr>
            </w:pPr>
          </w:p>
        </w:tc>
        <w:tc>
          <w:tcPr>
            <w:tcW w:w="10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40" w:type="dxa"/>
            <w:vAlign w:val="bottom"/>
            <w:gridSpan w:val="2"/>
            <w:vMerge w:val="continue"/>
          </w:tcPr>
          <w:p>
            <w:pPr>
              <w:spacing w:after="0"/>
              <w:rPr>
                <w:sz w:val="15"/>
                <w:szCs w:val="15"/>
                <w:color w:val="auto"/>
              </w:rPr>
            </w:pPr>
          </w:p>
        </w:tc>
        <w:tc>
          <w:tcPr>
            <w:tcW w:w="9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1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Group 2025 Senior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Group 2028 Senior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Lazard Group 2029 Senior Notes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300" w:firstLine="518"/>
        <w:spacing w:after="0" w:line="266" w:lineRule="auto"/>
        <w:rPr>
          <w:sz w:val="20"/>
          <w:szCs w:val="20"/>
          <w:color w:val="auto"/>
        </w:rPr>
      </w:pPr>
      <w:r>
        <w:rPr>
          <w:rFonts w:ascii="Times New Roman" w:cs="Times New Roman" w:eastAsia="Times New Roman" w:hAnsi="Times New Roman"/>
          <w:sz w:val="18"/>
          <w:szCs w:val="18"/>
          <w:color w:val="auto"/>
        </w:rPr>
        <w:t>During March 2019, Lazard Group completed an offering of the 2029 Notes. Lazard Group used a portion of the net proceeds of the 2029 Notes to redeem or otherwise retire the remaining 2020 Notes in transactions that occurred during March 2019 and April 2019. See Note 11 of Notes to Condensed Consolidated Financial Statements.</w:t>
      </w:r>
    </w:p>
    <w:p>
      <w:pPr>
        <w:spacing w:after="0" w:line="176"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7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March 31, 2019, Lazard Group was in compliance with such ratios, with its Consolidated Leverage Ratio being 1.74 to 1.00 and its Consolidated Interest Coverage Ratio being 17.83 to 1.00. In any event, no amounts were outstanding under the Amended and Restated Credit Agreement as of March 31, 2019.</w:t>
      </w:r>
    </w:p>
    <w:p>
      <w:pPr>
        <w:spacing w:after="0" w:line="18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March 31, 2019,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11 of Notes to Condensed Consolidated Financial Statements for additional information regarding senior debt.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Members’ Equity</w:t>
      </w:r>
    </w:p>
    <w:p>
      <w:pPr>
        <w:spacing w:after="0" w:line="121"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At March 31, 2019, total members’ equity was $427 million, as compared to $583 million at December 31, 2018, including $375 million and $530 million attributable to Lazard Group on the respective dates. The net activity in members’ equity during the three month period ended March 31, 2019 is reflected in the table below (in millions of dollars):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8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Members’ Equity - January 1, 2019</w:t>
            </w:r>
          </w:p>
        </w:tc>
        <w:tc>
          <w:tcPr>
            <w:tcW w:w="740" w:type="dxa"/>
            <w:vAlign w:val="bottom"/>
            <w:gridSpan w:val="2"/>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due to:</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8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8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8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8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Purchase of Class A common stock</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580" w:type="dxa"/>
            <w:vAlign w:val="bottom"/>
          </w:tcPr>
          <w:p>
            <w:pPr>
              <w:spacing w:after="0"/>
              <w:rPr>
                <w:sz w:val="19"/>
                <w:szCs w:val="19"/>
                <w:color w:val="auto"/>
              </w:rPr>
            </w:pPr>
          </w:p>
        </w:tc>
        <w:tc>
          <w:tcPr>
            <w:tcW w:w="8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580" w:type="dxa"/>
            <w:vAlign w:val="bottom"/>
          </w:tcPr>
          <w:p>
            <w:pPr>
              <w:spacing w:after="0"/>
              <w:rPr>
                <w:sz w:val="19"/>
                <w:szCs w:val="19"/>
                <w:color w:val="auto"/>
              </w:rPr>
            </w:pPr>
          </w:p>
        </w:tc>
        <w:tc>
          <w:tcPr>
            <w:tcW w:w="8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Distributions to members and noncontrolling interests, net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580" w:type="dxa"/>
            <w:vAlign w:val="bottom"/>
          </w:tcPr>
          <w:p>
            <w:pPr>
              <w:spacing w:after="0"/>
              <w:rPr>
                <w:sz w:val="19"/>
                <w:szCs w:val="19"/>
                <w:color w:val="auto"/>
              </w:rPr>
            </w:pPr>
          </w:p>
        </w:tc>
        <w:tc>
          <w:tcPr>
            <w:tcW w:w="8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 net</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0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Members’ Equity - March 31, 2019</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7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The tax withholding portion of share-based compensation is settled in cash, not shares.</w:t>
      </w:r>
    </w:p>
    <w:p>
      <w:pPr>
        <w:spacing w:after="0" w:line="22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Board of Directors of Lazard has issued a series of authorizations to repurchase Class A common stock,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 The rate at which Lazard Ltd purchases shares in connection with this annual objective may vary from quarter to quarter due to a variety of factors. Purchases with respect to such program are set forth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80"/>
        </w:trPr>
        <w:tc>
          <w:tcPr>
            <w:tcW w:w="7860" w:type="dxa"/>
            <w:vAlign w:val="bottom"/>
            <w:gridSpan w:val="2"/>
            <w:vMerge w:val="continue"/>
          </w:tcPr>
          <w:p>
            <w:pPr>
              <w:spacing w:after="0"/>
              <w:rPr>
                <w:sz w:val="15"/>
                <w:szCs w:val="15"/>
                <w:color w:val="auto"/>
              </w:rPr>
            </w:pPr>
          </w:p>
        </w:tc>
        <w:tc>
          <w:tcPr>
            <w:tcW w:w="1580" w:type="dxa"/>
            <w:vAlign w:val="bottom"/>
          </w:tcPr>
          <w:p>
            <w:pPr>
              <w:jc w:val="right"/>
              <w:ind w:right="159"/>
              <w:spacing w:after="0" w:line="160"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7"/>
        </w:trPr>
        <w:tc>
          <w:tcPr>
            <w:tcW w:w="2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586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2,662,286</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58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5,177,948</w:t>
            </w:r>
          </w:p>
        </w:tc>
        <w:tc>
          <w:tcPr>
            <w:tcW w:w="5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As of March 31, 2019, a total of $403 million of share repurchase authorization remained available under Lazard Ltd’s share repurchase program, all of which will expire on December 31, 2020.</w:t>
      </w:r>
    </w:p>
    <w:p>
      <w:pPr>
        <w:spacing w:after="0" w:line="162"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During the three month period ended March 31, 2019, Lazard Ltd had in place trading plans under Rule 10b5-1 of the Securities Exchange Act of 1934, as amended, pursuant to which it effected stock repurchases in the open market.</w:t>
      </w:r>
    </w:p>
    <w:p>
      <w:pPr>
        <w:spacing w:after="0" w:line="162"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Company plans to continue to deploy excess cash and may do so in a variety of ways, which may include repurchasing outstanding shares of Class A common stock, distributions to members and noncontrolling interest holders and repurchasing its outstanding debt.</w:t>
      </w:r>
    </w:p>
    <w:p>
      <w:pPr>
        <w:spacing w:after="0" w:line="162"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See Notes 13 and 14 of Notes to Condensed Consolidated Financial Statements for additional information regarding Lazard’s members’ equity and incentive plans,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Capital</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Lazard’s contractual obligations as of March 31,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Contractual Obligations Payment Due by Period</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2,392,263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153,721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(exclusive of $25,565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728,302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148,957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3,128,903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221,960</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289,457</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248,405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right="140" w:hanging="372"/>
        <w:spacing w:after="0" w:line="261"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March 2019, Lazard Group completed an offering of $500,000 aggregate principal amount of the 2029 Notes. Interest on the 2029 Notes is payable semi-annually on March 11 and September 11 of each year, beginning September 11, 2019. Lazard Group used a portion of the net proceeds of the 2029 Notes during March and April 2019 to redeem or otherwise retire the remaining $250,000 of the 2020 Notes. See Note 11 of Notes to Condensed Consolidated Financial Statements.</w:t>
      </w:r>
    </w:p>
    <w:p>
      <w:pPr>
        <w:spacing w:after="0" w:line="17" w:lineRule="exact"/>
        <w:rPr>
          <w:rFonts w:ascii="Times New Roman" w:cs="Times New Roman" w:eastAsia="Times New Roman" w:hAnsi="Times New Roman"/>
          <w:sz w:val="18"/>
          <w:szCs w:val="18"/>
          <w:color w:val="auto"/>
        </w:rPr>
      </w:pPr>
    </w:p>
    <w:p>
      <w:pPr>
        <w:ind w:left="380" w:hanging="372"/>
        <w:spacing w:after="0" w:line="266"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$14,437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14" w:lineRule="exact"/>
        <w:rPr>
          <w:rFonts w:ascii="Times New Roman" w:cs="Times New Roman" w:eastAsia="Times New Roman" w:hAnsi="Times New Roman"/>
          <w:sz w:val="18"/>
          <w:szCs w:val="18"/>
          <w:color w:val="auto"/>
        </w:rPr>
      </w:pPr>
    </w:p>
    <w:p>
      <w:pPr>
        <w:ind w:left="380" w:right="200" w:hanging="372"/>
        <w:spacing w:after="0" w:line="266"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excludes contingent obligations, as well as any possible payments for uncertain tax positions, given the inability to make a reasonably reliable estimate of the timing of the amounts of any such payments. See also Notes 12, 14, 15, and 16 of Notes to Condensed Consolidated Financial Statements regarding information in connection with commitments, incentive plans, employee benefit plans and income taxes,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8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Lazard generates substantially all of its net revenue from providing Financial Advisory and Asset Management services to clients. Lazard recognizes revenue when the following criteria are met:</w:t>
      </w:r>
    </w:p>
    <w:p>
      <w:pPr>
        <w:spacing w:after="0" w:line="54" w:lineRule="exact"/>
        <w:rPr>
          <w:sz w:val="20"/>
          <w:szCs w:val="20"/>
          <w:color w:val="auto"/>
        </w:rPr>
      </w:pPr>
    </w:p>
    <w:p>
      <w:pPr>
        <w:ind w:left="900" w:hanging="379"/>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with a client has been identified;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in the contract have been identified;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or other transaction price has been determined;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or other transaction price has been allocated to each performance obligation in the contract;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satisfied the applicable performance obligation.</w:t>
      </w:r>
    </w:p>
    <w:p>
      <w:pPr>
        <w:spacing w:after="0" w:line="225"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7" w:name="page58"/>
    <w:bookmarkEnd w:id="57"/>
    <w:p>
      <w:pPr>
        <w:ind w:firstLine="518"/>
        <w:spacing w:after="0" w:line="261" w:lineRule="auto"/>
        <w:rPr>
          <w:sz w:val="20"/>
          <w:szCs w:val="20"/>
          <w:color w:val="auto"/>
        </w:rPr>
      </w:pPr>
      <w:r>
        <w:rPr>
          <w:rFonts w:ascii="Times New Roman" w:cs="Times New Roman" w:eastAsia="Times New Roman" w:hAnsi="Times New Roman"/>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0"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Liabilities</w:t>
      </w:r>
    </w:p>
    <w:p>
      <w:pPr>
        <w:spacing w:after="0" w:line="121"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84"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2018, on a consolidated basis, we recorded gross deferred tax assets of approximately $144 million, with such amount partially offset by a valuation allowance of approximately $68 million (as described below).</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8" w:name="page59"/>
    <w:bookmarkEnd w:id="58"/>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assessment regarding whether a valuation allowance is required or should be adjusted also considers all available information, including the following:</w:t>
      </w:r>
    </w:p>
    <w:p>
      <w:pPr>
        <w:spacing w:after="0" w:line="54" w:lineRule="exact"/>
        <w:rPr>
          <w:sz w:val="20"/>
          <w:szCs w:val="20"/>
          <w:color w:val="auto"/>
        </w:rPr>
      </w:pPr>
    </w:p>
    <w:p>
      <w:pPr>
        <w:ind w:left="900" w:hanging="37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magnitude and duration of any past losses and current operating results;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periods;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near-term and medium-term financial outlook.</w:t>
      </w:r>
    </w:p>
    <w:p>
      <w:pPr>
        <w:spacing w:after="0" w:line="225"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76"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$68 million of deferred tax assets held by these entities as of December 31, 2018.</w:t>
      </w:r>
    </w:p>
    <w:p>
      <w:pPr>
        <w:spacing w:after="0" w:line="184"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8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76"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See Item 1A, “Risk Factors” in our Form 10-K and Note 16 of Notes to Condensed Consolidated Financial Statements for additional information related to income taxes.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Investments consist primarily of interest-bearing deposits, debt and equity securities, and interests in alternative investment, debt, equity and private equity funds.</w:t>
      </w:r>
    </w:p>
    <w:p>
      <w:pPr>
        <w:spacing w:after="0" w:line="16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80"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9" w:name="page60"/>
    <w:bookmarkEnd w:id="59"/>
    <w:p>
      <w:pPr>
        <w:ind w:left="520"/>
        <w:spacing w:after="0"/>
        <w:rPr>
          <w:sz w:val="20"/>
          <w:szCs w:val="20"/>
          <w:color w:val="auto"/>
        </w:rPr>
      </w:pPr>
      <w:r>
        <w:rPr>
          <w:rFonts w:ascii="Times New Roman" w:cs="Times New Roman" w:eastAsia="Times New Roman" w:hAnsi="Times New Roman"/>
          <w:sz w:val="18"/>
          <w:szCs w:val="18"/>
          <w:color w:val="auto"/>
        </w:rPr>
        <w:t>Data relating to investments is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gridSpan w:val="7"/>
          </w:tcPr>
          <w:p>
            <w:pPr>
              <w:jc w:val="right"/>
              <w:ind w:right="1240"/>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3"/>
                <w:szCs w:val="13"/>
                <w:color w:val="auto"/>
              </w:rPr>
            </w:pPr>
          </w:p>
        </w:tc>
      </w:tr>
      <w:tr>
        <w:trPr>
          <w:trHeight w:val="230"/>
        </w:trPr>
        <w:tc>
          <w:tcPr>
            <w:tcW w:w="7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Seed investments by asset class: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Equities (a)</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83,561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73,410</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income</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10,064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9,548</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Times New Roman" w:cs="Times New Roman" w:eastAsia="Times New Roman" w:hAnsi="Times New Roman"/>
                <w:sz w:val="18"/>
                <w:szCs w:val="18"/>
                <w:color w:val="auto"/>
              </w:rPr>
              <w:t>Alternative investments</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31,323</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7,131</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seed investments</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124,948</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90,089</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investments owned: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 equity (b)</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41,823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41,788</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income and other (c)</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272,880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226,346</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Total other investments owned</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315,219</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268,644</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440,167</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358,733</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 equity consolidated, not owned (d)</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13,728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14,555</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Times New Roman" w:cs="Times New Roman" w:eastAsia="Times New Roman" w:hAnsi="Times New Roman"/>
                <w:sz w:val="18"/>
                <w:szCs w:val="18"/>
                <w:color w:val="auto"/>
              </w:rPr>
              <w:t>LFI (e)</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161,886</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201,860</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615,781</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575,148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7020" w:type="dxa"/>
            <w:vAlign w:val="bottom"/>
            <w:gridSpan w:val="4"/>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50"/>
        </w:trPr>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At March 31, 2019 and December 31, 2018, seed investments in directly owned equity securities were invested as follows: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3"/>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9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0" w:type="dxa"/>
            <w:vAlign w:val="bottom"/>
          </w:tcPr>
          <w:p>
            <w:pPr>
              <w:spacing w:after="0"/>
              <w:rPr>
                <w:sz w:val="15"/>
                <w:szCs w:val="15"/>
                <w:color w:val="auto"/>
              </w:rPr>
            </w:pPr>
          </w:p>
        </w:tc>
        <w:tc>
          <w:tcPr>
            <w:tcW w:w="1340" w:type="dxa"/>
            <w:vAlign w:val="bottom"/>
            <w:tcBorders>
              <w:bottom w:val="single" w:sz="8" w:color="CFF0FC"/>
            </w:tcBorders>
          </w:tcPr>
          <w:p>
            <w:pPr>
              <w:spacing w:after="0"/>
              <w:rPr>
                <w:sz w:val="15"/>
                <w:szCs w:val="15"/>
                <w:color w:val="auto"/>
              </w:rPr>
            </w:pPr>
          </w:p>
        </w:tc>
        <w:tc>
          <w:tcPr>
            <w:tcW w:w="56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80" w:type="dxa"/>
            <w:vAlign w:val="bottom"/>
            <w:tcBorders>
              <w:bottom w:val="single" w:sz="8" w:color="CFF0FC"/>
            </w:tcBorders>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invested in:</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Financials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Consumer</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Industrial</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56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right="320" w:hanging="372"/>
        <w:spacing w:after="0" w:line="281"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investments include investments related to certain legacy businesses and co-investments in private equity funds managed by our Asset Management business. Co-investments owned were $27 million as of both March 31, 2019 and December 31, 2018, respectively.</w:t>
      </w:r>
    </w:p>
    <w:p>
      <w:pPr>
        <w:spacing w:after="0" w:line="1" w:lineRule="exact"/>
        <w:rPr>
          <w:rFonts w:ascii="Times New Roman" w:cs="Times New Roman" w:eastAsia="Times New Roman" w:hAnsi="Times New Roman"/>
          <w:sz w:val="18"/>
          <w:szCs w:val="18"/>
          <w:color w:val="auto"/>
        </w:rPr>
      </w:pPr>
    </w:p>
    <w:p>
      <w:pPr>
        <w:ind w:left="380" w:right="780" w:hanging="372"/>
        <w:spacing w:after="0" w:line="281"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2019 and December 31, 2018, includes investments in U.S. Treasury securities of approximately $249 million and $200 million, respectively, with original maturities of greater than three months and less than one year.</w:t>
      </w:r>
    </w:p>
    <w:p>
      <w:pPr>
        <w:spacing w:after="0" w:line="1" w:lineRule="exact"/>
        <w:rPr>
          <w:rFonts w:ascii="Times New Roman" w:cs="Times New Roman" w:eastAsia="Times New Roman" w:hAnsi="Times New Roman"/>
          <w:sz w:val="18"/>
          <w:szCs w:val="18"/>
          <w:color w:val="auto"/>
        </w:rPr>
      </w:pPr>
    </w:p>
    <w:p>
      <w:pPr>
        <w:ind w:left="380" w:right="160" w:hanging="372"/>
        <w:spacing w:after="0" w:line="266"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14" w:lineRule="exact"/>
        <w:rPr>
          <w:rFonts w:ascii="Times New Roman" w:cs="Times New Roman" w:eastAsia="Times New Roman" w:hAnsi="Times New Roman"/>
          <w:sz w:val="18"/>
          <w:szCs w:val="18"/>
          <w:color w:val="auto"/>
        </w:rPr>
      </w:pPr>
    </w:p>
    <w:p>
      <w:pPr>
        <w:ind w:left="380" w:right="20" w:hanging="372"/>
        <w:spacing w:after="0" w:line="258"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$4 million in one entity as of March 31, 2019, as compared to $69 million in three entities as of December 31, 2018.</w:t>
      </w:r>
    </w:p>
    <w:p>
      <w:pPr>
        <w:spacing w:after="0" w:line="184"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At March 31, 2019 and December 31, 2018, total investments with a fair value of $615 million and $575 million, respectively, included $81 million and $57 million, respectively, or 13% and 10%, respectively,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180"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and December 31, 2018, the Company held seed investments of approximately $125 million and $90 million, respectively. Seed investments held in entities in which the Company maintained a controlling interest were $56 million in nine entities as of March 31, 2019, as compared to $31 million in eight entities as of December 31, 2018.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0" w:name="page61"/>
    <w:bookmarkEnd w:id="60"/>
    <w:p>
      <w:pPr>
        <w:ind w:right="380" w:firstLine="518"/>
        <w:spacing w:after="0" w:line="261" w:lineRule="auto"/>
        <w:rPr>
          <w:sz w:val="20"/>
          <w:szCs w:val="20"/>
          <w:color w:val="auto"/>
        </w:rPr>
      </w:pPr>
      <w:r>
        <w:rPr>
          <w:rFonts w:ascii="Times New Roman" w:cs="Times New Roman" w:eastAsia="Times New Roman" w:hAnsi="Times New Roman"/>
          <w:sz w:val="18"/>
          <w:szCs w:val="18"/>
          <w:color w:val="auto"/>
        </w:rPr>
        <w:t>As of March 31, 2019 and December 31, 2018, the Company did not consolidate or deconsolidate any seed investment entities or LFI investment entities. As such, 100% of the recorded balance of seed investments and LFI investments as of March 31, 2019 and December 31, 2018 represented the Company’s economic interest in the seed investments. See “—Consolidation of Variable Interest Entities” below for more information on the Company’s policy regarding the consolidation of seed and LFI investment entities.</w:t>
      </w:r>
    </w:p>
    <w:p>
      <w:pPr>
        <w:spacing w:after="0" w:line="180"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121"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62"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76"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10 of Notes to Condensed Consolidated Financial Statements for additional information regarding goodwill.</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21" w:lineRule="exact"/>
        <w:rPr>
          <w:sz w:val="20"/>
          <w:szCs w:val="20"/>
          <w:color w:val="auto"/>
        </w:rPr>
      </w:pPr>
    </w:p>
    <w:p>
      <w:pPr>
        <w:jc w:val="both"/>
        <w:ind w:right="440" w:firstLine="51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68" w:lineRule="exact"/>
        <w:rPr>
          <w:sz w:val="20"/>
          <w:szCs w:val="20"/>
          <w:color w:val="auto"/>
        </w:rPr>
      </w:pPr>
    </w:p>
    <w:p>
      <w:pPr>
        <w:ind w:left="900" w:right="100" w:hanging="379"/>
        <w:spacing w:after="0" w:line="266"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68" w:lineRule="exact"/>
        <w:rPr>
          <w:rFonts w:ascii="Times New Roman" w:cs="Times New Roman" w:eastAsia="Times New Roman" w:hAnsi="Times New Roman"/>
          <w:sz w:val="18"/>
          <w:szCs w:val="18"/>
          <w:color w:val="auto"/>
        </w:rPr>
      </w:pPr>
    </w:p>
    <w:p>
      <w:pPr>
        <w:ind w:left="900" w:right="100" w:hanging="379"/>
        <w:spacing w:after="0" w:line="261"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0"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Lazard makes seed and LFI investments in certain entities that are considered VOEs and often require consolidation as a result of our investment. The impact of seed and LFI investment entities that require consolidation on the condensed consolidated financial statements, including any consolidation or deconsolidation of such entities, is not material to our financial statements. Our exposure to loss from entities in which we have made such investments is limited to the extent of our investment in, or investment commitment to, such entities. See “Critical Accounting Policies and Estimates—Investments” above for more information regarding our investments.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1" w:name="page62"/>
    <w:bookmarkEnd w:id="61"/>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84" w:lineRule="exact"/>
        <w:rPr>
          <w:sz w:val="20"/>
          <w:szCs w:val="20"/>
          <w:color w:val="auto"/>
        </w:rPr>
      </w:pPr>
    </w:p>
    <w:p>
      <w:pPr>
        <w:jc w:val="center"/>
        <w:ind w:right="996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17" w:lineRule="exact"/>
        <w:rPr>
          <w:sz w:val="20"/>
          <w:szCs w:val="20"/>
          <w:color w:val="auto"/>
        </w:rPr>
      </w:pPr>
    </w:p>
    <w:p>
      <w:pPr>
        <w:jc w:val="center"/>
        <w:ind w:right="99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8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0"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Equity Market Price Risk—At March 31, 2019 and December 31, 2018, the Company’s exposure to equity market price risk in its investment portfolio, which primarily relates to investments in equity securities, equity funds and hedge funds, was approximately $111 million and $84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$1.3 million and</w:t>
      </w:r>
    </w:p>
    <w:p>
      <w:pPr>
        <w:spacing w:after="0" w:line="3"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$0.8 million in the carrying value of such investments as of March 31, 2019 and December 31, 2018, respectively, including the effect of the hedging transactions.</w:t>
      </w:r>
    </w:p>
    <w:p>
      <w:pPr>
        <w:spacing w:after="0" w:line="180" w:lineRule="exact"/>
        <w:rPr>
          <w:sz w:val="20"/>
          <w:szCs w:val="20"/>
          <w:color w:val="auto"/>
        </w:rPr>
      </w:pPr>
    </w:p>
    <w:p>
      <w:pPr>
        <w:ind w:right="280" w:firstLine="518"/>
        <w:spacing w:after="0" w:line="256" w:lineRule="auto"/>
        <w:rPr>
          <w:sz w:val="20"/>
          <w:szCs w:val="20"/>
          <w:color w:val="auto"/>
        </w:rPr>
      </w:pPr>
      <w:r>
        <w:rPr>
          <w:rFonts w:ascii="Times New Roman" w:cs="Times New Roman" w:eastAsia="Times New Roman" w:hAnsi="Times New Roman"/>
          <w:sz w:val="18"/>
          <w:szCs w:val="18"/>
          <w:color w:val="auto"/>
        </w:rPr>
        <w:t>Interest Rate/Credit Spread Risk—At March 31, 2019 and December 31, 2018, the Company’s exposure to interest rate and credit spread risk in its investment portfolio related to investments in debt securities or funds which invest primarily in debt securities was $292 million and $245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$1.3 million and $0.9 million in the carrying value of such investments as of March 31, 2019 and December 31, 2018, respectively, including the effect of the hedging transactions.</w:t>
      </w:r>
    </w:p>
    <w:p>
      <w:pPr>
        <w:spacing w:after="0" w:line="188"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Foreign Exchange Rate Risk—At March 31, 2019 and December 31, 2018, the Company’s exposure to foreign exchange rate risk in its investment portfolio, which primarily relates to investments in foreign currency denominated equity and debt securities, was $49 million and $41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$0.7 million and $0.1 million in the carrying value of such investments as of March 31, 2019 and December 31, 2018, respectively, including the effect of the hedging transactions.</w:t>
      </w:r>
    </w:p>
    <w:p>
      <w:pPr>
        <w:spacing w:after="0" w:line="18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Private Equity—The Company invests in private equity primarily as a part of its co-investment activities and in connection with certain legacy businesses. At both March 31, 2019 and December 31, 2018, the Company’s exposure to changes in fair value of such investments was approximately $42 million. The Company estimates that a hypothetical 10% adverse change in fair value would result in a decrease of approximately $4.2 million in the carrying value of such investments as of both March 31, 2019 and December 31, 2018.</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Receivables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March 31, 2019, total receivables amounted to $722 million, net of an allowance for doubtful accounts of $43 million. As of that date, Financial Advisory and Asset Management fees, receivables from Lazard Ltd subsidiaries, and customers and other receivables comprised 66%, 7% and 27% of total receivables, respectively. At December 31, 2018, total receivables amounted to $704 million, net of an allowance for doubtful</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62" w:name="page63"/>
    <w:bookmarkEnd w:id="62"/>
    <w:p>
      <w:pPr>
        <w:ind w:right="60"/>
        <w:spacing w:after="0" w:line="261" w:lineRule="auto"/>
        <w:rPr>
          <w:sz w:val="20"/>
          <w:szCs w:val="20"/>
          <w:color w:val="auto"/>
        </w:rPr>
      </w:pPr>
      <w:r>
        <w:rPr>
          <w:rFonts w:ascii="Times New Roman" w:cs="Times New Roman" w:eastAsia="Times New Roman" w:hAnsi="Times New Roman"/>
          <w:sz w:val="18"/>
          <w:szCs w:val="18"/>
          <w:color w:val="auto"/>
        </w:rPr>
        <w:t>accounts of $40 million. As of that date, Financial Advisory and Asset Management fees, receivables from Lazard Ltd subsidiaries, and customers and other receivables comprised 71%, 3% and 26% of total receivables, respectively. At March 31, 2019 and December 31, 2018, the Company had receivables past due or deemed uncollectible of approximately $52 million and $42 million, respectively. See also “Critical Accounting Policies and Estimates—Revenue Recognition” above and Note 4 of Notes to Condensed Consolidated Financial Statements for additional information regarding receivables.</w:t>
      </w:r>
    </w:p>
    <w:p>
      <w:pPr>
        <w:spacing w:after="0" w:line="180"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LFB engages in lending activities, including commitments to extend credit (primarily for clients of LFG). At March 31, 2019 and December 31, 2018, customer receivables included $69 million and $64 million, respectively, of LFB loans, with such loans being fully collateralized and closely monitored for counterparty creditworthiness.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Credit Concentrations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reduce the exposure to concentrations of credit, the Company monitors large exposures to individual counterparties.</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Derivatives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$3 million and $12 million at March 31, 2019 and December 31, 2018, respectively, and derivative liabilities, excluding the derivative liability arising from the Company’s obligation pertaining to LFI and other similar deferred compensation arrangements, amounted to $4 million and $1 million at such respective dates.</w:t>
      </w:r>
    </w:p>
    <w:p>
      <w:pPr>
        <w:spacing w:after="0" w:line="184"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$242 million and $188 million at March 31, 2019 and December 31, 2018,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140" w:firstLine="518"/>
        <w:spacing w:after="0" w:line="289" w:lineRule="auto"/>
        <w:rPr>
          <w:sz w:val="20"/>
          <w:szCs w:val="20"/>
          <w:color w:val="auto"/>
        </w:rPr>
      </w:pPr>
      <w:r>
        <w:rPr>
          <w:rFonts w:ascii="Times New Roman" w:cs="Times New Roman" w:eastAsia="Times New Roman" w:hAnsi="Times New Roman"/>
          <w:sz w:val="17"/>
          <w:szCs w:val="17"/>
          <w:color w:val="auto"/>
        </w:rPr>
        <w:t>A significant portion of the Company’s indebtedness has fixed interest rates, while its cash and cash equivalents generally have market interest rates. Based on account balances as of March 31, 2019, Lazard estimates that its annual operating income relating to cash and cash equivalents would increase by approximately $10 million in the event interest rates were to increase by 1% and decrease by approximately $10 million if rates were to decrease by 1%.</w:t>
      </w:r>
    </w:p>
    <w:p>
      <w:pPr>
        <w:spacing w:after="0" w:line="158"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color w:val="auto"/>
        </w:rPr>
        <w:t>As of March 31, 2019, the Company’s cash and cash equivalents totaled approximately $1,003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w:t>
      </w:r>
    </w:p>
    <w:p>
      <w:pPr>
        <w:spacing w:after="0" w:line="2" w:lineRule="exact"/>
        <w:rPr>
          <w:sz w:val="20"/>
          <w:szCs w:val="20"/>
          <w:color w:val="auto"/>
        </w:rPr>
      </w:pPr>
    </w:p>
    <w:p>
      <w:pPr>
        <w:ind w:right="80" w:firstLine="8"/>
        <w:spacing w:after="0" w:line="255" w:lineRule="auto"/>
        <w:tabs>
          <w:tab w:leader="none" w:pos="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short-term certificates of deposit from such banks and (iv) in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12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63" w:name="page64"/>
    <w:bookmarkEnd w:id="63"/>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included under the caption “Management’s Discussion and Analysis of Financial Condition and Results of Operations—Risk Management”.</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62"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As of January 1, 2019, we implemented a new enterprise resource planning (“ERP’) system, by transitioning certain of our operations, including the general ledger, to the new ERP system. We have modified our existing controls infrastructure, as well as added other processes and internal controls, to adapt to our new ERP system and to take advantage of the increased functionality of the new system.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4" w:name="page65"/>
    <w:bookmarkEnd w:id="6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9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There were no material changes from the risk factors previously disclosed in the Company’s Annual Report on Form 10-K for the year ended December 31, 2018.</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333" w:right="3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80" w:type="dxa"/>
            <w:vAlign w:val="bottom"/>
            <w:gridSpan w:val="21"/>
          </w:tcPr>
          <w:p>
            <w:pPr>
              <w:jc w:val="center"/>
              <w:ind w:right="5320"/>
              <w:spacing w:after="0"/>
              <w:rPr>
                <w:sz w:val="20"/>
                <w:szCs w:val="20"/>
                <w:color w:val="auto"/>
              </w:rPr>
            </w:pPr>
            <w:r>
              <w:rPr>
                <w:rFonts w:ascii="Times New Roman" w:cs="Times New Roman" w:eastAsia="Times New Roman" w:hAnsi="Times New Roman"/>
                <w:sz w:val="18"/>
                <w:szCs w:val="18"/>
                <w:b w:val="1"/>
                <w:bCs w:val="1"/>
                <w:color w:val="auto"/>
                <w:w w:val="97"/>
              </w:rPr>
              <w:t>PART IV</w:t>
            </w:r>
          </w:p>
        </w:tc>
      </w:tr>
      <w:tr>
        <w:trPr>
          <w:trHeight w:val="432"/>
        </w:trPr>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1038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3.1</w:t>
            </w:r>
          </w:p>
        </w:tc>
        <w:tc>
          <w:tcPr>
            <w:tcW w:w="101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Certificate of Formation of the Registrant (incorporated by reference to Exhibit 3.1 to the Registrant’s Registration Statement (File No. 333-</w:t>
              </w:r>
            </w:hyperlink>
          </w:p>
        </w:tc>
        <w:tc>
          <w:tcPr>
            <w:tcW w:w="26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w:t>
            </w:r>
          </w:p>
        </w:tc>
        <w:tc>
          <w:tcPr>
            <w:tcW w:w="101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Certificate of Amendment of Certificate of Formation of the Registrant, changing name to Lazard Group LLC (incorporated by reference to</w:t>
              </w:r>
            </w:hyperlink>
          </w:p>
        </w:tc>
        <w:tc>
          <w:tcPr>
            <w:tcW w:w="28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2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Exhibit 3.2 to the Registrant’s Registration Statement (File No. 333-126751) on Form S-4 filed on July 21, 2005).</w:t>
              </w:r>
            </w:hyperlink>
          </w:p>
        </w:tc>
        <w:tc>
          <w:tcPr>
            <w:tcW w:w="2160" w:type="dxa"/>
            <w:vAlign w:val="bottom"/>
            <w:gridSpan w:val="17"/>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3.3</w:t>
            </w:r>
          </w:p>
        </w:tc>
        <w:tc>
          <w:tcPr>
            <w:tcW w:w="102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Amended and Restated Operating Agreement of the Registrant, dated as of February 4, 2019 (incorporated by reference to Exhibit 99.1 to the</w:t>
              </w:r>
            </w:hyperlink>
          </w:p>
        </w:tc>
        <w:tc>
          <w:tcPr>
            <w:tcW w:w="1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6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Registrant’s Current Report (File No. 333-126751) on Form 8-K filed on February 5, 2019).</w:t>
              </w:r>
            </w:hyperlink>
          </w:p>
        </w:tc>
        <w:tc>
          <w:tcPr>
            <w:tcW w:w="3740" w:type="dxa"/>
            <w:vAlign w:val="bottom"/>
            <w:gridSpan w:val="19"/>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4.1</w:t>
            </w:r>
          </w:p>
        </w:tc>
        <w:tc>
          <w:tcPr>
            <w:tcW w:w="98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Indenture, dated as of May 10, 2005, by and between the Registrant and The Bank of New York, as Trustee (incorporated by reference to</w:t>
              </w:r>
            </w:hyperlink>
          </w:p>
        </w:tc>
        <w:tc>
          <w:tcPr>
            <w:tcW w:w="50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Exhibit 4.1 to the Registrant’s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4.2</w:t>
            </w:r>
          </w:p>
        </w:tc>
        <w:tc>
          <w:tcPr>
            <w:tcW w:w="95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Sixth Supplemental Indenture, dated as of February 13, 2015, between the Registrant and The Bank of New York Mellon, as trustee</w:t>
              </w:r>
            </w:hyperlink>
          </w:p>
        </w:tc>
        <w:tc>
          <w:tcPr>
            <w:tcW w:w="880" w:type="dxa"/>
            <w:vAlign w:val="bottom"/>
            <w:gridSpan w:val="1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(incorporated by reference to Exhibit 4.1 of the Registrant’s Current Report on Form 8-K (File No. 333-126751) filed on February 13, 2015).</w:t>
              </w:r>
            </w:hyperlink>
          </w:p>
        </w:tc>
        <w:tc>
          <w:tcPr>
            <w:tcW w:w="200" w:type="dxa"/>
            <w:vAlign w:val="bottom"/>
            <w:gridSpan w:val="7"/>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4.3</w:t>
            </w:r>
          </w:p>
        </w:tc>
        <w:tc>
          <w:tcPr>
            <w:tcW w:w="10380" w:type="dxa"/>
            <w:vAlign w:val="bottom"/>
            <w:gridSpan w:val="33"/>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Seventh Supplemental Indenture, dated as of November 4, 2016,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(incorporated by reference to Exhibit 4.1 of the Registrant’s Current Report on Form 8-K (File No. 333-126751) filed on November 7, 2016).</w:t>
              </w:r>
            </w:hyperlink>
          </w:p>
        </w:tc>
        <w:tc>
          <w:tcPr>
            <w:tcW w:w="160" w:type="dxa"/>
            <w:vAlign w:val="bottom"/>
            <w:gridSpan w:val="5"/>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4.4</w:t>
            </w:r>
          </w:p>
        </w:tc>
        <w:tc>
          <w:tcPr>
            <w:tcW w:w="10380" w:type="dxa"/>
            <w:vAlign w:val="bottom"/>
            <w:gridSpan w:val="33"/>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Eighth Supplemental Indenture, dated as of September 19, 2018,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(incorporated by reference to Exhibit 4.1 to the Registrant’s Current Report on Form 8-K (File No. 333-126751) filed on September 19, 2018</w:t>
              </w:r>
            </w:hyperlink>
            <w:r>
              <w:rPr>
                <w:rFonts w:ascii="Times New Roman" w:cs="Times New Roman" w:eastAsia="Times New Roman" w:hAnsi="Times New Roman"/>
                <w:sz w:val="18"/>
                <w:szCs w:val="18"/>
                <w:color w:val="000000"/>
              </w:rPr>
              <w:t>).</w:t>
            </w: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4.5</w:t>
            </w:r>
          </w:p>
        </w:tc>
        <w:tc>
          <w:tcPr>
            <w:tcW w:w="10200" w:type="dxa"/>
            <w:vAlign w:val="bottom"/>
            <w:tcBorders>
              <w:top w:val="single" w:sz="8" w:color="0000EE"/>
            </w:tcBorders>
            <w:gridSpan w:val="27"/>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Ninth Supplemental Indenture, dated as of March 11, 2019, between Lazard Group LLC and The Bank of New York Mellon, as trustee</w:t>
              </w:r>
            </w:hyperlink>
          </w:p>
        </w:tc>
        <w:tc>
          <w:tcPr>
            <w:tcW w:w="180" w:type="dxa"/>
            <w:vAlign w:val="bottom"/>
            <w:gridSpan w:val="6"/>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9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(incorporated by reference to Exhibit 4.1 to the Registrant’s Current Report on Form 8-K (File No. 333-126751) filed on March 11, 2019).</w:t>
              </w:r>
            </w:hyperlink>
          </w:p>
        </w:tc>
        <w:tc>
          <w:tcPr>
            <w:tcW w:w="400" w:type="dxa"/>
            <w:vAlign w:val="bottom"/>
            <w:gridSpan w:val="12"/>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4.6</w:t>
            </w:r>
          </w:p>
        </w:tc>
        <w:tc>
          <w:tcPr>
            <w:tcW w:w="10380" w:type="dxa"/>
            <w:vAlign w:val="bottom"/>
            <w:gridSpan w:val="3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Senior Note (included in Exhibits </w:t>
            </w:r>
            <w:hyperlink r:id="rId97">
              <w:r>
                <w:rPr>
                  <w:rFonts w:ascii="Times New Roman" w:cs="Times New Roman" w:eastAsia="Times New Roman" w:hAnsi="Times New Roman"/>
                  <w:sz w:val="18"/>
                  <w:szCs w:val="18"/>
                  <w:color w:val="0000EE"/>
                </w:rPr>
                <w:t>4.2</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color w:val="0000EE"/>
                </w:rPr>
                <w:t>4.3</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100">
              <w:r>
                <w:rPr>
                  <w:rFonts w:ascii="Times New Roman" w:cs="Times New Roman" w:eastAsia="Times New Roman" w:hAnsi="Times New Roman"/>
                  <w:sz w:val="18"/>
                  <w:szCs w:val="18"/>
                  <w:color w:val="0000EE"/>
                </w:rPr>
                <w:t>4.5</w:t>
              </w:r>
            </w:hyperlink>
            <w:r>
              <w:rPr>
                <w:rFonts w:ascii="Times New Roman" w:cs="Times New Roman" w:eastAsia="Times New Roman" w:hAnsi="Times New Roman"/>
                <w:sz w:val="18"/>
                <w:szCs w:val="18"/>
                <w:color w:val="auto"/>
              </w:rPr>
              <w:t>).</w:t>
            </w:r>
          </w:p>
        </w:tc>
      </w:tr>
      <w:tr>
        <w:trPr>
          <w:trHeight w:val="20"/>
        </w:trPr>
        <w:tc>
          <w:tcPr>
            <w:tcW w:w="10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10.1</w:t>
            </w:r>
          </w:p>
        </w:tc>
        <w:tc>
          <w:tcPr>
            <w:tcW w:w="1034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Lease, dated as of January 27, 1994, by and between Rockefeller Center Properties and Lazard Frères &amp; Co. LLC (incorporated by reference to</w:t>
              </w:r>
            </w:hyperlink>
          </w:p>
        </w:tc>
        <w:tc>
          <w:tcPr>
            <w:tcW w:w="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7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Exhibit 10.19 to Lazard Ltd’s Registration Statement (File No. 333-121407) on Form S-1/A filed on February 11, 2005).</w:t>
              </w:r>
            </w:hyperlink>
          </w:p>
        </w:tc>
        <w:tc>
          <w:tcPr>
            <w:tcW w:w="1680" w:type="dxa"/>
            <w:vAlign w:val="bottom"/>
            <w:gridSpan w:val="16"/>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w:t>
            </w:r>
          </w:p>
        </w:tc>
        <w:tc>
          <w:tcPr>
            <w:tcW w:w="1038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Fourth Amendment dated as of February 16, 2011, by and among RCPI Landmark Properties, L.L.C. (as the successor in interest to Rockefeller</w:t>
              </w:r>
            </w:hyperlink>
          </w:p>
        </w:tc>
      </w:tr>
      <w:tr>
        <w:trPr>
          <w:trHeight w:val="196"/>
        </w:trPr>
        <w:tc>
          <w:tcPr>
            <w:tcW w:w="1040" w:type="dxa"/>
            <w:vAlign w:val="bottom"/>
          </w:tcPr>
          <w:p>
            <w:pPr>
              <w:spacing w:after="0"/>
              <w:rPr>
                <w:sz w:val="17"/>
                <w:szCs w:val="17"/>
                <w:color w:val="auto"/>
              </w:rPr>
            </w:pPr>
          </w:p>
        </w:tc>
        <w:tc>
          <w:tcPr>
            <w:tcW w:w="102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Center Properties), RCPI 30 Rock 22234849, L.L.C. and Lazard Group LLC (as the successor in interest to Lazard Frères &amp; Co. LLC), to the</w:t>
              </w:r>
            </w:hyperlink>
          </w:p>
        </w:tc>
        <w:tc>
          <w:tcPr>
            <w:tcW w:w="16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Lease dated as of January 27, 1994, by and among Rockefeller Center Properties and Lazard Frères &amp; Co. LLC (incorporated by reference to</w:t>
              </w:r>
            </w:hyperlink>
          </w:p>
        </w:tc>
        <w:tc>
          <w:tcPr>
            <w:tcW w:w="1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2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Exhibit 10.15 to the Registrant’s Quarterly Report (File No. 333-126751) on Form 10-Q filed on April 29, 2011).</w:t>
              </w:r>
            </w:hyperlink>
          </w:p>
        </w:tc>
        <w:tc>
          <w:tcPr>
            <w:tcW w:w="2180" w:type="dxa"/>
            <w:vAlign w:val="bottom"/>
            <w:gridSpan w:val="18"/>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10.3*</w:t>
            </w:r>
          </w:p>
        </w:tc>
        <w:tc>
          <w:tcPr>
            <w:tcW w:w="10380" w:type="dxa"/>
            <w:vAlign w:val="bottom"/>
            <w:gridSpan w:val="33"/>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Lazard Ltd’s 2005 Equity Incentive Plan (incorporated by reference to Exhibit 10.21 to Lazard Ltd’s Registration Statement (File No. 333-</w:t>
              </w:r>
            </w:hyperlink>
          </w:p>
        </w:tc>
      </w:tr>
      <w:tr>
        <w:trPr>
          <w:trHeight w:val="196"/>
        </w:trPr>
        <w:tc>
          <w:tcPr>
            <w:tcW w:w="1040" w:type="dxa"/>
            <w:vAlign w:val="bottom"/>
          </w:tcPr>
          <w:p>
            <w:pPr>
              <w:spacing w:after="0"/>
              <w:rPr>
                <w:sz w:val="17"/>
                <w:szCs w:val="17"/>
                <w:color w:val="auto"/>
              </w:rPr>
            </w:pPr>
          </w:p>
        </w:tc>
        <w:tc>
          <w:tcPr>
            <w:tcW w:w="100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121407) on Form S-1/A filed on May 2, 2005).</w:t>
              </w:r>
            </w:hyperlink>
          </w:p>
        </w:tc>
        <w:tc>
          <w:tcPr>
            <w:tcW w:w="34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10.4*</w:t>
            </w:r>
          </w:p>
        </w:tc>
        <w:tc>
          <w:tcPr>
            <w:tcW w:w="10380" w:type="dxa"/>
            <w:vAlign w:val="bottom"/>
            <w:gridSpan w:val="33"/>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Lazard Ltd’s 2008 Incentive Compensation Plan (incorporated by reference to Annex B to Lazard Ltd’s Definitive Proxy Statement on</w:t>
              </w:r>
            </w:hyperlink>
          </w:p>
        </w:tc>
      </w:tr>
      <w:tr>
        <w:trPr>
          <w:trHeight w:val="196"/>
        </w:trPr>
        <w:tc>
          <w:tcPr>
            <w:tcW w:w="104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Schedule 14A (File No. 001-32492) filed on March 24, 2008).</w:t>
              </w:r>
            </w:hyperlink>
          </w:p>
        </w:tc>
        <w:tc>
          <w:tcPr>
            <w:tcW w:w="5180" w:type="dxa"/>
            <w:vAlign w:val="bottom"/>
            <w:tcBorders>
              <w:top w:val="single" w:sz="8" w:color="0000EE"/>
            </w:tcBorders>
            <w:gridSpan w:val="6"/>
          </w:tcPr>
          <w:p>
            <w:pPr>
              <w:spacing w:after="0"/>
              <w:rPr>
                <w:sz w:val="17"/>
                <w:szCs w:val="17"/>
                <w:color w:val="auto"/>
              </w:rPr>
            </w:pPr>
          </w:p>
        </w:tc>
        <w:tc>
          <w:tcPr>
            <w:tcW w:w="660" w:type="dxa"/>
            <w:vAlign w:val="bottom"/>
            <w:gridSpan w:val="14"/>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10.5*</w:t>
            </w:r>
          </w:p>
        </w:tc>
        <w:tc>
          <w:tcPr>
            <w:tcW w:w="10380" w:type="dxa"/>
            <w:vAlign w:val="bottom"/>
            <w:gridSpan w:val="33"/>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Lazard Ltd’s 2016 French Sub-plan (incorporated by reference to Annex B to Lazard Ltd’s Definitive Proxy Statement on Schedule 14A (File</w:t>
              </w:r>
            </w:hyperlink>
          </w:p>
        </w:tc>
      </w:tr>
      <w:tr>
        <w:trPr>
          <w:trHeight w:val="196"/>
        </w:trPr>
        <w:tc>
          <w:tcPr>
            <w:tcW w:w="104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No. 001-32492) filed on March 10, 2016).</w:t>
              </w:r>
            </w:hyperlink>
          </w:p>
        </w:tc>
        <w:tc>
          <w:tcPr>
            <w:tcW w:w="7160" w:type="dxa"/>
            <w:vAlign w:val="bottom"/>
            <w:tcBorders>
              <w:top w:val="single" w:sz="8" w:color="0000EE"/>
            </w:tcBorders>
            <w:gridSpan w:val="26"/>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10.6*</w:t>
            </w:r>
          </w:p>
        </w:tc>
        <w:tc>
          <w:tcPr>
            <w:tcW w:w="10380" w:type="dxa"/>
            <w:vAlign w:val="bottom"/>
            <w:gridSpan w:val="33"/>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Lazard Ltd 2018 Incentive Compensation Plan (incorporated by reference to Annex B to Lazard Ltd’s Definitive Proxy Statement on Schedule</w:t>
              </w:r>
            </w:hyperlink>
          </w:p>
        </w:tc>
      </w:tr>
      <w:tr>
        <w:trPr>
          <w:trHeight w:val="196"/>
        </w:trPr>
        <w:tc>
          <w:tcPr>
            <w:tcW w:w="104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14A (File No. 001-32492) filed on March 15, 2018).</w:t>
              </w:r>
            </w:hyperlink>
          </w:p>
        </w:tc>
        <w:tc>
          <w:tcPr>
            <w:tcW w:w="6480" w:type="dxa"/>
            <w:vAlign w:val="bottom"/>
            <w:tcBorders>
              <w:top w:val="single" w:sz="8" w:color="0000EE"/>
            </w:tcBorders>
            <w:gridSpan w:val="19"/>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10.7*</w:t>
            </w:r>
          </w:p>
        </w:tc>
        <w:tc>
          <w:tcPr>
            <w:tcW w:w="1032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Amended and Restated Agreement relating to Retention and Noncompetition and Other Covenants, dated as of March 29, 2019, by and among</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the Registrant, Lazard Ltd and Kenneth M. Jacobs (incorporated by reference to Exhibit 10.1 to the Registrant’s Current Report on Form 8-K</w:t>
              </w:r>
            </w:hyperlink>
          </w:p>
        </w:tc>
        <w:tc>
          <w:tcPr>
            <w:tcW w:w="20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(File No. 333-126751) filed on April 3, 2019).</w:t>
              </w:r>
            </w:hyperlink>
          </w:p>
        </w:tc>
        <w:tc>
          <w:tcPr>
            <w:tcW w:w="6980" w:type="dxa"/>
            <w:vAlign w:val="bottom"/>
            <w:gridSpan w:val="26"/>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10.8*</w:t>
            </w:r>
          </w:p>
        </w:tc>
        <w:tc>
          <w:tcPr>
            <w:tcW w:w="1032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Amended and Restated Agreement relating to Retention and Noncompetition and Other Covenants, dated as of March 29, 2019, by and among</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the Registrant, Lazard Ltd and Ashish Bhutani (incorporated by reference to Exhibit 10.3 to the Registrant’s Current Report on Form 8-K (File</w:t>
              </w:r>
            </w:hyperlink>
          </w:p>
        </w:tc>
        <w:tc>
          <w:tcPr>
            <w:tcW w:w="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No. 333-126751) filed on April 3, 2019).</w:t>
              </w:r>
            </w:hyperlink>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740" w:type="dxa"/>
            <w:vAlign w:val="bottom"/>
            <w:gridSpan w:val="17"/>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10.9*</w:t>
            </w:r>
          </w:p>
        </w:tc>
        <w:tc>
          <w:tcPr>
            <w:tcW w:w="1032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Amended and Restated Agreement relating to Retention and Noncompetition and Other Covenants, dated as of March 29, 2019, by and among</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the Registrant, Lazard Ltd and Scott D. Hoffman (incorporated by reference to Exhibit 10.4 to the Registrant’s Current Report on Form 8-K</w:t>
              </w:r>
            </w:hyperlink>
          </w:p>
        </w:tc>
        <w:tc>
          <w:tcPr>
            <w:tcW w:w="30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3"/>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(File No. 333-126751) filed on April 3, 2019).</w:t>
              </w:r>
            </w:hyperlink>
          </w:p>
        </w:tc>
      </w:tr>
      <w:tr>
        <w:trPr>
          <w:trHeight w:val="534"/>
        </w:trPr>
        <w:tc>
          <w:tcPr>
            <w:tcW w:w="1040" w:type="dxa"/>
            <w:vAlign w:val="bottom"/>
          </w:tcPr>
          <w:p>
            <w:pPr>
              <w:spacing w:after="0"/>
              <w:rPr>
                <w:sz w:val="24"/>
                <w:szCs w:val="24"/>
                <w:color w:val="auto"/>
              </w:rPr>
            </w:pPr>
          </w:p>
        </w:tc>
        <w:tc>
          <w:tcPr>
            <w:tcW w:w="3340" w:type="dxa"/>
            <w:vAlign w:val="bottom"/>
            <w:tcBorders>
              <w:top w:val="single" w:sz="8" w:color="0000EE"/>
            </w:tcBorders>
            <w:gridSpan w:val="6"/>
          </w:tcPr>
          <w:p>
            <w:pPr>
              <w:spacing w:after="0"/>
              <w:rPr>
                <w:sz w:val="24"/>
                <w:szCs w:val="24"/>
                <w:color w:val="auto"/>
              </w:rPr>
            </w:pPr>
          </w:p>
        </w:tc>
        <w:tc>
          <w:tcPr>
            <w:tcW w:w="3300" w:type="dxa"/>
            <w:vAlign w:val="bottom"/>
            <w:gridSpan w:val="8"/>
          </w:tcPr>
          <w:p>
            <w:pPr>
              <w:jc w:val="right"/>
              <w:ind w:right="1880"/>
              <w:spacing w:after="0"/>
              <w:rPr>
                <w:sz w:val="20"/>
                <w:szCs w:val="20"/>
                <w:color w:val="auto"/>
              </w:rPr>
            </w:pPr>
            <w:r>
              <w:rPr>
                <w:rFonts w:ascii="Times New Roman" w:cs="Times New Roman" w:eastAsia="Times New Roman" w:hAnsi="Times New Roman"/>
                <w:sz w:val="18"/>
                <w:szCs w:val="18"/>
                <w:color w:val="auto"/>
              </w:rPr>
              <w:t>64</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10300" w:type="dxa"/>
            <w:vAlign w:val="bottom"/>
            <w:gridSpan w:val="26"/>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Agreement relating to Retention and Noncompetition and Other Covenants, dated as of March 29, 2019, by and among the Registrant, Lazard</w:t>
              </w:r>
            </w:hyperlink>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Ltd and Evan L. Russo (incorporated by reference to Exhibit 10.2 to the Registrant’s Current Report on Form 8-K (File No. 333-126751) filed</w:t>
              </w:r>
            </w:hyperlink>
          </w:p>
        </w:tc>
        <w:tc>
          <w:tcPr>
            <w:tcW w:w="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April 3, 2019).</w:t>
              </w:r>
            </w:hyperlink>
          </w:p>
        </w:tc>
        <w:tc>
          <w:tcPr>
            <w:tcW w:w="9220" w:type="dxa"/>
            <w:vAlign w:val="bottom"/>
            <w:gridSpan w:val="25"/>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103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Amended and Restated Agreement relating to Retention and Noncompetition and Other Covenants, dated as of March 29, 2019, by and among</w:t>
              </w:r>
            </w:hyperlink>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the Registrant, Lazard Ltd and Alexander F. Stern (incorporated by reference to Exhibit 10.5 to the Registrant’s Current Report on Form 8-K</w:t>
              </w:r>
            </w:hyperlink>
          </w:p>
        </w:tc>
        <w:tc>
          <w:tcPr>
            <w:tcW w:w="14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(File No. 333-126751) filed on April 3, 2019).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99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Form of Award Letter for Annual Grant of Deferred Stock Units to Non-Executive Directors (incorporated by reference to Exhibit 99.1 to</w:t>
              </w:r>
            </w:hyperlink>
          </w:p>
        </w:tc>
        <w:tc>
          <w:tcPr>
            <w:tcW w:w="36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Lazard Ltd’s Current Report on Form 8-K (File No. 001-32492) filed on September 8, 2005).</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10300" w:type="dxa"/>
            <w:vAlign w:val="bottom"/>
            <w:gridSpan w:val="26"/>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of Agreement evidencing a grant of Restricted Stock Units to Executive Officers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(incorporated by reference to Exhibit 10.41 to Lazard 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Form of Agreement evidencing a grant of Deferred Cash Award to Executive Officers (incorporated by reference to Exhibit 10.42 to Lazard</w:t>
              </w:r>
            </w:hyperlink>
          </w:p>
        </w:tc>
        <w:tc>
          <w:tcPr>
            <w:tcW w:w="20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10300" w:type="dxa"/>
            <w:vAlign w:val="bottom"/>
            <w:gridSpan w:val="26"/>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Directors’ Fee Deferral Unit Plan (incorporated by reference to Exhibit 10.39 to Lazard Ltd’s Quarterly Report (File No.001-32492) on Form</w:t>
              </w:r>
            </w:hyperlink>
          </w:p>
        </w:tc>
      </w:tr>
      <w:tr>
        <w:trPr>
          <w:trHeight w:val="196"/>
        </w:trPr>
        <w:tc>
          <w:tcPr>
            <w:tcW w:w="1040" w:type="dxa"/>
            <w:vAlign w:val="bottom"/>
          </w:tcPr>
          <w:p>
            <w:pPr>
              <w:spacing w:after="0"/>
              <w:rPr>
                <w:sz w:val="17"/>
                <w:szCs w:val="17"/>
                <w:color w:val="auto"/>
              </w:rPr>
            </w:pPr>
          </w:p>
        </w:tc>
        <w:tc>
          <w:tcPr>
            <w:tcW w:w="102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10-Q filed on May 11, 2006).</w:t>
              </w:r>
            </w:hyperlink>
          </w:p>
        </w:tc>
        <w:tc>
          <w:tcPr>
            <w:tcW w:w="8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102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Amended and Restated Credit Agreement, dated as of September 25, 2015, among the Registrant, the Banks from time to time parties thereto,</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and Citibank, N.A., as Administrative Agent (incorporated by reference to Exhibit 10.25 to the Registrant’s Quarterly Report (File No. 333-</w:t>
              </w:r>
            </w:hyperlink>
          </w:p>
        </w:tc>
      </w:tr>
      <w:tr>
        <w:trPr>
          <w:trHeight w:val="196"/>
        </w:trPr>
        <w:tc>
          <w:tcPr>
            <w:tcW w:w="1040" w:type="dxa"/>
            <w:vAlign w:val="bottom"/>
          </w:tcPr>
          <w:p>
            <w:pPr>
              <w:spacing w:after="0"/>
              <w:rPr>
                <w:sz w:val="17"/>
                <w:szCs w:val="17"/>
                <w:color w:val="auto"/>
              </w:rPr>
            </w:pPr>
          </w:p>
        </w:tc>
        <w:tc>
          <w:tcPr>
            <w:tcW w:w="100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126751) on Form 10-Q filed on October 28, 2015).</w:t>
              </w:r>
            </w:hyperlink>
          </w:p>
        </w:tc>
        <w:tc>
          <w:tcPr>
            <w:tcW w:w="220" w:type="dxa"/>
            <w:vAlign w:val="bottom"/>
            <w:gridSpan w:val="8"/>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101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Agreement evidencing a grant of Lazard Fund Interests to Named Executive Officers (incorporated by reference to Exhibit 10.54 to</w:t>
              </w:r>
            </w:hyperlink>
          </w:p>
        </w:tc>
        <w:tc>
          <w:tcPr>
            <w:tcW w:w="1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the Registrant’s Quarterly Report (File No. 333-126751) on Form 10-Q filed on May 1, 2013).</w:t>
              </w:r>
            </w:hyperlink>
          </w:p>
        </w:tc>
        <w:tc>
          <w:tcPr>
            <w:tcW w:w="3480" w:type="dxa"/>
            <w:vAlign w:val="bottom"/>
            <w:gridSpan w:val="16"/>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10300" w:type="dxa"/>
            <w:vAlign w:val="bottom"/>
            <w:gridSpan w:val="26"/>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Form of Agreement evidencing a February 20, 2014 grant of Performance-Based Stock Units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(incorporated by reference to Exhibit 10.54 to the Registrant’s Quarterly Report (File No. 333-126751)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102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Agreement between Lazard Ltd and Kenneth M. Jacobs, dated as of February 20, 2014, evidencing a grant of Performance-Based Stock Units</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under the 2008 Incentive Compensation Plan (incorporated by reference to Exhibit 10.55 to the Registrant’s Quarterly Report (File No. 333-</w:t>
              </w:r>
            </w:hyperlink>
          </w:p>
        </w:tc>
        <w:tc>
          <w:tcPr>
            <w:tcW w:w="1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102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Form of Agreement evidencing a grant of Restricted Stock under the 2008 Incentive Compensation Plan (incorporated by reference to Exhibit</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0000EE"/>
                </w:rPr>
                <w:t xml:space="preserve"> to the Registrant’s Quarterly Report (File No. 333-126751) on Form 10-Q filed on April 30, 2010).</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98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Form of Agreement evidencing a grant of Lazard Fund Interests (incorporated by reference to Exhibit 10.54 to the Registrant’s Quarterly</w:t>
              </w:r>
            </w:hyperlink>
          </w:p>
        </w:tc>
        <w:tc>
          <w:tcPr>
            <w:tcW w:w="42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26"/>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Report (File No. 333-126751) on Form 10-Q filed on April 29, 2011).</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860" w:type="dxa"/>
            <w:vAlign w:val="bottom"/>
            <w:gridSpan w:val="14"/>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10300" w:type="dxa"/>
            <w:vAlign w:val="bottom"/>
            <w:gridSpan w:val="26"/>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Form of Agreement for Performance-Based Profits Interest Participation Right Units under the 2018 Incentive Compensation Plan.</w:t>
              </w:r>
            </w:hyperlink>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37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Rule 13a-14(a) Certification of Kenneth M. Jacobs.</w:t>
              </w:r>
            </w:hyperlink>
          </w:p>
        </w:tc>
        <w:tc>
          <w:tcPr>
            <w:tcW w:w="5720" w:type="dxa"/>
            <w:vAlign w:val="bottom"/>
            <w:tcBorders>
              <w:top w:val="single" w:sz="8" w:color="0000EE"/>
            </w:tcBorders>
            <w:gridSpan w:val="6"/>
          </w:tcPr>
          <w:p>
            <w:pPr>
              <w:spacing w:after="0"/>
              <w:rPr>
                <w:sz w:val="24"/>
                <w:szCs w:val="24"/>
                <w:color w:val="auto"/>
              </w:rPr>
            </w:pPr>
          </w:p>
        </w:tc>
        <w:tc>
          <w:tcPr>
            <w:tcW w:w="860" w:type="dxa"/>
            <w:vAlign w:val="bottom"/>
            <w:gridSpan w:val="14"/>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300" w:type="dxa"/>
            <w:vAlign w:val="bottom"/>
            <w:gridSpan w:val="26"/>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20" w:type="dxa"/>
            <w:vAlign w:val="bottom"/>
            <w:gridSpan w:val="21"/>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36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Section 1350 Certification for Kenneth M. Jacobs.</w:t>
              </w:r>
            </w:hyperlink>
          </w:p>
        </w:tc>
        <w:tc>
          <w:tcPr>
            <w:tcW w:w="6620" w:type="dxa"/>
            <w:vAlign w:val="bottom"/>
            <w:gridSpan w:val="21"/>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300" w:type="dxa"/>
            <w:vAlign w:val="bottom"/>
            <w:gridSpan w:val="26"/>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Section 1350 Certification for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7000" w:type="dxa"/>
            <w:vAlign w:val="bottom"/>
            <w:gridSpan w:val="23"/>
          </w:tcPr>
          <w:p>
            <w:pPr>
              <w:spacing w:after="0" w:line="20" w:lineRule="exact"/>
              <w:rPr>
                <w:sz w:val="1"/>
                <w:szCs w:val="1"/>
                <w:color w:val="auto"/>
              </w:rPr>
            </w:pPr>
          </w:p>
        </w:tc>
      </w:tr>
      <w:tr>
        <w:trPr>
          <w:trHeight w:val="29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iXBRL tags are embedded within the</w:t>
            </w:r>
          </w:p>
        </w:tc>
      </w:tr>
      <w:tr>
        <w:trPr>
          <w:trHeight w:val="234"/>
        </w:trPr>
        <w:tc>
          <w:tcPr>
            <w:tcW w:w="1040" w:type="dxa"/>
            <w:vAlign w:val="bottom"/>
          </w:tcPr>
          <w:p>
            <w:pPr>
              <w:spacing w:after="0"/>
              <w:rPr>
                <w:sz w:val="20"/>
                <w:szCs w:val="20"/>
                <w:color w:val="auto"/>
              </w:rPr>
            </w:pPr>
          </w:p>
        </w:tc>
        <w:tc>
          <w:tcPr>
            <w:tcW w:w="10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0"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24"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2019</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LAZARD GROUP LLC</w:t>
      </w:r>
    </w:p>
    <w:p>
      <w:pPr>
        <w:spacing w:after="0" w:line="252"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Evan L. Russo</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Evan L. Russo</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5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Dominick Ragone</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Dominick Ragone</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333" w:right="239" w:bottom="1440" w:gutter="0" w:footer="0" w:header="0"/>
        </w:sectPr>
      </w:pPr>
    </w:p>
    <w:bookmarkStart w:id="68" w:name="page69"/>
    <w:bookmarkEnd w:id="68"/>
    <w:p>
      <w:pPr>
        <w:ind w:left="9960"/>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1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b w:val="1"/>
          <w:bCs w:val="1"/>
          <w:color w:val="auto"/>
        </w:rPr>
        <w:t>PERFORMANCE-BASED PROFITS INTEREST PARTICIPATION RIGHT UNIT AGREEMENT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9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THIS AGREEMENT, dated as of</w:t>
            </w:r>
          </w:p>
        </w:tc>
        <w:tc>
          <w:tcPr>
            <w:tcW w:w="5740" w:type="dxa"/>
            <w:vAlign w:val="bottom"/>
            <w:gridSpan w:val="6"/>
          </w:tcPr>
          <w:p>
            <w:pPr>
              <w:ind w:left="280"/>
              <w:spacing w:after="0"/>
              <w:rPr>
                <w:sz w:val="20"/>
                <w:szCs w:val="20"/>
                <w:color w:val="auto"/>
              </w:rPr>
            </w:pPr>
            <w:r>
              <w:rPr>
                <w:rFonts w:ascii="Times New Roman" w:cs="Times New Roman" w:eastAsia="Times New Roman" w:hAnsi="Times New Roman"/>
                <w:sz w:val="22"/>
                <w:szCs w:val="22"/>
                <w:color w:val="auto"/>
                <w:w w:val="97"/>
              </w:rPr>
              <w:t>by, and among Lazard Ltd, a Bermuda exempted company (the</w:t>
            </w:r>
          </w:p>
        </w:tc>
      </w:tr>
      <w:tr>
        <w:trPr>
          <w:trHeight w:val="230"/>
        </w:trPr>
        <w:tc>
          <w:tcPr>
            <w:tcW w:w="8580" w:type="dxa"/>
            <w:vAlign w:val="bottom"/>
            <w:gridSpan w:val="6"/>
          </w:tcPr>
          <w:p>
            <w:pPr>
              <w:spacing w:after="0" w:line="230" w:lineRule="exact"/>
              <w:rPr>
                <w:sz w:val="20"/>
                <w:szCs w:val="20"/>
                <w:color w:val="auto"/>
              </w:rPr>
            </w:pPr>
            <w:r>
              <w:rPr>
                <w:rFonts w:ascii="Times New Roman" w:cs="Times New Roman" w:eastAsia="Times New Roman" w:hAnsi="Times New Roman"/>
                <w:sz w:val="22"/>
                <w:szCs w:val="22"/>
                <w:color w:val="auto"/>
              </w:rPr>
              <w:t>“Company”), Lazard Group LLC, a Delaware limited liability company (“Lazard Group”), and</w:t>
            </w:r>
          </w:p>
        </w:tc>
        <w:tc>
          <w:tcPr>
            <w:tcW w:w="2080" w:type="dxa"/>
            <w:vAlign w:val="bottom"/>
            <w:gridSpan w:val="3"/>
          </w:tcPr>
          <w:p>
            <w:pPr>
              <w:ind w:left="360"/>
              <w:spacing w:after="0" w:line="230" w:lineRule="exact"/>
              <w:rPr>
                <w:sz w:val="20"/>
                <w:szCs w:val="20"/>
                <w:color w:val="auto"/>
              </w:rPr>
            </w:pPr>
            <w:r>
              <w:rPr>
                <w:rFonts w:ascii="Times New Roman" w:cs="Times New Roman" w:eastAsia="Times New Roman" w:hAnsi="Times New Roman"/>
                <w:sz w:val="22"/>
                <w:szCs w:val="22"/>
                <w:color w:val="auto"/>
              </w:rPr>
              <w:t>(the “Member”).</w:t>
            </w:r>
          </w:p>
        </w:tc>
      </w:tr>
      <w:tr>
        <w:trPr>
          <w:trHeight w:val="20"/>
        </w:trPr>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10" w:lineRule="exact"/>
        <w:rPr>
          <w:sz w:val="20"/>
          <w:szCs w:val="20"/>
          <w:color w:val="auto"/>
        </w:rPr>
      </w:pPr>
    </w:p>
    <w:p>
      <w:pPr>
        <w:ind w:right="560" w:firstLine="1755"/>
        <w:spacing w:after="0" w:line="258" w:lineRule="auto"/>
        <w:rPr>
          <w:sz w:val="20"/>
          <w:szCs w:val="20"/>
          <w:color w:val="auto"/>
        </w:rPr>
      </w:pPr>
      <w:r>
        <w:rPr>
          <w:rFonts w:ascii="Times New Roman" w:cs="Times New Roman" w:eastAsia="Times New Roman" w:hAnsi="Times New Roman"/>
          <w:sz w:val="22"/>
          <w:szCs w:val="22"/>
          <w:color w:val="auto"/>
        </w:rPr>
        <w:t>In consideration of the mutual promises and covenants made herein and the mutual benefits to be derived herefrom, the parties hereto agree as follows:</w:t>
      </w:r>
    </w:p>
    <w:p>
      <w:pPr>
        <w:spacing w:after="0" w:line="154" w:lineRule="exact"/>
        <w:rPr>
          <w:sz w:val="20"/>
          <w:szCs w:val="20"/>
          <w:color w:val="auto"/>
        </w:rPr>
      </w:pPr>
    </w:p>
    <w:p>
      <w:pPr>
        <w:ind w:left="2040" w:hanging="277"/>
        <w:spacing w:after="0"/>
        <w:tabs>
          <w:tab w:leader="none" w:pos="2040" w:val="left"/>
        </w:tabs>
        <w:numPr>
          <w:ilvl w:val="1"/>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and Vesting of PIPR Interest.</w:t>
      </w:r>
    </w:p>
    <w:p>
      <w:pPr>
        <w:spacing w:after="0" w:line="210" w:lineRule="exact"/>
        <w:rPr>
          <w:rFonts w:ascii="Times New Roman" w:cs="Times New Roman" w:eastAsia="Times New Roman" w:hAnsi="Times New Roman"/>
          <w:sz w:val="22"/>
          <w:szCs w:val="22"/>
          <w:b w:val="1"/>
          <w:bCs w:val="1"/>
          <w:color w:val="auto"/>
        </w:rPr>
      </w:pPr>
    </w:p>
    <w:p>
      <w:pPr>
        <w:ind w:right="40" w:firstLine="885"/>
        <w:spacing w:after="0" w:line="247" w:lineRule="auto"/>
        <w:tabs>
          <w:tab w:leader="none" w:pos="1225"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this Agreement, the provisions of the Company’s 2018 Incentive Compensation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the Amended and Restated Operating Agreement of Lazard Group, as amended from time to time (the “</w:t>
      </w:r>
      <w:r>
        <w:rPr>
          <w:rFonts w:ascii="Times New Roman" w:cs="Times New Roman" w:eastAsia="Times New Roman" w:hAnsi="Times New Roman"/>
          <w:sz w:val="21"/>
          <w:szCs w:val="21"/>
          <w:u w:val="single" w:color="auto"/>
          <w:color w:val="auto"/>
        </w:rPr>
        <w:t>Operating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(all capitalized terms used herein, to the extent not defined, shall have the meaning set forth in the Operating Agreement, unless otherwise specified), Lazard Group hereby grants to the Member, as of the date set forth above (the “</w:t>
      </w:r>
      <w:r>
        <w:rPr>
          <w:rFonts w:ascii="Times New Roman" w:cs="Times New Roman" w:eastAsia="Times New Roman" w:hAnsi="Times New Roman"/>
          <w:sz w:val="21"/>
          <w:szCs w:val="21"/>
          <w:u w:val="single" w:color="auto"/>
          <w:color w:val="auto"/>
        </w:rPr>
        <w:t>Grant</w:t>
      </w:r>
    </w:p>
    <w:p>
      <w:pPr>
        <w:spacing w:after="0" w:line="2"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 PIPR Interest issued on the date hereof as</w:t>
      </w:r>
      <w:r>
        <w:rPr>
          <w:sz w:val="20"/>
          <w:szCs w:val="20"/>
          <w:color w:val="auto"/>
        </w:rPr>
        <w:tab/>
      </w:r>
      <w:r>
        <w:rPr>
          <w:rFonts w:ascii="Times New Roman" w:cs="Times New Roman" w:eastAsia="Times New Roman" w:hAnsi="Times New Roman"/>
          <w:sz w:val="21"/>
          <w:szCs w:val="21"/>
          <w:color w:val="auto"/>
        </w:rPr>
        <w:t>PIPR Units.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PIPR Interest is an “Other Equity-Based Award” within the meaning of Section 8 of the Plan. These PIPR Units 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performance-based restricted participation units, or PRPUs, and are Performance PIPRs for purposes of the Operating</w:t>
      </w:r>
    </w:p>
    <w:p>
      <w:pPr>
        <w:spacing w:after="0"/>
        <w:rPr>
          <w:sz w:val="20"/>
          <w:szCs w:val="20"/>
          <w:color w:val="auto"/>
        </w:rPr>
      </w:pPr>
      <w:r>
        <w:rPr>
          <w:rFonts w:ascii="Times New Roman" w:cs="Times New Roman" w:eastAsia="Times New Roman" w:hAnsi="Times New Roman"/>
          <w:sz w:val="21"/>
          <w:szCs w:val="21"/>
          <w:color w:val="auto"/>
        </w:rPr>
        <w:t>Agreement. Subject to the terms and conditions set forth in this Agreement, the Member will earn (or be deemed to earn) a number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PIPR Units that is between 0% and 100% of the number of PIPR Units subject to this Agreement, such number of earned PIPR</w:t>
      </w:r>
    </w:p>
    <w:p>
      <w:pPr>
        <w:spacing w:after="0" w:line="232" w:lineRule="auto"/>
        <w:rPr>
          <w:sz w:val="20"/>
          <w:szCs w:val="20"/>
          <w:color w:val="auto"/>
        </w:rPr>
      </w:pPr>
      <w:r>
        <w:rPr>
          <w:rFonts w:ascii="Times New Roman" w:cs="Times New Roman" w:eastAsia="Times New Roman" w:hAnsi="Times New Roman"/>
          <w:sz w:val="22"/>
          <w:szCs w:val="22"/>
          <w:color w:val="auto"/>
        </w:rPr>
        <w:t>Units to be determined based on the achievement of the performance goals set forth on Appendix A (the “</w:t>
      </w:r>
      <w:r>
        <w:rPr>
          <w:rFonts w:ascii="Times New Roman" w:cs="Times New Roman" w:eastAsia="Times New Roman" w:hAnsi="Times New Roman"/>
          <w:sz w:val="22"/>
          <w:szCs w:val="22"/>
          <w:u w:val="single" w:color="auto"/>
          <w:color w:val="auto"/>
        </w:rPr>
        <w:t>Performance</w:t>
      </w:r>
    </w:p>
    <w:p>
      <w:pPr>
        <w:spacing w:after="0"/>
        <w:rPr>
          <w:sz w:val="20"/>
          <w:szCs w:val="20"/>
          <w:color w:val="auto"/>
        </w:rPr>
      </w:pPr>
      <w:r>
        <w:rPr>
          <w:rFonts w:ascii="Times New Roman" w:cs="Times New Roman" w:eastAsia="Times New Roman" w:hAnsi="Times New Roman"/>
          <w:sz w:val="22"/>
          <w:szCs w:val="22"/>
          <w:u w:val="single" w:color="auto"/>
          <w:color w:val="auto"/>
        </w:rPr>
        <w:t>Conditions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right="160" w:firstLine="885"/>
        <w:spacing w:after="0" w:line="244" w:lineRule="auto"/>
        <w:tabs>
          <w:tab w:leader="none" w:pos="123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to the provisions of the Plan, each PIPR Unit shall vest and, subject to the Operating Agreement, no longer be subject to forfeiture, upon the date on which all of the following conditions have been satisfied:</w:t>
      </w:r>
    </w:p>
    <w:p>
      <w:pPr>
        <w:spacing w:after="0" w:line="174" w:lineRule="exact"/>
        <w:rPr>
          <w:sz w:val="20"/>
          <w:szCs w:val="20"/>
          <w:color w:val="auto"/>
        </w:rPr>
      </w:pPr>
    </w:p>
    <w:p>
      <w:pPr>
        <w:ind w:right="1000" w:firstLine="885"/>
        <w:spacing w:after="0" w:line="258" w:lineRule="auto"/>
        <w:tabs>
          <w:tab w:leader="none" w:pos="113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PIPR Unit has become an Equitized PIPR Unit (such date, as applicable to the relevant PIPR Unit, the “</w:t>
      </w:r>
      <w:r>
        <w:rPr>
          <w:rFonts w:ascii="Times New Roman" w:cs="Times New Roman" w:eastAsia="Times New Roman" w:hAnsi="Times New Roman"/>
          <w:sz w:val="22"/>
          <w:szCs w:val="22"/>
          <w:u w:val="single" w:color="auto"/>
          <w:color w:val="auto"/>
        </w:rPr>
        <w:t>Equitization Date</w:t>
      </w:r>
      <w:r>
        <w:rPr>
          <w:rFonts w:ascii="Times New Roman" w:cs="Times New Roman" w:eastAsia="Times New Roman" w:hAnsi="Times New Roman"/>
          <w:sz w:val="22"/>
          <w:szCs w:val="22"/>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1"/>
                <w:szCs w:val="21"/>
                <w:color w:val="auto"/>
              </w:rPr>
            </w:pPr>
          </w:p>
        </w:tc>
        <w:tc>
          <w:tcPr>
            <w:tcW w:w="9120" w:type="dxa"/>
            <w:vAlign w:val="bottom"/>
            <w:gridSpan w:val="3"/>
          </w:tcPr>
          <w:p>
            <w:pPr>
              <w:ind w:left="460"/>
              <w:spacing w:after="0"/>
              <w:rPr>
                <w:sz w:val="20"/>
                <w:szCs w:val="20"/>
                <w:color w:val="auto"/>
              </w:rPr>
            </w:pPr>
            <w:r>
              <w:rPr>
                <w:rFonts w:ascii="Times New Roman" w:cs="Times New Roman" w:eastAsia="Times New Roman" w:hAnsi="Times New Roman"/>
                <w:sz w:val="22"/>
                <w:szCs w:val="22"/>
                <w:color w:val="auto"/>
              </w:rPr>
              <w:t>(ii) the Member has remained in continuous service to the Company or any of its Affiliates until</w:t>
            </w:r>
          </w:p>
        </w:tc>
        <w:tc>
          <w:tcPr>
            <w:tcW w:w="174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(such condition,</w:t>
            </w:r>
          </w:p>
        </w:tc>
      </w:tr>
      <w:tr>
        <w:trPr>
          <w:trHeight w:val="230"/>
        </w:trPr>
        <w:tc>
          <w:tcPr>
            <w:tcW w:w="888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the “Service Condition”); and</w:t>
            </w:r>
          </w:p>
        </w:tc>
        <w:tc>
          <w:tcPr>
            <w:tcW w:w="6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476"/>
        </w:trPr>
        <w:tc>
          <w:tcPr>
            <w:tcW w:w="420" w:type="dxa"/>
            <w:vAlign w:val="bottom"/>
          </w:tcPr>
          <w:p>
            <w:pPr>
              <w:spacing w:after="0"/>
              <w:rPr>
                <w:sz w:val="24"/>
                <w:szCs w:val="24"/>
                <w:color w:val="auto"/>
              </w:rPr>
            </w:pPr>
          </w:p>
        </w:tc>
        <w:tc>
          <w:tcPr>
            <w:tcW w:w="84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(iii) the Committee (as defined in the Plan) concludes that during the period beginning on</w:t>
            </w:r>
          </w:p>
        </w:tc>
        <w:tc>
          <w:tcPr>
            <w:tcW w:w="24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and ending on</w:t>
            </w:r>
          </w:p>
        </w:tc>
      </w:tr>
    </w:tbl>
    <w:p>
      <w:pPr>
        <w:ind w:right="80" w:firstLine="1297"/>
        <w:spacing w:after="0" w:line="234"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xml:space="preserve">”), the Company has achieved the Performance Conditions and specifies the level at which the PIPR Units shall vest, based on the scoring, adjustment and weighting provisions set forth in Appendix 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Committee, in its sole discretion, may interpret the goals and scoring set forth in Appendix A as it deems necessary or appropriate (including, without limitation, to the extent necessary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address extraordinary events or circumstances). The ultimate score achieved based on Appendix A (which may range from 0.0 to</w:t>
      </w:r>
    </w:p>
    <w:p>
      <w:pPr>
        <w:spacing w:after="0" w:line="1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2.0) will be multiplied by PIPR Units (the “</w:t>
      </w:r>
      <w:r>
        <w:rPr>
          <w:rFonts w:ascii="Times New Roman" w:cs="Times New Roman" w:eastAsia="Times New Roman" w:hAnsi="Times New Roman"/>
          <w:sz w:val="21"/>
          <w:szCs w:val="21"/>
          <w:u w:val="single" w:color="auto"/>
          <w:color w:val="auto"/>
        </w:rPr>
        <w:t>Target PIPR Units</w:t>
      </w:r>
      <w:r>
        <w:rPr>
          <w:rFonts w:ascii="Times New Roman" w:cs="Times New Roman" w:eastAsia="Times New Roman" w:hAnsi="Times New Roman"/>
          <w:sz w:val="21"/>
          <w:szCs w:val="21"/>
          <w:color w:val="auto"/>
        </w:rPr>
        <w:t>”) in order to determine the number of PIPR Units, if any, that may vest upon satisfaction of the Service Condition. Furthermore, the Committee shall determine, following the end of each fiscal year, during the Performance Period and in accordance with the methodology described in the first sentence of this Section 1(b)(iii), the extent to which the Company has achieved the Performance Conditions with respect to such fiscal year and, in the event that the Performance Conditions in that year have been achieved at the target level (i.e., the 1.0 level) or above, the Performance Conditions will be deemed satisfied with respect to twenty-five percent (25%) of the Target PIPR Units (any such PIPR Units that are earned in accordance with this sentence, the “</w:t>
      </w:r>
      <w:r>
        <w:rPr>
          <w:rFonts w:ascii="Times New Roman" w:cs="Times New Roman" w:eastAsia="Times New Roman" w:hAnsi="Times New Roman"/>
          <w:sz w:val="21"/>
          <w:szCs w:val="21"/>
          <w:u w:val="single" w:color="auto"/>
          <w:color w:val="auto"/>
        </w:rPr>
        <w:t>Fiscal Year PIPR Units</w:t>
      </w:r>
      <w:r>
        <w:rPr>
          <w:rFonts w:ascii="Times New Roman" w:cs="Times New Roman" w:eastAsia="Times New Roman" w:hAnsi="Times New Roman"/>
          <w:sz w:val="21"/>
          <w:szCs w:val="21"/>
          <w:color w:val="auto"/>
        </w:rPr>
        <w:t>”). Any Fiscal Year PIPR Units will vest upon satisfaction (or deemed satisfaction) of the Service Condition and the occurrence of the relevant Equitization Date on or before the fifth anniversary of the date of grant (such date, the “</w:t>
      </w:r>
      <w:r>
        <w:rPr>
          <w:rFonts w:ascii="Times New Roman" w:cs="Times New Roman" w:eastAsia="Times New Roman" w:hAnsi="Times New Roman"/>
          <w:sz w:val="21"/>
          <w:szCs w:val="21"/>
          <w:u w:val="single" w:color="auto"/>
          <w:color w:val="auto"/>
        </w:rPr>
        <w:t>Final Equitization Date</w:t>
      </w:r>
      <w:r>
        <w:rPr>
          <w:rFonts w:ascii="Times New Roman" w:cs="Times New Roman" w:eastAsia="Times New Roman" w:hAnsi="Times New Roman"/>
          <w:sz w:val="21"/>
          <w:szCs w:val="21"/>
          <w:color w:val="auto"/>
        </w:rPr>
        <w:t>”) in accordance with Section 1(b)(i), 1(b)(ii), 1(c), 1(d) or 1(e). In the event that the Committee makes any conclusion regarding the achievement of the Performance Conditions for the full Performance Period (or, in the case of Section 1(c)(i) or 1(e)(i), for a portion thereof), then any Fiscal Year PIPR Units will be applied to reduce the number of PIPR Units that would otherwise be earned in accordance with this Agreement.</w:t>
      </w:r>
    </w:p>
    <w:p>
      <w:pPr>
        <w:spacing w:after="0" w:line="175" w:lineRule="exact"/>
        <w:rPr>
          <w:sz w:val="20"/>
          <w:szCs w:val="20"/>
          <w:color w:val="auto"/>
        </w:rPr>
      </w:pPr>
    </w:p>
    <w:p>
      <w:pPr>
        <w:ind w:left="880" w:right="120"/>
        <w:spacing w:after="0" w:line="238" w:lineRule="auto"/>
        <w:rPr>
          <w:sz w:val="20"/>
          <w:szCs w:val="20"/>
          <w:color w:val="auto"/>
        </w:rPr>
      </w:pPr>
      <w:r>
        <w:rPr>
          <w:rFonts w:ascii="Times New Roman" w:cs="Times New Roman" w:eastAsia="Times New Roman" w:hAnsi="Times New Roman"/>
          <w:sz w:val="22"/>
          <w:szCs w:val="22"/>
          <w:color w:val="auto"/>
        </w:rPr>
        <w:t>The date that both the Performance Condition and the Service Condition have been satisfied with respect to an Unvested Award (as defined below) is referred to herein as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and an Unvested PIPR Unit or any Share (as defined in the Plan) that the Member receives in exchange for an Equitized PIPR Unit pursuant to Section 4 or receives pursuant to Section 10(a) (each such Share, a “</w:t>
      </w:r>
      <w:r>
        <w:rPr>
          <w:rFonts w:ascii="Times New Roman" w:cs="Times New Roman" w:eastAsia="Times New Roman" w:hAnsi="Times New Roman"/>
          <w:sz w:val="22"/>
          <w:szCs w:val="22"/>
          <w:u w:val="single" w:color="auto"/>
          <w:color w:val="auto"/>
        </w:rPr>
        <w:t>Restricted Share</w:t>
      </w:r>
      <w:r>
        <w:rPr>
          <w:rFonts w:ascii="Times New Roman" w:cs="Times New Roman" w:eastAsia="Times New Roman" w:hAnsi="Times New Roman"/>
          <w:sz w:val="22"/>
          <w:szCs w:val="22"/>
          <w:color w:val="auto"/>
        </w:rPr>
        <w:t>”) that is outstanding prior to the Vesting Date is referred to as an “</w:t>
      </w:r>
      <w:r>
        <w:rPr>
          <w:rFonts w:ascii="Times New Roman" w:cs="Times New Roman" w:eastAsia="Times New Roman" w:hAnsi="Times New Roman"/>
          <w:sz w:val="22"/>
          <w:szCs w:val="22"/>
          <w:u w:val="single" w:color="auto"/>
          <w:color w:val="auto"/>
        </w:rPr>
        <w:t>Unvested Award</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right="80" w:firstLine="877"/>
        <w:spacing w:after="0" w:line="234" w:lineRule="auto"/>
        <w:rPr>
          <w:sz w:val="20"/>
          <w:szCs w:val="20"/>
          <w:color w:val="auto"/>
        </w:rPr>
      </w:pPr>
      <w:r>
        <w:rPr>
          <w:rFonts w:ascii="Times New Roman" w:cs="Times New Roman" w:eastAsia="Times New Roman" w:hAnsi="Times New Roman"/>
          <w:sz w:val="22"/>
          <w:szCs w:val="22"/>
          <w:color w:val="auto"/>
        </w:rPr>
        <w:t>Notwithstanding anything in this Agreement or in the Plan to the contrary, except as provided in this Section 1(b) and Section 1(e), the Member will forfeit all Unvested Awards and all rights thereunder will terminate in the event that the Member incurs a Termination of Employment (as defined in the Plan) prior to the Vesting Date for any reason not set forth in Section 1(c), which Termination of Employment and forfeiture shall be deemed to occur on the date that the Member provides notice of termination to the Company, in the case of a resignation by the Member, or on the Date of Termination (as defined in Appendix B), in the case of Termination of Employment by the Company. In addition, all Unvested Awards, but excluding any Fiscal Year PIPR Units (or any Restricted Shares received in exchange for Fiscal Year PIPR Units), shall be forfeited by the Member to the extent that, following the last day of the Performance Period (or such earlier date as specified in Section 1(c)(i) or 1(e)(i)), the Performance Conditions with respect to such Unvested Awards have not been satisfied. The Member’s PIPR Capital with respect to a PIPR Unit that has been forfeited, canceled or terminated shall be treated as provided in Section 4.03(c)(iv) of the Operating Agreement.</w:t>
      </w:r>
    </w:p>
    <w:p>
      <w:pPr>
        <w:spacing w:after="0" w:line="177" w:lineRule="exact"/>
        <w:rPr>
          <w:sz w:val="20"/>
          <w:szCs w:val="20"/>
          <w:color w:val="auto"/>
        </w:rPr>
      </w:pPr>
    </w:p>
    <w:p>
      <w:pPr>
        <w:ind w:right="80" w:firstLine="885"/>
        <w:spacing w:after="0" w:line="238" w:lineRule="auto"/>
        <w:tabs>
          <w:tab w:leader="none" w:pos="122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Except as set forth in Section 1(e), in the event that the Member incurs a Termination of Employment prior to the Vesting Date due to (A) the Member’s Disability (as defined in the Plan), (B) the Member’s death or (C) a Termination of Employment by the Company other than for Cause, the Member shall no longer be required to remain in continuous service to satisfy the Service Condition and the Unvested Awards shall no longer be subject to the Performance Conditions, but (other than in the case of death) the Unvested Awards shall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0" w:name="page71"/>
    <w:bookmarkEnd w:id="70"/>
    <w:p>
      <w:pPr>
        <w:jc w:val="both"/>
        <w:ind w:right="300"/>
        <w:spacing w:after="0" w:line="249" w:lineRule="auto"/>
        <w:rPr>
          <w:sz w:val="20"/>
          <w:szCs w:val="20"/>
          <w:color w:val="auto"/>
        </w:rPr>
      </w:pPr>
      <w:r>
        <w:rPr>
          <w:rFonts w:ascii="Times New Roman" w:cs="Times New Roman" w:eastAsia="Times New Roman" w:hAnsi="Times New Roman"/>
          <w:sz w:val="21"/>
          <w:szCs w:val="21"/>
          <w:color w:val="auto"/>
        </w:rPr>
        <w:t>remain outstanding and subject to forfeiture pursuant to Section 1(d) through the Vesting Date (for the avoidance of doubt, each PIPR Unit will remain outstanding subject to the occurrence of the relevant Equitization Date on or before the Final Equitization Date), and (other than in the case of death) will be subject to forfeiture pursuant to Section 1(d) through the Vesting</w:t>
      </w:r>
    </w:p>
    <w:p>
      <w:pPr>
        <w:spacing w:after="0" w:line="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 xml:space="preserve">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Performance Conditions shall be deemed satisfied with respect to the Unvested Awards based on (1) the actual performance level during the period beginning on the first day of the Performance Period and ending on the last day of the most recent fiscal quarter preceding the Date of Termination (or, if the Date of Termination occurs more than halfway through a fiscal quarter, the last day of such current fiscal quarter), as determined by the Committee, and (2) deemed performance at the target level for the period beginning on the first day of the following fiscal quarter through the last day of the Performance Period.</w:t>
      </w:r>
    </w:p>
    <w:p>
      <w:pPr>
        <w:spacing w:after="0" w:line="175" w:lineRule="exact"/>
        <w:rPr>
          <w:sz w:val="20"/>
          <w:szCs w:val="20"/>
          <w:color w:val="auto"/>
        </w:rPr>
      </w:pPr>
    </w:p>
    <w:p>
      <w:pPr>
        <w:ind w:right="100" w:firstLine="885"/>
        <w:spacing w:after="0" w:line="233" w:lineRule="auto"/>
        <w:tabs>
          <w:tab w:leader="none" w:pos="119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1(e), in the event that the Member incurs a Termination of Employment prior to the Vesting Date due to the Member’s Retirement (as defined below), the Member shall no longer be required to remain in continuous service to satisfy the Service Condition, but the Unvested Awards shall remain outstanding and subject to forfeiture pursuant to Section 1(d) through the Vesting Date (for the avoidance of doubt, each PIPR Unit will remain outstanding subject to the occurrence of the relevant Equitization Date on or before the Final Equitization Date, and will be subject to forfeiture pursuant to Section 1(d) through the Vesting Date) and, except for any Fiscal Year PIPR Units (or Restricted Shares received in exchange for Fiscal Year PIPR Units), shall remain subject to the Performance Conditions. Such Unvested Awards (excluding Fiscal Year PIPR Units or any Restricted Shares received in exchange for Fiscal Year PIPR Units) shall vest at the level determined by the Committee following the last day of the Performance Period, based on actual performance during the Performance Period. For purposes of this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that the Member voluntarily incurs a Termination of Employment on or after the date on which the Member meets all of the requirements of the retirement policy applicable to equity awards granted under the Plan, as in effect from time to time.</w:t>
      </w:r>
    </w:p>
    <w:p>
      <w:pPr>
        <w:spacing w:after="0" w:line="186" w:lineRule="exact"/>
        <w:rPr>
          <w:sz w:val="20"/>
          <w:szCs w:val="20"/>
          <w:color w:val="auto"/>
        </w:rPr>
      </w:pPr>
    </w:p>
    <w:p>
      <w:pPr>
        <w:ind w:right="40" w:firstLine="885"/>
        <w:spacing w:after="0" w:line="245" w:lineRule="auto"/>
        <w:tabs>
          <w:tab w:leader="none" w:pos="1291"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in the event that the Member incurs a Termination of Employment by the Company other than for Cause or a Termination of Employment due to Retirement in accordance with Section 1(c)(ii), in either case, prior to a Change in Control (as defined in the Plan), the Unvested Awards shall be treated as provided in Section 1(c)(i) or Section 1(c)(ii), as applicable, only if the Member (or the Member’s estate, if applicable) signs a customary release of claims in favor of the Company and its Affiliates that is acceptable to the Company, and such release becomes effective and irrevocable on or before the 65th day following the Member’s Termination of Employment. In the event the Member (or the Member’s estate, if applicable) does not sign such release or revokes such release before it becomes effective, the Member shall forfeit all rights to any Unvested Awards. In the event that, prior to a Change in Control or prior to a Termination of Employment (including by reason of Retirement in accordance with Section 1(c)(ii)) following a Change in Control, as applicable, the Member violates any of the restrictive covenants set forth in Appendix B, which are incorporated herein by reference (the “</w:t>
      </w:r>
      <w:r>
        <w:rPr>
          <w:rFonts w:ascii="Times New Roman" w:cs="Times New Roman" w:eastAsia="Times New Roman" w:hAnsi="Times New Roman"/>
          <w:sz w:val="21"/>
          <w:szCs w:val="21"/>
          <w:u w:val="single" w:color="auto"/>
          <w:color w:val="auto"/>
        </w:rPr>
        <w:t>Restrictive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 all outstanding Unvested Awards (including Fiscal Year PIPR Units (and Restricted Shares received in exchange for Fiscal Year PIPR Units)) shall be forfeited and canceled. For the avoidance of doubt, in no event shall a violation of the Restrictive Covenants following a Termination of Employment serve as a basis for forfeiture of Unvested Awards from and after a Change 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1" w:name="page72"/>
    <w:bookmarkEnd w:id="71"/>
    <w:p>
      <w:pPr>
        <w:spacing w:after="0" w:line="262" w:lineRule="auto"/>
        <w:rPr>
          <w:sz w:val="20"/>
          <w:szCs w:val="20"/>
          <w:color w:val="auto"/>
        </w:rPr>
      </w:pPr>
      <w:r>
        <w:rPr>
          <w:rFonts w:ascii="Times New Roman" w:cs="Times New Roman" w:eastAsia="Times New Roman" w:hAnsi="Times New Roman"/>
          <w:sz w:val="21"/>
          <w:szCs w:val="21"/>
          <w:color w:val="auto"/>
        </w:rPr>
        <w:t>Control. Notwithstanding that certain Restrictive Covenants apply for only a limited period following Termination of Employment, in the event that the Member incurs a Termination of Employment by reason of Retirement, the Member will forfeit any outstanding Unvested Awards if the Member does not comply with all of the Restrictive Covenants until the Vesting Date.</w:t>
      </w:r>
    </w:p>
    <w:p>
      <w:pPr>
        <w:spacing w:after="0" w:line="155" w:lineRule="exact"/>
        <w:rPr>
          <w:sz w:val="20"/>
          <w:szCs w:val="20"/>
          <w:color w:val="auto"/>
        </w:rPr>
      </w:pPr>
    </w:p>
    <w:p>
      <w:pPr>
        <w:ind w:firstLine="885"/>
        <w:spacing w:after="0" w:line="242" w:lineRule="auto"/>
        <w:tabs>
          <w:tab w:leader="none" w:pos="122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Notwithstanding any provision of this Agreement to the contrary, in the event of a Change in Control that occurs prior to the end of the Performance Period (without regard to whether the Member’s Retirement has occurred on or prior to the date of such Change in Control), the Performance Conditions shall no longer apply and, instead, shall be deemed to have been satisfied as of immediately prior to the Change in Control at the greater of (A) the target level and (B) the actual performance level achieved during the period beginning at the start of the Performance Period and ending on the date of such Change in Control, as determined by the Committee prior to the Change in Control with any necessary exercise of discretion determined by the Committee prior to the Change in Control (the greater of (A) and (B), the “</w:t>
      </w:r>
      <w:r>
        <w:rPr>
          <w:rFonts w:ascii="Times New Roman" w:cs="Times New Roman" w:eastAsia="Times New Roman" w:hAnsi="Times New Roman"/>
          <w:sz w:val="21"/>
          <w:szCs w:val="21"/>
          <w:u w:val="single" w:color="auto"/>
          <w:color w:val="auto"/>
        </w:rPr>
        <w:t>Deemed Performance Level</w:t>
      </w:r>
      <w:r>
        <w:rPr>
          <w:rFonts w:ascii="Times New Roman" w:cs="Times New Roman" w:eastAsia="Times New Roman" w:hAnsi="Times New Roman"/>
          <w:sz w:val="21"/>
          <w:szCs w:val="21"/>
          <w:color w:val="auto"/>
        </w:rPr>
        <w:t xml:space="preserve">”). Upon a Change in Control, an Equitized PIPR Unit or a Restricted Share may be converted into an award in respect of stock of, or other equity interests in, the acquirer (or one of its affiliates) based on the value of such Unvested Award (in the case of an Equitized PIPR Unit that is in Parity, which value shall be determined as if exchanged for a Share on a one-for-one basis) at the time of such Change in Control and, following conversion, any such award will be considered an Unvested Award to the extent provided in this Agreement. A Non-Equitized PIPR Unit outstanding as of a Change in Control may either (i) remain outstanding or (ii) be converted into replacement awards in accordance with Section 10(a) of this Agreement and Section 4.03(c)(iv) of the Operating Agreement in respect of stock of, or other equity interests in, the acquirer (or one of its affiliates). Except as otherwise provided in this Section 1(e)(i) and Section 1(e) (ii), following a Change in Control, the Unvested Awards shall remain subject to the Service Condition;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that the Member incurs a Termination of Employment upon or following a Change in Control but prior to the Vesting Date under any of the circumstances described in Section 1(c), the Service Condition shall be deemed to have been satisfied immediately upon such Termination of Employment, and the date of such Termination of Employment shall be deemed to be the Vesting Date for purposes of such Unvested Awards (and any related Unvested Dividend Amount (as defined in Section 6 of this Agreement)). Furthermore, in the event that the Member incurs a Termination of Employment under any of the circumstances described in Section 1(c) prior to the Vesting Date and prior to a Change in Control, upon a Change in Control, the date of the Change in Control shall be deemed to be the Vesting Date for purposes of any Unvested Awards (and any related Unvested Dividend Amount). Notwithstanding the forgoing, solely to the extent required to avoid taxation and penalties under Section 409A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the Unvested Awards (and any related Unvested Dividend Amount) shall be settled no later than March 15th of the calendar year (or, if applicable, two and one-half months after the end of the applicable service recipient’s fiscal year) following the later of (i) the calendar year (or fiscal year, as applicable) in which the Change in Control occurs and (ii) the calendar year (or fiscal year, as applicable) in which the Unvested Awards (and any related Unvested Dividend Amount) are no longer subject to a “substantial risk of forfeiture” within the meaning of Section 409A of the Code. In the event of settlement of any Unvested Awards (and any related Unvested Dividend Amount) prior to the Vesting Date (or deemed Vesting Date) in accordance with the immediately preceding sentence, a portion of the Shares (or acquirer shares) may be sold pursuant to Section 1(e)(iv) below, and the remainder of the Unvested Award (and any related</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Unvested Dividend Amount) will remain forfeitable until the Vesting Date (or deemed Vesting Date).</w:t>
      </w:r>
    </w:p>
    <w:p>
      <w:pPr>
        <w:spacing w:after="0" w:line="206" w:lineRule="exact"/>
        <w:rPr>
          <w:sz w:val="20"/>
          <w:szCs w:val="20"/>
          <w:color w:val="auto"/>
        </w:rPr>
      </w:pPr>
    </w:p>
    <w:p>
      <w:pPr>
        <w:ind w:right="20" w:firstLine="885"/>
        <w:spacing w:after="0" w:line="233" w:lineRule="auto"/>
        <w:tabs>
          <w:tab w:leader="none" w:pos="119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in the event of a Change in Control prior to the Vesting Date, unless (A) either (1) the Unvested Awards remain outstanding following the Change in Control or (2) provision is made in connection with the Change in Control for assumption of Unvested Awards or substitution of such Unvested Awards for new awards covering equity interests in a successor entity, with appropriate adjustments to the number of Unvested Awards, as determined by the Committee (as defined in the Plan) in accordance with Section 1(e)(i) of this Agreement and Section 4.03(c)(iv) of the Operating Agreement, prior to the Change in Control pursuant to Section 3(b)(ii) of the Plan and (B) the material terms and conditions of such Unvested Awards as in effect immediately prior to the Change in Control are preserved following the Change in Control (including, without limitation, with respect to the vesting schedule, the intrinsic value of the Unvested Awards (or similar potential fair value in accordance with Section 10(a) of this Agreement and Section 4.03(c)(iv) of the Operating Agreement, in the case of a Non-Equitized PIPR Unit) and transferability of the Unvested Awards (and interests into which the Unvested Awards may be converted or exchanged) prior to and following the Change in Control), the Service Condition shall be deemed satisfied and the Performance Conditions shall be deemed satisfied at the Deemed Performance Level immediately upon such Change in Control, and the date of the Change in Control shall be deemed to be the Vesting Date for purposes of such Unvested Awards (and any related Unvested Dividend Amount).</w:t>
      </w:r>
    </w:p>
    <w:p>
      <w:pPr>
        <w:spacing w:after="0" w:line="181" w:lineRule="exact"/>
        <w:rPr>
          <w:rFonts w:ascii="Times New Roman" w:cs="Times New Roman" w:eastAsia="Times New Roman" w:hAnsi="Times New Roman"/>
          <w:sz w:val="22"/>
          <w:szCs w:val="22"/>
          <w:color w:val="auto"/>
        </w:rPr>
      </w:pPr>
    </w:p>
    <w:p>
      <w:pPr>
        <w:ind w:firstLine="885"/>
        <w:spacing w:after="0" w:line="238" w:lineRule="auto"/>
        <w:tabs>
          <w:tab w:leader="none" w:pos="125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10(a) of the Plan, except as set forth in Section 1(e)(ii), in the event that the Member incurs a Termination of Employment upon or following a Change in Control but prior to the Vesting Date, under any circumstances other than those described in Section 1(c) or this Section 1(e) (including a voluntary resignation if the individual is not retirement eligible (in accordance with the Company’s policies as in effect prior to the Change in Control) or a termination for Cause), then any outstanding Unvested Awards shall be immediately forfeited.</w:t>
      </w:r>
    </w:p>
    <w:p>
      <w:pPr>
        <w:spacing w:after="0" w:line="177" w:lineRule="exact"/>
        <w:rPr>
          <w:rFonts w:ascii="Times New Roman" w:cs="Times New Roman" w:eastAsia="Times New Roman" w:hAnsi="Times New Roman"/>
          <w:sz w:val="22"/>
          <w:szCs w:val="22"/>
          <w:color w:val="auto"/>
        </w:rPr>
      </w:pPr>
    </w:p>
    <w:p>
      <w:pPr>
        <w:ind w:right="320" w:firstLine="885"/>
        <w:spacing w:after="0" w:line="236" w:lineRule="auto"/>
        <w:tabs>
          <w:tab w:leader="none" w:pos="124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conversion, assumption or substitution of the PIPR Units in connection with a Change in Control would result in the Member incurring tax liability with respect to such PIPR Units, subject to applicable law and any policies of the Company or any successor that impose trading restrictions (such as blackout periods), the Member shall be permitted to sell the number of Shares (or acquirer shares) subject to the replacement award that the Company determines to be necessary to satisfy the Member’s tax liability incurred in connection with such exchange. Any such Shares (or acquirer shares) that the Member is entitled to sell pursuant to this Section 1(e)(iv) will no longer be considered Unvested Awards.</w:t>
      </w:r>
    </w:p>
    <w:p>
      <w:pPr>
        <w:spacing w:after="0" w:line="178" w:lineRule="exact"/>
        <w:rPr>
          <w:rFonts w:ascii="Times New Roman" w:cs="Times New Roman" w:eastAsia="Times New Roman" w:hAnsi="Times New Roman"/>
          <w:sz w:val="22"/>
          <w:szCs w:val="22"/>
          <w:color w:val="auto"/>
        </w:rPr>
      </w:pPr>
    </w:p>
    <w:p>
      <w:pPr>
        <w:ind w:left="2040" w:hanging="277"/>
        <w:spacing w:after="0"/>
        <w:tabs>
          <w:tab w:leader="none" w:pos="2040" w:val="left"/>
        </w:tabs>
        <w:numPr>
          <w:ilvl w:val="1"/>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Capital.</w:t>
      </w:r>
    </w:p>
    <w:p>
      <w:pPr>
        <w:spacing w:after="0" w:line="210" w:lineRule="exact"/>
        <w:rPr>
          <w:sz w:val="20"/>
          <w:szCs w:val="20"/>
          <w:color w:val="auto"/>
        </w:rPr>
      </w:pPr>
    </w:p>
    <w:p>
      <w:pPr>
        <w:jc w:val="both"/>
        <w:ind w:right="300" w:firstLine="885"/>
        <w:spacing w:after="0" w:line="239" w:lineRule="auto"/>
        <w:tabs>
          <w:tab w:leader="none" w:pos="122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Contribution. Each Member of Lazard Group has made or shall be required to make an initial capital contribution to Lazard Group. In the event that the Member fails to make the required capital contribution prior to the date specified by Lazard Group, the PIPR Units will be immediately forfeited and the Member will have no further rights pursuant to this Agreement.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73" w:name="page74"/>
    <w:bookmarkEnd w:id="73"/>
    <w:p>
      <w:pPr>
        <w:ind w:left="880"/>
        <w:spacing w:after="0"/>
        <w:rPr>
          <w:sz w:val="20"/>
          <w:szCs w:val="20"/>
          <w:color w:val="auto"/>
        </w:rPr>
      </w:pPr>
      <w:r>
        <w:rPr>
          <w:rFonts w:ascii="Times New Roman" w:cs="Times New Roman" w:eastAsia="Times New Roman" w:hAnsi="Times New Roman"/>
          <w:sz w:val="22"/>
          <w:szCs w:val="22"/>
          <w:color w:val="auto"/>
        </w:rPr>
        <w:t>(b) PIPR Capital Accounts.</w:t>
      </w:r>
    </w:p>
    <w:p>
      <w:pPr>
        <w:spacing w:after="0" w:line="206" w:lineRule="exact"/>
        <w:rPr>
          <w:sz w:val="20"/>
          <w:szCs w:val="20"/>
          <w:color w:val="auto"/>
        </w:rPr>
      </w:pPr>
    </w:p>
    <w:p>
      <w:pPr>
        <w:ind w:right="60" w:firstLine="885"/>
        <w:spacing w:after="0" w:line="255" w:lineRule="auto"/>
        <w:tabs>
          <w:tab w:leader="none" w:pos="113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Grant Date, the Member’s initial PIPR Capital Account shall have a balance of zero, provided that in the event that the Member has made a capital contribution to Lazard Group pursuant to Section 2(a) above, then the Member’s initial PIPR Capital Account balance shall equal the amount of such contribution. The Member shall not be entitled to withdraw or otherwise receive any distributions in respect of, or any return on, any PIPR Capital except as provided in the Operating Agreement.</w:t>
      </w:r>
    </w:p>
    <w:p>
      <w:pPr>
        <w:spacing w:after="0" w:line="162" w:lineRule="exact"/>
        <w:rPr>
          <w:rFonts w:ascii="Times New Roman" w:cs="Times New Roman" w:eastAsia="Times New Roman" w:hAnsi="Times New Roman"/>
          <w:sz w:val="21"/>
          <w:szCs w:val="21"/>
          <w:color w:val="auto"/>
        </w:rPr>
      </w:pPr>
    </w:p>
    <w:p>
      <w:pPr>
        <w:ind w:right="120" w:firstLine="885"/>
        <w:spacing w:after="0" w:line="258" w:lineRule="auto"/>
        <w:tabs>
          <w:tab w:leader="none" w:pos="119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adjustments to the Member’s PIPR Capital Account shall be handled in the manner specified in Section 5.04 of the Operating Agreement (the date of any such adjustment, a “</w:t>
      </w:r>
      <w:r>
        <w:rPr>
          <w:rFonts w:ascii="Times New Roman" w:cs="Times New Roman" w:eastAsia="Times New Roman" w:hAnsi="Times New Roman"/>
          <w:sz w:val="22"/>
          <w:szCs w:val="22"/>
          <w:u w:val="single" w:color="auto"/>
          <w:color w:val="auto"/>
        </w:rPr>
        <w:t>Revaluation Date</w:t>
      </w:r>
      <w:r>
        <w:rPr>
          <w:rFonts w:ascii="Times New Roman" w:cs="Times New Roman" w:eastAsia="Times New Roman" w:hAnsi="Times New Roman"/>
          <w:sz w:val="22"/>
          <w:szCs w:val="22"/>
          <w:color w:val="auto"/>
        </w:rPr>
        <w:t>”).</w:t>
      </w:r>
    </w:p>
    <w:p>
      <w:pPr>
        <w:spacing w:after="0" w:line="154" w:lineRule="exact"/>
        <w:rPr>
          <w:rFonts w:ascii="Times New Roman" w:cs="Times New Roman" w:eastAsia="Times New Roman" w:hAnsi="Times New Roman"/>
          <w:sz w:val="22"/>
          <w:szCs w:val="22"/>
          <w:color w:val="auto"/>
        </w:rPr>
      </w:pPr>
    </w:p>
    <w:p>
      <w:pPr>
        <w:ind w:left="2040" w:hanging="277"/>
        <w:spacing w:after="0"/>
        <w:tabs>
          <w:tab w:leader="none" w:pos="2040"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Achievement of Equitizing Target Capital.</w:t>
      </w:r>
    </w:p>
    <w:p>
      <w:pPr>
        <w:spacing w:after="0" w:line="210" w:lineRule="exact"/>
        <w:rPr>
          <w:sz w:val="20"/>
          <w:szCs w:val="20"/>
          <w:color w:val="auto"/>
        </w:rPr>
      </w:pPr>
    </w:p>
    <w:p>
      <w:pPr>
        <w:ind w:firstLine="877"/>
        <w:spacing w:after="0" w:line="235" w:lineRule="auto"/>
        <w:rPr>
          <w:sz w:val="20"/>
          <w:szCs w:val="20"/>
          <w:color w:val="auto"/>
        </w:rPr>
      </w:pPr>
      <w:r>
        <w:rPr>
          <w:rFonts w:ascii="Times New Roman" w:cs="Times New Roman" w:eastAsia="Times New Roman" w:hAnsi="Times New Roman"/>
          <w:sz w:val="22"/>
          <w:szCs w:val="22"/>
          <w:color w:val="auto"/>
        </w:rPr>
        <w:t xml:space="preserve">Upon any Revaluation Date, PIPR Units shall become Equitized PIPR Units subject to the conditions set forth in the Operating Agreement. Except as otherwise set forth in this Agreement, any Non-Equitized PIPR Unit that does not become an Equitized PIPR Unit on such Revaluation Date shall remain outstanding and shall be eligible to become an Equitized PIPR Unit on each subsequent Revaluation Date in accordance with the Operating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Non-Equitized PIPR Unit that has not become an Equitized PIPR Unit on or prior to the Final Equitization Date shall be automatically forfeited. For the avoidance of doubt, from and after the relevant Equitization Date, the Equitized PIPR Units shall remain Unvested Awards until the Vesting Date.</w:t>
      </w:r>
    </w:p>
    <w:p>
      <w:pPr>
        <w:spacing w:after="0" w:line="180" w:lineRule="exact"/>
        <w:rPr>
          <w:sz w:val="20"/>
          <w:szCs w:val="20"/>
          <w:color w:val="auto"/>
        </w:rPr>
      </w:pPr>
    </w:p>
    <w:p>
      <w:pPr>
        <w:ind w:left="2040" w:hanging="277"/>
        <w:spacing w:after="0"/>
        <w:tabs>
          <w:tab w:leader="none" w:pos="2040"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Exchange of Equitized PIPR Units for Shares.</w:t>
      </w:r>
    </w:p>
    <w:p>
      <w:pPr>
        <w:spacing w:after="0" w:line="210" w:lineRule="exact"/>
        <w:rPr>
          <w:rFonts w:ascii="Times New Roman" w:cs="Times New Roman" w:eastAsia="Times New Roman" w:hAnsi="Times New Roman"/>
          <w:sz w:val="22"/>
          <w:szCs w:val="22"/>
          <w:b w:val="1"/>
          <w:bCs w:val="1"/>
          <w:color w:val="auto"/>
        </w:rPr>
      </w:pPr>
    </w:p>
    <w:p>
      <w:pPr>
        <w:ind w:right="20" w:firstLine="885"/>
        <w:spacing w:after="0" w:line="251" w:lineRule="auto"/>
        <w:tabs>
          <w:tab w:leader="none" w:pos="1225"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of the Vesting Date, the Member shall have the right to exchange all of the Member’s Equitized PIPR Units that are Exchangeable PIPR Units for Shares at such times, on the terms, and subject to the conditions set forth in Section 7.03 of the Operating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in Section 7.03(a) of the Operating Agreement to the contrary, in no event shall Lazard Group be permitted to defer an exchange of the Member’s Exchangeable PIPR Units if the Member is an “officer” within the meaning of Section 16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right="140" w:firstLine="885"/>
        <w:spacing w:after="0" w:line="236" w:lineRule="auto"/>
        <w:tabs>
          <w:tab w:leader="none" w:pos="123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the right to require the exchange of any or all Equitized PIPR Units that the Member has received pursuant to this Agreement for Shares in accordance with Section 7.03 of the Operating Agreement. In the event that the Committee requires any such exchange prior to the Vesting Date, then the Shares that the Member receives will be considered an Unvested Award until the Vesting Date and will be subject to the forfeiture provisions in Section 1 of this</w:t>
      </w:r>
    </w:p>
    <w:p>
      <w:pPr>
        <w:spacing w:after="0" w:line="1" w:lineRule="exact"/>
        <w:rPr>
          <w:rFonts w:ascii="Times New Roman" w:cs="Times New Roman" w:eastAsia="Times New Roman" w:hAnsi="Times New Roman"/>
          <w:sz w:val="22"/>
          <w:szCs w:val="22"/>
          <w:color w:val="auto"/>
        </w:rPr>
      </w:pPr>
    </w:p>
    <w:p>
      <w:pPr>
        <w:ind w:right="2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Agreement. Notwithstanding anything in this Agreement, the Plan or the Operating Agreement to the contrary, in the event that the Committee requires an exchange of Equitized PIPR Units for Shares, subject to Section 7.03(f) of the Operating Agreement, applicable law and any Company policies that impose trading restrictions (such as blackout periods), the Shares will be subject to the same vesting conditions that were applicable to the Equitized PIPR Units;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Member shall be permitted to sell the number of Shares that the Company determines to be necessary to satisfy the Member’s tax liability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74" w:name="page75"/>
    <w:bookmarkEnd w:id="74"/>
    <w:p>
      <w:pPr>
        <w:ind w:right="380"/>
        <w:spacing w:after="0" w:line="258" w:lineRule="auto"/>
        <w:rPr>
          <w:sz w:val="20"/>
          <w:szCs w:val="20"/>
          <w:color w:val="auto"/>
        </w:rPr>
      </w:pPr>
      <w:r>
        <w:rPr>
          <w:rFonts w:ascii="Times New Roman" w:cs="Times New Roman" w:eastAsia="Times New Roman" w:hAnsi="Times New Roman"/>
          <w:sz w:val="22"/>
          <w:szCs w:val="22"/>
          <w:color w:val="auto"/>
        </w:rPr>
        <w:t>incurred with respect to such Shares and in connection with such exchange. Any such Shares that the Member is entitled to sell pursuant to this Section 4(b) will no longer be considered Unvested Awards.</w:t>
      </w:r>
    </w:p>
    <w:p>
      <w:pPr>
        <w:spacing w:after="0" w:line="154" w:lineRule="exact"/>
        <w:rPr>
          <w:sz w:val="20"/>
          <w:szCs w:val="20"/>
          <w:color w:val="auto"/>
        </w:rPr>
      </w:pPr>
    </w:p>
    <w:p>
      <w:pPr>
        <w:ind w:left="2040" w:hanging="277"/>
        <w:spacing w:after="0"/>
        <w:tabs>
          <w:tab w:leader="none" w:pos="2040" w:val="left"/>
        </w:tabs>
        <w:numPr>
          <w:ilvl w:val="1"/>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w:t>
      </w:r>
    </w:p>
    <w:p>
      <w:pPr>
        <w:spacing w:after="0" w:line="210" w:lineRule="exact"/>
        <w:rPr>
          <w:rFonts w:ascii="Times New Roman" w:cs="Times New Roman" w:eastAsia="Times New Roman" w:hAnsi="Times New Roman"/>
          <w:sz w:val="22"/>
          <w:szCs w:val="22"/>
          <w:b w:val="1"/>
          <w:bCs w:val="1"/>
          <w:color w:val="auto"/>
        </w:rPr>
      </w:pPr>
    </w:p>
    <w:p>
      <w:pPr>
        <w:ind w:right="120" w:firstLine="885"/>
        <w:spacing w:after="0" w:line="235" w:lineRule="auto"/>
        <w:tabs>
          <w:tab w:leader="none" w:pos="122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by the Committee, the PIPR Units shall not be transferrable by the Member except as set forth in Section 7.02(c) of the Operating Agreement, and the Restricted Shares shall not be transferable by the Member by means of sale, assignment, exchange, encumbrance, pledge, hedge or otherwise, except (i) upon the death of the Member, a transfer by operation of law to the Member’s estate, direct descendants or spouse or (ii) to an affiliate of the Company in exchange solely for affiliate equity interests. In the event of any transfer pursuant Section 7.02(c) of the Operating Agreement or any transfer pursuant to the preceding clause (i) or (ii) of this Section 5(a), any obligations of the Member to claim tax benefits or to refund amounts to the Company or Lazard Group shall be binding upon the relevant Transferee.</w:t>
      </w:r>
    </w:p>
    <w:p>
      <w:pPr>
        <w:spacing w:after="0" w:line="183" w:lineRule="exact"/>
        <w:rPr>
          <w:rFonts w:ascii="Times New Roman" w:cs="Times New Roman" w:eastAsia="Times New Roman" w:hAnsi="Times New Roman"/>
          <w:sz w:val="22"/>
          <w:szCs w:val="22"/>
          <w:color w:val="auto"/>
        </w:rPr>
      </w:pPr>
    </w:p>
    <w:p>
      <w:pPr>
        <w:ind w:right="180" w:firstLine="885"/>
        <w:spacing w:after="0" w:line="255" w:lineRule="auto"/>
        <w:tabs>
          <w:tab w:leader="none" w:pos="123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Unvested Awards that are Shares shall be evidenced in such manner as the Committee may deem appropriate, including book-entry registration or issuance of one or more stock certificates. Any certificate or book entry credit delivered or entered in respect thereof pursuant to Section 4(b) of this Agreement shall be registered in the name of the Member and shall bear an appropriate legend referring to the terms, conditions and restrictions applicable thereto, substantially in the following form:</w:t>
      </w:r>
    </w:p>
    <w:p>
      <w:pPr>
        <w:spacing w:after="0" w:line="162" w:lineRule="exact"/>
        <w:rPr>
          <w:sz w:val="20"/>
          <w:szCs w:val="20"/>
          <w:color w:val="auto"/>
        </w:rPr>
      </w:pPr>
    </w:p>
    <w:p>
      <w:pPr>
        <w:ind w:left="880" w:right="140"/>
        <w:spacing w:after="0" w:line="255" w:lineRule="auto"/>
        <w:rPr>
          <w:sz w:val="20"/>
          <w:szCs w:val="20"/>
          <w:color w:val="auto"/>
        </w:rPr>
      </w:pPr>
      <w:r>
        <w:rPr>
          <w:rFonts w:ascii="Times New Roman" w:cs="Times New Roman" w:eastAsia="Times New Roman" w:hAnsi="Times New Roman"/>
          <w:sz w:val="21"/>
          <w:szCs w:val="21"/>
          <w:color w:val="auto"/>
        </w:rPr>
        <w:t>“The transferability of this certificate (if certificated) and the shares of stock represented hereby is subject to the terms and conditions (including forfeiture) of the Lazard Ltd 2018 Incentive Compensation Plan, the Amended and Restated Operating Agreement of Lazard Group LLC and an Award Agreement, as well as the terms and conditions of applicable law. Copies of such Plan, Operating Agreement and Award Agreement are on file at the offices of Lazard Ltd.”</w:t>
      </w:r>
    </w:p>
    <w:p>
      <w:pPr>
        <w:spacing w:after="0" w:line="162" w:lineRule="exact"/>
        <w:rPr>
          <w:sz w:val="20"/>
          <w:szCs w:val="20"/>
          <w:color w:val="auto"/>
        </w:rPr>
      </w:pPr>
    </w:p>
    <w:p>
      <w:pPr>
        <w:ind w:firstLine="877"/>
        <w:spacing w:after="0" w:line="234" w:lineRule="auto"/>
        <w:rPr>
          <w:sz w:val="20"/>
          <w:szCs w:val="20"/>
          <w:color w:val="auto"/>
        </w:rPr>
      </w:pPr>
      <w:r>
        <w:rPr>
          <w:rFonts w:ascii="Times New Roman" w:cs="Times New Roman" w:eastAsia="Times New Roman" w:hAnsi="Times New Roman"/>
          <w:sz w:val="22"/>
          <w:szCs w:val="22"/>
          <w:color w:val="auto"/>
        </w:rPr>
        <w:t>The Committee is likely to require that the certificates or book entry credits evidencing title of the Restricted Shares be held in custody by the escrow agent (if any) that is designated by the Company (the “</w:t>
      </w:r>
      <w:r>
        <w:rPr>
          <w:rFonts w:ascii="Times New Roman" w:cs="Times New Roman" w:eastAsia="Times New Roman" w:hAnsi="Times New Roman"/>
          <w:sz w:val="22"/>
          <w:szCs w:val="22"/>
          <w:u w:val="single" w:color="auto"/>
          <w:color w:val="auto"/>
        </w:rPr>
        <w:t>Designated Escrow Agent</w:t>
      </w:r>
      <w:r>
        <w:rPr>
          <w:rFonts w:ascii="Times New Roman" w:cs="Times New Roman" w:eastAsia="Times New Roman" w:hAnsi="Times New Roman"/>
          <w:sz w:val="22"/>
          <w:szCs w:val="22"/>
          <w:color w:val="auto"/>
        </w:rPr>
        <w:t>” which, in the absence of any such designation, shall mean the Company) until the restrictions thereon shall have lapsed and that, as a condition of receiving the Restricted Shares, the Member shall have delivered to the Company a stock power, endorsed in blank, relating to such Restricted Shares. If and when the Vesting Date occurs with respect to the Restricted Shares or the Restricted Shares otherwise become vested in accordance with Section 1(c)(i) or 1(e), provided that the Restricted Shares have not been forfeited pursuant to Section 1(b), 1(d) or 1(e)(iii), the legend set forth above shall be removed from the certificates or book entry credits evidencing such Shares within 30 days following such date. Notwithstanding the foregoing, the Designated Escrow Agent shall be entitled to hold the Restricted Shares until the Company shall have received from the Member a duly executed Form W-9 and any other information or completed forms the Company may reasonably require.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5" w:name="page76"/>
    <w:bookmarkEnd w:id="75"/>
    <w:p>
      <w:pPr>
        <w:ind w:left="1760"/>
        <w:spacing w:after="0"/>
        <w:rPr>
          <w:sz w:val="20"/>
          <w:szCs w:val="20"/>
          <w:color w:val="auto"/>
        </w:rPr>
      </w:pPr>
      <w:r>
        <w:rPr>
          <w:rFonts w:ascii="Times New Roman" w:cs="Times New Roman" w:eastAsia="Times New Roman" w:hAnsi="Times New Roman"/>
          <w:sz w:val="22"/>
          <w:szCs w:val="22"/>
          <w:b w:val="1"/>
          <w:bCs w:val="1"/>
          <w:color w:val="auto"/>
        </w:rPr>
        <w:t>6. Allocations, Distributions and Dividends.</w:t>
      </w:r>
    </w:p>
    <w:p>
      <w:pPr>
        <w:spacing w:after="0" w:line="210" w:lineRule="exact"/>
        <w:rPr>
          <w:sz w:val="20"/>
          <w:szCs w:val="20"/>
          <w:color w:val="auto"/>
        </w:rPr>
      </w:pPr>
    </w:p>
    <w:p>
      <w:pPr>
        <w:ind w:firstLine="877"/>
        <w:spacing w:after="0" w:line="232" w:lineRule="auto"/>
        <w:rPr>
          <w:sz w:val="20"/>
          <w:szCs w:val="20"/>
          <w:color w:val="auto"/>
        </w:rPr>
      </w:pPr>
      <w:r>
        <w:rPr>
          <w:rFonts w:ascii="Times New Roman" w:cs="Times New Roman" w:eastAsia="Times New Roman" w:hAnsi="Times New Roman"/>
          <w:sz w:val="22"/>
          <w:szCs w:val="22"/>
          <w:color w:val="auto"/>
        </w:rPr>
        <w:t>Allocations and distributions with respect to the PIPR Units (including tax distributions) shall be handled in the manner specified in the Operating Agreement. In the case of any Restricted Shares, any dividends or other distributions that are paid on such Restricted Shares prior to the Vesting Date (whether payable in cash or in kind) will be held by the Designated Escrow Agent and shall vest and be paid (less any taxes required to be withheld) at the time the corresponding Restricted Shares vest (it being understood that the provisions of this sentence shall not apply to any extraordinary dividends or distributions, which are addressed in Section 9 of this Agreement and Section 3(c)(i) of the Plan). In the event that any Restricted Shares are forfeited in accordance with Section 1(b), 1(d) or 1(e)(iii), all dividends held by the Designated Escrow Agent with respect to such Restricted Shares shall also be forfeited. The amount of any distributions credited under Section 6.03 of the Operating Agreement to the Member’s PIPR Units prior to the Vesting Date and any amounts that are held by the Designated Escrow Agent, are referred to herein as “</w:t>
      </w:r>
      <w:r>
        <w:rPr>
          <w:rFonts w:ascii="Times New Roman" w:cs="Times New Roman" w:eastAsia="Times New Roman" w:hAnsi="Times New Roman"/>
          <w:sz w:val="22"/>
          <w:szCs w:val="22"/>
          <w:u w:val="single" w:color="auto"/>
          <w:color w:val="auto"/>
        </w:rPr>
        <w:t>Unvested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Dividend Amounts</w:t>
      </w:r>
      <w:r>
        <w:rPr>
          <w:rFonts w:ascii="Times New Roman" w:cs="Times New Roman" w:eastAsia="Times New Roman" w:hAnsi="Times New Roman"/>
          <w:sz w:val="22"/>
          <w:szCs w:val="22"/>
          <w:color w:val="auto"/>
        </w:rPr>
        <w:t>”. Any such Unvested Dividend Amounts shall be settled through a cash payment (less any prior tax distributions pursuant to Section 6.02 of the Operating Agreement in respect of Unvested Dividend Amounts) to the Member upon the Member’s satisfaction of the Service Condition and the Performance Conditions applicable to the Unvested Awards to which such Unvested Dividend Amounts relate. Upon the forfeiture of an Unvested Award pursuant to the terms of this Agreement, all Unvested Dividend Amounts (including the amount of cash tax distributions previously paid pursuant to Section 6.02 of the Operating Agreement) allocated to the Member’s forfeited PIPR Units and any amounts that are held by the Designated Escrow Agent with respect to such Unvested Award, shall also be forfeited. The Member’s PIPR Capital that has been forfeited, canceled or terminated shall be treated as provided in Section 4.03(c)(iv) of the Operating Agreement, as applicable. From and after the Vesting Date, the rights of the Member to receive distributions with respect to any PIPR Unit shall be governed by the Operating Agreement, and the rights of the Member to receive distributions with respect to the Shares shall be the same as regular shareholders of the Company.</w:t>
      </w:r>
    </w:p>
    <w:p>
      <w:pPr>
        <w:spacing w:after="0" w:line="18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7. Tax Distributions.</w:t>
      </w:r>
    </w:p>
    <w:p>
      <w:pPr>
        <w:spacing w:after="0" w:line="210" w:lineRule="exact"/>
        <w:rPr>
          <w:sz w:val="20"/>
          <w:szCs w:val="20"/>
          <w:color w:val="auto"/>
        </w:rPr>
      </w:pPr>
    </w:p>
    <w:p>
      <w:pPr>
        <w:ind w:right="100" w:firstLine="877"/>
        <w:spacing w:after="0" w:line="248" w:lineRule="auto"/>
        <w:rPr>
          <w:sz w:val="20"/>
          <w:szCs w:val="20"/>
          <w:color w:val="auto"/>
        </w:rPr>
      </w:pPr>
      <w:r>
        <w:rPr>
          <w:rFonts w:ascii="Times New Roman" w:cs="Times New Roman" w:eastAsia="Times New Roman" w:hAnsi="Times New Roman"/>
          <w:sz w:val="21"/>
          <w:szCs w:val="21"/>
          <w:color w:val="auto"/>
        </w:rPr>
        <w:t>Tax distributions in respect of the PIPR Units shall be handled in the manner specified in Section 6.02 of the Operating Agreement. Notwithstanding anything in Section 6.02 of the Operating Agreement, if the Member forfeits any Unvested Awards because the Member is not permitted to retire pursuant to Section 1(c)(ii) above and resigns prior to the Vesting Date or is terminated by the Company for Cause and if the Member is not entitled to a sufficient amount of distributions pursuant to Section 6.02 or Section 6.03 of the Operating Agreement, then, subject to the limitations set forth in Section 6.02 of the Operating Agreement, Lazard Group shall be permitted to require the Member to repay, and the Member agrees to repay and shall be obligated to repay, Lazard Group the amount of such advance not later than 30 days following such forfeiture.</w:t>
      </w:r>
    </w:p>
    <w:p>
      <w:pPr>
        <w:spacing w:after="0" w:line="16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8. Section 83(b) Election.</w:t>
      </w:r>
    </w:p>
    <w:p>
      <w:pPr>
        <w:spacing w:after="0" w:line="210" w:lineRule="exact"/>
        <w:rPr>
          <w:sz w:val="20"/>
          <w:szCs w:val="20"/>
          <w:color w:val="auto"/>
        </w:rPr>
      </w:pPr>
    </w:p>
    <w:p>
      <w:pPr>
        <w:ind w:right="200" w:firstLine="877"/>
        <w:spacing w:after="0" w:line="258" w:lineRule="auto"/>
        <w:rPr>
          <w:sz w:val="20"/>
          <w:szCs w:val="20"/>
          <w:color w:val="auto"/>
        </w:rPr>
      </w:pPr>
      <w:r>
        <w:rPr>
          <w:rFonts w:ascii="Times New Roman" w:cs="Times New Roman" w:eastAsia="Times New Roman" w:hAnsi="Times New Roman"/>
          <w:sz w:val="22"/>
          <w:szCs w:val="22"/>
          <w:color w:val="auto"/>
        </w:rPr>
        <w:t xml:space="preserve">The Member agrees that the Member will make a protective election to be taxed immediately on the value of the PIPR Interest on the Grant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Member shall</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24" w:right="339" w:bottom="1440" w:gutter="0" w:footer="0" w:header="0"/>
        </w:sectPr>
      </w:pPr>
    </w:p>
    <w:bookmarkStart w:id="76" w:name="page77"/>
    <w:bookmarkEnd w:id="76"/>
    <w:p>
      <w:pPr>
        <w:spacing w:after="0" w:line="235" w:lineRule="auto"/>
        <w:rPr>
          <w:sz w:val="20"/>
          <w:szCs w:val="20"/>
          <w:color w:val="auto"/>
        </w:rPr>
      </w:pPr>
      <w:r>
        <w:rPr>
          <w:rFonts w:ascii="Times New Roman" w:cs="Times New Roman" w:eastAsia="Times New Roman" w:hAnsi="Times New Roman"/>
          <w:sz w:val="22"/>
          <w:szCs w:val="22"/>
          <w:color w:val="auto"/>
        </w:rPr>
        <w:t>have no liability to the Company if the Member fails to comply with this Section 8. In order to do so, the Member must file an election with the Internal Revenue Service pursuant to Section 83(b) of the Code, and the applicable Treasury Regulations thereunder (a “</w:t>
      </w:r>
      <w:r>
        <w:rPr>
          <w:rFonts w:ascii="Times New Roman" w:cs="Times New Roman" w:eastAsia="Times New Roman" w:hAnsi="Times New Roman"/>
          <w:sz w:val="22"/>
          <w:szCs w:val="22"/>
          <w:u w:val="single" w:color="auto"/>
          <w:color w:val="auto"/>
        </w:rPr>
        <w:t>Section 83(b) Election</w:t>
      </w:r>
      <w:r>
        <w:rPr>
          <w:rFonts w:ascii="Times New Roman" w:cs="Times New Roman" w:eastAsia="Times New Roman" w:hAnsi="Times New Roman"/>
          <w:sz w:val="22"/>
          <w:szCs w:val="22"/>
          <w:color w:val="auto"/>
        </w:rPr>
        <w:t>”) with respect to the PIPR Interest within 30 days following the Grant Date. The Member further agrees that, in the event that the Member receives Restricted Shares pursuant to Section 4(b) of this Agreement, the Member will make a Section 83(b) Election with respect to such Restricted Shares within 30 days following the date the Member receives such Restricted Shares. The Member will provide a copy of each such Section 83(b) Election to Lazard Group not later than ten (10) days after filing the election with the Internal Revenue Service or other governmental authority.</w:t>
      </w:r>
    </w:p>
    <w:p>
      <w:pPr>
        <w:spacing w:after="0" w:line="180" w:lineRule="exact"/>
        <w:rPr>
          <w:sz w:val="20"/>
          <w:szCs w:val="20"/>
          <w:color w:val="auto"/>
        </w:rPr>
      </w:pPr>
    </w:p>
    <w:p>
      <w:pPr>
        <w:ind w:left="2040" w:hanging="277"/>
        <w:spacing w:after="0"/>
        <w:tabs>
          <w:tab w:leader="none" w:pos="2040"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of Transfer Taxes, Fees and Other Expenses.</w:t>
      </w:r>
    </w:p>
    <w:p>
      <w:pPr>
        <w:spacing w:after="0" w:line="210" w:lineRule="exact"/>
        <w:rPr>
          <w:rFonts w:ascii="Times New Roman" w:cs="Times New Roman" w:eastAsia="Times New Roman" w:hAnsi="Times New Roman"/>
          <w:sz w:val="22"/>
          <w:szCs w:val="22"/>
          <w:b w:val="1"/>
          <w:bCs w:val="1"/>
          <w:color w:val="auto"/>
        </w:rPr>
      </w:pPr>
    </w:p>
    <w:p>
      <w:pPr>
        <w:ind w:right="240" w:firstLine="885"/>
        <w:spacing w:after="0" w:line="239" w:lineRule="auto"/>
        <w:tabs>
          <w:tab w:leader="none" w:pos="122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or to cause its applicable Affiliate to pay, any and all original issue taxes and stock transfer taxes that may be imposed on the delivery of any PIPR Units or Shares (including any Restricted Shares) pursuant to this Agreement, together with any and all other fees and expenses necessarily incurred by the Company or any of its Affiliates in connection therewith.</w:t>
      </w:r>
    </w:p>
    <w:p>
      <w:pPr>
        <w:spacing w:after="0" w:line="180" w:lineRule="exact"/>
        <w:rPr>
          <w:rFonts w:ascii="Times New Roman" w:cs="Times New Roman" w:eastAsia="Times New Roman" w:hAnsi="Times New Roman"/>
          <w:sz w:val="22"/>
          <w:szCs w:val="22"/>
          <w:color w:val="auto"/>
        </w:rPr>
      </w:pPr>
    </w:p>
    <w:p>
      <w:pPr>
        <w:ind w:right="20" w:firstLine="885"/>
        <w:spacing w:after="0" w:line="246" w:lineRule="auto"/>
        <w:tabs>
          <w:tab w:leader="none" w:pos="123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or its applicable Affiliate, pays any taxes (including any related interest, penalties or additions to tax) in respect of PIPR Units or Shares (including any Restricted Shares) on the Member’s behalf, (i) except if the Member is an “executive officer” (within the meaning of Rule 3b-7 under the Exchange Act), as may be required to comply with the Sarbanes-Oxley Act, if requested by Lazard Group, the Member agrees to reimburse and shall reimburse Lazard Group for such taxes within 30 days following the Company’s request or (ii) if such taxes are paid by Lazard Group, Lazard Group may treat any such taxes as an advance to the Member to be repaid by reducing the amount of distributions that would otherwise be made to the Member under this Agreement and the Operating Agreement; provided that the Member shall be treated as receiving such distributions, unreduced by this Section 9, for all other purposes of this Agreement and the Operating Agreement. For the avoidance of doubt, all determinations of the Managing Members in accordance with Section 5.05 of the Operating Agreement, the Tax Representative and Lazard Group in accordance with Section 5.07 of the Operating Agreement shall be binding on the Member and any Transferee.</w:t>
      </w:r>
    </w:p>
    <w:p>
      <w:pPr>
        <w:spacing w:after="0" w:line="171" w:lineRule="exact"/>
        <w:rPr>
          <w:rFonts w:ascii="Times New Roman" w:cs="Times New Roman" w:eastAsia="Times New Roman" w:hAnsi="Times New Roman"/>
          <w:sz w:val="21"/>
          <w:szCs w:val="21"/>
          <w:color w:val="auto"/>
        </w:rPr>
      </w:pPr>
    </w:p>
    <w:p>
      <w:pPr>
        <w:ind w:firstLine="885"/>
        <w:spacing w:after="0" w:line="239" w:lineRule="auto"/>
        <w:tabs>
          <w:tab w:leader="none" w:pos="122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9(a), Section 9(b) and Section 13, the Member shall be solely responsible for the payment of any taxes in respect of PIPR Units or Shares (including any Restricted Shares) (including any related interest, penalties or additions to tax) and shall hold the Company and its Affiliates and their respective directors, officers and employees harmless from any liability arising from the Member’s failure to comply with the foregoing provisions of this Section 9(c).</w:t>
      </w:r>
    </w:p>
    <w:p>
      <w:pPr>
        <w:spacing w:after="0" w:line="176" w:lineRule="exact"/>
        <w:rPr>
          <w:rFonts w:ascii="Times New Roman" w:cs="Times New Roman" w:eastAsia="Times New Roman" w:hAnsi="Times New Roman"/>
          <w:sz w:val="22"/>
          <w:szCs w:val="22"/>
          <w:color w:val="auto"/>
        </w:rPr>
      </w:pPr>
    </w:p>
    <w:p>
      <w:pPr>
        <w:ind w:left="2140" w:hanging="377"/>
        <w:spacing w:after="0"/>
        <w:tabs>
          <w:tab w:leader="none" w:pos="2140"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Unvested Awards; Adjustment Provisions.</w:t>
      </w:r>
    </w:p>
    <w:p>
      <w:pPr>
        <w:spacing w:after="0" w:line="210" w:lineRule="exact"/>
        <w:rPr>
          <w:sz w:val="20"/>
          <w:szCs w:val="20"/>
          <w:color w:val="auto"/>
        </w:rPr>
      </w:pPr>
    </w:p>
    <w:p>
      <w:pPr>
        <w:jc w:val="both"/>
        <w:ind w:right="620" w:firstLine="885"/>
        <w:spacing w:after="0" w:line="262" w:lineRule="auto"/>
        <w:tabs>
          <w:tab w:leader="none" w:pos="122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shall have the right to terminate any Non-Equitized PIPR Units on the terms and subject to the conditions set forth in Section 4.03(c)(iv) of the Operating Agreement. For purposes of Section 4.03(c)(iv) of the Operating Agreement, “replacement awards” for the terminated Non-Equitized PIPR Units shall constitute restricted stock units in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7" w:name="page78"/>
    <w:bookmarkEnd w:id="77"/>
    <w:p>
      <w:pPr>
        <w:ind w:right="400"/>
        <w:spacing w:after="0" w:line="244" w:lineRule="auto"/>
        <w:rPr>
          <w:sz w:val="20"/>
          <w:szCs w:val="20"/>
          <w:color w:val="auto"/>
        </w:rPr>
      </w:pPr>
      <w:r>
        <w:rPr>
          <w:rFonts w:ascii="Times New Roman" w:cs="Times New Roman" w:eastAsia="Times New Roman" w:hAnsi="Times New Roman"/>
          <w:sz w:val="22"/>
          <w:szCs w:val="22"/>
          <w:color w:val="auto"/>
        </w:rPr>
        <w:t>respect of Shares (or acquirer shares) or Restricted Shares (or restricted stock of an acquirer) or any other stock or cash-based Award (as defined in the Plan), which in the case of replacement awards with respect to Unvested Awards would have the same remaining vesting conditions as the applicable Non-Equitized PIPR Units.</w:t>
      </w:r>
    </w:p>
    <w:p>
      <w:pPr>
        <w:spacing w:after="0" w:line="174" w:lineRule="exact"/>
        <w:rPr>
          <w:sz w:val="20"/>
          <w:szCs w:val="20"/>
          <w:color w:val="auto"/>
        </w:rPr>
      </w:pPr>
    </w:p>
    <w:p>
      <w:pPr>
        <w:ind w:right="220" w:firstLine="885"/>
        <w:spacing w:after="0" w:line="238" w:lineRule="auto"/>
        <w:tabs>
          <w:tab w:leader="none" w:pos="123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extraordinary dividend or other extraordinary distribution (whether in the form of cash, Shares, other securities or other property), recapitalization, rights offering, stock split, reverse stock split, split-up or spin-off or any other event that constitutes an “equity restructuring” within the meaning of Topic 718 in the FASB Accounting Standards Codification with respect to Shares, the Committee shall, in the manner determined appropriate or desirable by the Committee, adjust any outstanding PIPR Units.</w:t>
      </w:r>
    </w:p>
    <w:p>
      <w:pPr>
        <w:spacing w:after="0" w:line="173" w:lineRule="exact"/>
        <w:rPr>
          <w:rFonts w:ascii="Times New Roman" w:cs="Times New Roman" w:eastAsia="Times New Roman" w:hAnsi="Times New Roman"/>
          <w:sz w:val="22"/>
          <w:szCs w:val="22"/>
          <w:color w:val="auto"/>
        </w:rPr>
      </w:pPr>
    </w:p>
    <w:p>
      <w:pPr>
        <w:ind w:left="2120" w:hanging="357"/>
        <w:spacing w:after="0"/>
        <w:tabs>
          <w:tab w:leader="none" w:pos="2120" w:val="left"/>
        </w:tabs>
        <w:numPr>
          <w:ilvl w:val="1"/>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of Agreement.</w:t>
      </w:r>
    </w:p>
    <w:p>
      <w:pPr>
        <w:spacing w:after="0" w:line="210" w:lineRule="exact"/>
        <w:rPr>
          <w:sz w:val="20"/>
          <w:szCs w:val="20"/>
          <w:color w:val="auto"/>
        </w:rPr>
      </w:pPr>
    </w:p>
    <w:p>
      <w:pPr>
        <w:ind w:right="40" w:firstLine="877"/>
        <w:spacing w:after="0" w:line="235" w:lineRule="auto"/>
        <w:rPr>
          <w:sz w:val="20"/>
          <w:szCs w:val="20"/>
          <w:color w:val="auto"/>
        </w:rPr>
      </w:pPr>
      <w:r>
        <w:rPr>
          <w:rFonts w:ascii="Times New Roman" w:cs="Times New Roman" w:eastAsia="Times New Roman" w:hAnsi="Times New Roman"/>
          <w:sz w:val="22"/>
          <w:szCs w:val="22"/>
          <w:color w:val="auto"/>
        </w:rPr>
        <w:t>Except as otherwise provided hereunder, this Agreement shall be binding upon and shall inure to the benefit of any successor or successors of the Company or Lazard Group. The invalidity or enforceability of any provision of this Agreement shall not affect the validity or enforceability of any other provision of this Agreement. Nothing in this Agreement or the Plan shall confer upon the Member any right to continue in the employ of the Company or any of its Affiliates or interfere in any way with the right of the Company or any such Affiliates to terminate the Member’s service at any time. Until Shares are actually delivered to the Member upon exchange of Equitized PIPR Units for Shares, the Member shall not have any rights as a shareholder, except as specifically provided herein.</w:t>
      </w:r>
    </w:p>
    <w:p>
      <w:pPr>
        <w:spacing w:after="0" w:line="180" w:lineRule="exact"/>
        <w:rPr>
          <w:sz w:val="20"/>
          <w:szCs w:val="20"/>
          <w:color w:val="auto"/>
        </w:rPr>
      </w:pPr>
    </w:p>
    <w:p>
      <w:pPr>
        <w:ind w:left="2140" w:hanging="377"/>
        <w:spacing w:after="0"/>
        <w:tabs>
          <w:tab w:leader="none" w:pos="2140"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Laws Applicable to Construction; Consent to Jurisdiction.</w:t>
      </w:r>
    </w:p>
    <w:p>
      <w:pPr>
        <w:spacing w:after="0" w:line="210" w:lineRule="exact"/>
        <w:rPr>
          <w:rFonts w:ascii="Times New Roman" w:cs="Times New Roman" w:eastAsia="Times New Roman" w:hAnsi="Times New Roman"/>
          <w:sz w:val="22"/>
          <w:szCs w:val="22"/>
          <w:b w:val="1"/>
          <w:bCs w:val="1"/>
          <w:color w:val="auto"/>
        </w:rPr>
      </w:pPr>
    </w:p>
    <w:p>
      <w:pPr>
        <w:ind w:firstLine="885"/>
        <w:spacing w:after="0" w:line="235" w:lineRule="auto"/>
        <w:tabs>
          <w:tab w:leader="none" w:pos="122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Operating Agreement to the contrary, this Agreement shall be governed by and construed in accordance with the laws of the State of New York (United States of America), without regard to principles of conflict of laws that could cause the application of the law of any jurisdiction other than the State of New York. In addition to the terms and conditions set forth in this Agreement and the Restrictive Covenants, the Unvested Awards are subject to the terms and conditions of the Plan, which is hereby incorporated by reference, and the PIPR Units are subject to the Operating Agreement, which is hereby incorporated by reference. By signing this Agreement, the Member agrees to and is bound by the Plan, the Operating Agreement and the Restrictive Covenants.</w:t>
      </w:r>
    </w:p>
    <w:p>
      <w:pPr>
        <w:spacing w:after="0" w:line="183" w:lineRule="exact"/>
        <w:rPr>
          <w:rFonts w:ascii="Times New Roman" w:cs="Times New Roman" w:eastAsia="Times New Roman" w:hAnsi="Times New Roman"/>
          <w:sz w:val="22"/>
          <w:szCs w:val="22"/>
          <w:color w:val="auto"/>
        </w:rPr>
      </w:pPr>
    </w:p>
    <w:p>
      <w:pPr>
        <w:ind w:right="80" w:firstLine="885"/>
        <w:spacing w:after="0" w:line="236" w:lineRule="auto"/>
        <w:tabs>
          <w:tab w:leader="none" w:pos="1237"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Operating Agreement to the contrary, subject to the provisions of Section 12(c), any controversy or claim between the Member and the Company, Lazard Group or any of its or their Affiliates arising out of or relating to or concerning the provisions of this Agreement or the Plan shall be finally settled by arbitration in New York City before, and in accordance with the rules then obtaining of, the Financial Industry Regulatory Authority (“</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or, if FINRA declines to arbitrate the matter, the American Arbitration Association (the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in accordance with the commercial arbitration rules of the AAA.</w:t>
      </w:r>
    </w:p>
    <w:p>
      <w:pPr>
        <w:spacing w:after="0" w:line="182" w:lineRule="exact"/>
        <w:rPr>
          <w:rFonts w:ascii="Times New Roman" w:cs="Times New Roman" w:eastAsia="Times New Roman" w:hAnsi="Times New Roman"/>
          <w:sz w:val="22"/>
          <w:szCs w:val="22"/>
          <w:color w:val="auto"/>
        </w:rPr>
      </w:pPr>
    </w:p>
    <w:p>
      <w:pPr>
        <w:jc w:val="both"/>
        <w:ind w:right="220" w:firstLine="885"/>
        <w:spacing w:after="0" w:line="244" w:lineRule="auto"/>
        <w:tabs>
          <w:tab w:leader="none" w:pos="122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12(b), and in addition to its right to submit any dispute or controversy to arbitration in accordance with Section 12(b), the Company or Lazard Group may submit any dispute or controversy hereunder to arbitration in accordance with</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8" w:name="page79"/>
    <w:bookmarkEnd w:id="78"/>
    <w:p>
      <w:pPr>
        <w:ind w:right="80"/>
        <w:spacing w:after="0" w:line="234" w:lineRule="auto"/>
        <w:rPr>
          <w:sz w:val="20"/>
          <w:szCs w:val="20"/>
          <w:color w:val="auto"/>
        </w:rPr>
      </w:pPr>
      <w:r>
        <w:rPr>
          <w:rFonts w:ascii="Times New Roman" w:cs="Times New Roman" w:eastAsia="Times New Roman" w:hAnsi="Times New Roman"/>
          <w:sz w:val="22"/>
          <w:szCs w:val="22"/>
          <w:color w:val="auto"/>
        </w:rPr>
        <w:t>Section 10.05 of the Operating Agreement or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Restrictive Covenants, or to enforce an arbitration award, and, for the purposes of this Section 12(c), the Member (i) expressly consents to the application of Section 12(d) to any such action or proceeding, (ii) agrees that proof shall not be required that monetary damages for breach of the provisions of the Restrictive Covenants or this Agreement would be difficult to calculate and that remedies at law would be inadequate, and (iii) irrevocably appoints the General Counsel of the Company as the Member’s agent for service of process in connection with any such action or proceeding, who shall promptly advise the Member of any such service of process by notifying the Member at the last address on file in the Company’s records.</w:t>
      </w:r>
    </w:p>
    <w:p>
      <w:pPr>
        <w:spacing w:after="0" w:line="184" w:lineRule="exact"/>
        <w:rPr>
          <w:sz w:val="20"/>
          <w:szCs w:val="20"/>
          <w:color w:val="auto"/>
        </w:rPr>
      </w:pPr>
    </w:p>
    <w:p>
      <w:pPr>
        <w:ind w:right="40" w:firstLine="885"/>
        <w:spacing w:after="0" w:line="245" w:lineRule="auto"/>
        <w:tabs>
          <w:tab w:leader="none" w:pos="1237"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the Operating Agreement to the contrary, the Member, the Company and Lazard Group hereby irrevocably submit to the exclusive jurisdiction of any state or federal court located in the City of New York over any suit, action, or proceeding arising out of, relating to or in connection with this Agreement or the Plan that is not otherwise required to be arbitrated or resolved in accordance with the provisions of Section 12(b). This includes any suit, action or proceeding to compel arbitration or to enforce an arbitration award. The Member, the Company and Lazard Group acknowledge that the forum designated by this Section 12(d) has a reasonable relation to this Agreement, and to the Member’s relationship to the</w:t>
      </w:r>
    </w:p>
    <w:p>
      <w:pPr>
        <w:spacing w:after="0" w:line="3" w:lineRule="exact"/>
        <w:rPr>
          <w:rFonts w:ascii="Times New Roman" w:cs="Times New Roman" w:eastAsia="Times New Roman" w:hAnsi="Times New Roman"/>
          <w:sz w:val="21"/>
          <w:szCs w:val="21"/>
          <w:color w:val="auto"/>
        </w:rPr>
      </w:pPr>
    </w:p>
    <w:p>
      <w:pPr>
        <w:ind w:right="2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Notwithstanding the foregoing, nothing herein shall preclude the Company, Lazard Group or the Member from bringing any action or proceeding in any other court for the purpose of enforcing the provisions of Section 12(a) or this Section 12(d). The agreement of the Company, Lazard Group and the Member as to forum is independent of the law that may be applied in the action, and the Company, Lazard Group and the Member agree to such forum even if the forum may under applicable law choose to apply non-forum law. The Member, the Company and Lazard Group hereby waive, to the fullest extent permitted by applicable law, any objection which the Member, the Company or Lazard Group now or hereafter may have to personal jurisdiction or to the laying of venue of any such suit, action or proceeding in any court referred to in this Section 12(d). The Member, the Company and Lazard Group undertake not to commence any action arising out of or relating to or in connection with this Agreement in any forum other than a forum described in this Section 12(d), or, to the extent applicable, Section 12(b). The Member, the Company and Lazard Group agree that, to the fullest extent permitted by applicable law, a final and non-appealable judgment in any such suit, action or proceeding in any such court shall be conclusive and binding upon the Member, the Company and Lazard Group, as applicable.</w:t>
      </w:r>
    </w:p>
    <w:p>
      <w:pPr>
        <w:spacing w:after="0" w:line="172" w:lineRule="exact"/>
        <w:rPr>
          <w:rFonts w:ascii="Times New Roman" w:cs="Times New Roman" w:eastAsia="Times New Roman" w:hAnsi="Times New Roman"/>
          <w:sz w:val="21"/>
          <w:szCs w:val="21"/>
          <w:color w:val="auto"/>
        </w:rPr>
      </w:pPr>
    </w:p>
    <w:p>
      <w:pPr>
        <w:ind w:left="2140" w:hanging="377"/>
        <w:spacing w:after="0"/>
        <w:tabs>
          <w:tab w:leader="none" w:pos="2140"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 of the Code.</w:t>
      </w:r>
    </w:p>
    <w:p>
      <w:pPr>
        <w:spacing w:after="0" w:line="210" w:lineRule="exact"/>
        <w:rPr>
          <w:sz w:val="20"/>
          <w:szCs w:val="20"/>
          <w:color w:val="auto"/>
        </w:rPr>
      </w:pPr>
    </w:p>
    <w:p>
      <w:pPr>
        <w:ind w:firstLine="877"/>
        <w:spacing w:after="0" w:line="236" w:lineRule="auto"/>
        <w:rPr>
          <w:sz w:val="20"/>
          <w:szCs w:val="20"/>
          <w:color w:val="auto"/>
        </w:rPr>
      </w:pPr>
      <w:r>
        <w:rPr>
          <w:rFonts w:ascii="Times New Roman" w:cs="Times New Roman" w:eastAsia="Times New Roman" w:hAnsi="Times New Roman"/>
          <w:sz w:val="22"/>
          <w:szCs w:val="22"/>
          <w:color w:val="auto"/>
        </w:rPr>
        <w:t>It is intended that the PIPR Units shall comply with or shall be exempt from Section 409A of the Code. In the event that it shall be determined that the PIPR Units are subject to and are not in compliance with Section 409A of the Code and any payment that is paid or payable in respect of the PIPR Units pursuant to this Agreement, the Plan or the Operating Agreement is subject to the additional tax described in Section 409A(a)(1)(B)(i)(II) of the Code (to the extent that the Member incurs the additional tax) or any penalties are incurred by the Member with respect to such additional tax or any premium interest tax under Section 409A of the Code (such</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79" w:name="page80"/>
    <w:bookmarkEnd w:id="79"/>
    <w:p>
      <w:pPr>
        <w:ind w:right="100"/>
        <w:spacing w:after="0" w:line="235" w:lineRule="auto"/>
        <w:rPr>
          <w:sz w:val="20"/>
          <w:szCs w:val="20"/>
          <w:color w:val="auto"/>
        </w:rPr>
      </w:pPr>
      <w:r>
        <w:rPr>
          <w:rFonts w:ascii="Times New Roman" w:cs="Times New Roman" w:eastAsia="Times New Roman" w:hAnsi="Times New Roman"/>
          <w:sz w:val="22"/>
          <w:szCs w:val="22"/>
          <w:color w:val="auto"/>
        </w:rPr>
        <w:t>tax, together with any such penalties and premium interest tax, are hereinafter collectively referred to as the “</w:t>
      </w:r>
      <w:r>
        <w:rPr>
          <w:rFonts w:ascii="Times New Roman" w:cs="Times New Roman" w:eastAsia="Times New Roman" w:hAnsi="Times New Roman"/>
          <w:sz w:val="22"/>
          <w:szCs w:val="22"/>
          <w:u w:val="single" w:color="auto"/>
          <w:color w:val="auto"/>
        </w:rPr>
        <w:t>409A Tax</w:t>
      </w:r>
      <w:r>
        <w:rPr>
          <w:rFonts w:ascii="Times New Roman" w:cs="Times New Roman" w:eastAsia="Times New Roman" w:hAnsi="Times New Roman"/>
          <w:sz w:val="22"/>
          <w:szCs w:val="22"/>
          <w:color w:val="auto"/>
        </w:rPr>
        <w:t>”), then the Member shall be entitled to receive an additional payment (an “</w:t>
      </w:r>
      <w:r>
        <w:rPr>
          <w:rFonts w:ascii="Times New Roman" w:cs="Times New Roman" w:eastAsia="Times New Roman" w:hAnsi="Times New Roman"/>
          <w:sz w:val="22"/>
          <w:szCs w:val="22"/>
          <w:u w:val="single" w:color="auto"/>
          <w:color w:val="auto"/>
        </w:rPr>
        <w:t>Indemnity Payment</w:t>
      </w:r>
      <w:r>
        <w:rPr>
          <w:rFonts w:ascii="Times New Roman" w:cs="Times New Roman" w:eastAsia="Times New Roman" w:hAnsi="Times New Roman"/>
          <w:sz w:val="22"/>
          <w:szCs w:val="22"/>
          <w:color w:val="auto"/>
        </w:rPr>
        <w:t>”) in an amount such that after payment by the Member of all taxes (including any interest or penalties imposed with respect to such taxes), including, without limitation, any income taxes (and any interest and penalties imposed with respect thereto) and 409A Tax imposed upon the Indemnity Payment, the Member retains an amount of the Indemnity Payment equal to the 409A Tax imposed upon the payments. All determinations required to be made under this Section 13, including whether and when a Indemnity Payment is required and the amount of such Indemnity Payment and the assumptions to be utilized in arriving at such determination, shall be made by the Managing Members in accordance with Section 5.05 of the Operating Agreement.</w:t>
      </w:r>
    </w:p>
    <w:p>
      <w:pPr>
        <w:spacing w:after="0" w:line="179" w:lineRule="exact"/>
        <w:rPr>
          <w:sz w:val="20"/>
          <w:szCs w:val="20"/>
          <w:color w:val="auto"/>
        </w:rPr>
      </w:pPr>
    </w:p>
    <w:p>
      <w:pPr>
        <w:ind w:right="40" w:firstLine="877"/>
        <w:spacing w:after="0" w:line="246" w:lineRule="auto"/>
        <w:rPr>
          <w:sz w:val="20"/>
          <w:szCs w:val="20"/>
          <w:color w:val="auto"/>
        </w:rPr>
      </w:pPr>
      <w:r>
        <w:rPr>
          <w:rFonts w:ascii="Times New Roman" w:cs="Times New Roman" w:eastAsia="Times New Roman" w:hAnsi="Times New Roman"/>
          <w:sz w:val="21"/>
          <w:szCs w:val="21"/>
          <w:color w:val="auto"/>
        </w:rPr>
        <w:t xml:space="preserve">Any Indemnity Payment, as determined pursuant to this Section 13, shall be paid by Lazard Group to the Member within 30 days of the receipt of the Managing Members’ determination;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Indemnity Payment shall in all events be paid no later than the end of the Member’s taxable year next following the Member’s taxable year in which the 409A Tax (and any income or other related taxes or interest or penalties thereon) on a payment are remitted to the Internal Revenue Service or any other applicable taxing authority or, in the case of amounts relating to a claim that does not result in the remittance of any federal, state, local and foreign income, excise, social security and other taxes, the calendar year in which the claim is finally settled or otherwise resolved. Notwithstanding any other provision of this Section 13, Lazard Group may, in its sole discretion, following reasonable notice to the Member, withhold and pay over to the Internal Revenue Service or any other applicable taxing authority, for the benefit of the Member, all or any portion of any Indemnity Payment, and the Member hereby consents to such withholding.</w:t>
      </w:r>
    </w:p>
    <w:p>
      <w:pPr>
        <w:spacing w:after="0" w:line="176" w:lineRule="exact"/>
        <w:rPr>
          <w:sz w:val="20"/>
          <w:szCs w:val="20"/>
          <w:color w:val="auto"/>
        </w:rPr>
      </w:pPr>
    </w:p>
    <w:p>
      <w:pPr>
        <w:ind w:right="140" w:firstLine="877"/>
        <w:spacing w:after="0" w:line="244" w:lineRule="auto"/>
        <w:rPr>
          <w:sz w:val="20"/>
          <w:szCs w:val="20"/>
          <w:color w:val="auto"/>
        </w:rPr>
      </w:pPr>
      <w:r>
        <w:rPr>
          <w:rFonts w:ascii="Times New Roman" w:cs="Times New Roman" w:eastAsia="Times New Roman" w:hAnsi="Times New Roman"/>
          <w:sz w:val="22"/>
          <w:szCs w:val="22"/>
          <w:color w:val="auto"/>
        </w:rPr>
        <w:t>For purposes of Section 409A of the Code, each installment payable to the Member pursuant to this Agreement shall be deemed to be a “separate payment” within the meaning of Treas. Reg. Section 1.409A-2(b)(iii) or any successor thereto. The provisions of Section 12 of the Plan are hereby incorporated by reference.</w:t>
      </w:r>
    </w:p>
    <w:p>
      <w:pPr>
        <w:spacing w:after="0" w:line="17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14. Conflicts and Interpretation.</w:t>
      </w:r>
    </w:p>
    <w:p>
      <w:pPr>
        <w:spacing w:after="0" w:line="210" w:lineRule="exact"/>
        <w:rPr>
          <w:sz w:val="20"/>
          <w:szCs w:val="20"/>
          <w:color w:val="auto"/>
        </w:rPr>
      </w:pPr>
    </w:p>
    <w:p>
      <w:pPr>
        <w:ind w:firstLine="877"/>
        <w:spacing w:after="0" w:line="234" w:lineRule="auto"/>
        <w:rPr>
          <w:sz w:val="20"/>
          <w:szCs w:val="20"/>
          <w:color w:val="auto"/>
        </w:rPr>
      </w:pPr>
      <w:r>
        <w:rPr>
          <w:rFonts w:ascii="Times New Roman" w:cs="Times New Roman" w:eastAsia="Times New Roman" w:hAnsi="Times New Roman"/>
          <w:sz w:val="22"/>
          <w:szCs w:val="22"/>
          <w:color w:val="auto"/>
        </w:rPr>
        <w:t xml:space="preserve">In the event of any conflict between the terms of the Operating Agreement, the Plan and/or this Agreement relating to PIPR Units, the agreements shall take precedence in the following order: (a) this Agreement, (b) the Operating Agreement and (c) the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Sections 7.03(b) and 10.02 of the Operating Agreement shall take precedence over the terms of this Agreement. Except as expressly set forth in this Agreement with respect to PIPR Units, the Operating Agreement shall govern the Member’s rights and obligations with respect to Lazard Group under the Operating Agreement. In the event of any ambiguity in this Agreement, or any matters as to which this Agreement is silent, the Plan shall govern including, without limitation, the provisions thereof pursuant to which the Committee has the power, among others, to (i) interpret the Plan, (ii) prescribe, amend and rescind rules and regulations relating to the Plan, and (iii) make all other determinations deemed necessary or advisable for the administration of the Plan.</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80" w:name="page81"/>
    <w:bookmarkEnd w:id="80"/>
    <w:p>
      <w:pPr>
        <w:ind w:left="1760"/>
        <w:spacing w:after="0"/>
        <w:rPr>
          <w:sz w:val="20"/>
          <w:szCs w:val="20"/>
          <w:color w:val="auto"/>
        </w:rPr>
      </w:pPr>
      <w:r>
        <w:rPr>
          <w:rFonts w:ascii="Times New Roman" w:cs="Times New Roman" w:eastAsia="Times New Roman" w:hAnsi="Times New Roman"/>
          <w:sz w:val="22"/>
          <w:szCs w:val="22"/>
          <w:b w:val="1"/>
          <w:bCs w:val="1"/>
          <w:color w:val="auto"/>
        </w:rPr>
        <w:t>15. Amendment.</w:t>
      </w:r>
    </w:p>
    <w:p>
      <w:pPr>
        <w:spacing w:after="0" w:line="210" w:lineRule="exact"/>
        <w:rPr>
          <w:sz w:val="20"/>
          <w:szCs w:val="20"/>
          <w:color w:val="auto"/>
        </w:rPr>
      </w:pPr>
    </w:p>
    <w:p>
      <w:pPr>
        <w:ind w:firstLine="877"/>
        <w:spacing w:after="0" w:line="234" w:lineRule="auto"/>
        <w:rPr>
          <w:sz w:val="20"/>
          <w:szCs w:val="20"/>
          <w:color w:val="auto"/>
        </w:rPr>
      </w:pPr>
      <w:r>
        <w:rPr>
          <w:rFonts w:ascii="Times New Roman" w:cs="Times New Roman" w:eastAsia="Times New Roman" w:hAnsi="Times New Roman"/>
          <w:sz w:val="22"/>
          <w:szCs w:val="22"/>
          <w:color w:val="auto"/>
        </w:rPr>
        <w:t>Except for the actions specifically described in Section 10 of this Agreement, any modification, amendment or waiver to this Agreement that shall materially impair the rights of the Member shall require an instrument in writing to be signed by the Member, the Company and Lazard Group, except such a modification, amendment or waiver made to cause the Plan, the Operating Agreement or this Agreement to comply with applicable law, tax rules, stock exchange rules or accounting rules and which is made to similarly situated service providers. Any compensation or benefits that are provided to the Member in connection with any such amendment shall be taken into account for purposes of determining whether the Member’s rights would be materially impaired by such amendment. The waiver by any of the Member, the Company or Lazard Group of compliance with any provision of this Agreement shall not operate or be construed as a waiver of any other provision of this Agreement, or of any subsequent breach by such party of a provision of this Agreement.</w:t>
      </w:r>
    </w:p>
    <w:p>
      <w:pPr>
        <w:spacing w:after="0" w:line="18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16. Headings.</w:t>
      </w:r>
    </w:p>
    <w:p>
      <w:pPr>
        <w:spacing w:after="0" w:line="210" w:lineRule="exact"/>
        <w:rPr>
          <w:sz w:val="20"/>
          <w:szCs w:val="20"/>
          <w:color w:val="auto"/>
        </w:rPr>
      </w:pPr>
    </w:p>
    <w:p>
      <w:pPr>
        <w:ind w:right="240" w:firstLine="877"/>
        <w:spacing w:after="0" w:line="258" w:lineRule="auto"/>
        <w:rPr>
          <w:sz w:val="20"/>
          <w:szCs w:val="20"/>
          <w:color w:val="auto"/>
        </w:rPr>
      </w:pPr>
      <w:r>
        <w:rPr>
          <w:rFonts w:ascii="Times New Roman" w:cs="Times New Roman" w:eastAsia="Times New Roman" w:hAnsi="Times New Roman"/>
          <w:sz w:val="22"/>
          <w:szCs w:val="22"/>
          <w:color w:val="auto"/>
        </w:rPr>
        <w:t>The headings of paragraphs herein are included solely for convenience of reference and shall not affect the meaning or interpretation of any of the provisions of this Agreement.</w:t>
      </w:r>
    </w:p>
    <w:p>
      <w:pPr>
        <w:spacing w:after="0" w:line="15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17. Counterparts.</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This Agreement may be executed in counterparts, which together shall constitute one and the same original.</w:t>
      </w: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4" w:right="279" w:bottom="1440" w:gutter="0" w:footer="0" w:header="0"/>
        </w:sectPr>
      </w:pPr>
    </w:p>
    <w:bookmarkStart w:id="81" w:name="page82"/>
    <w:bookmarkEnd w:id="81"/>
    <w:p>
      <w:pPr>
        <w:ind w:firstLine="1755"/>
        <w:spacing w:after="0" w:line="244" w:lineRule="auto"/>
        <w:rPr>
          <w:sz w:val="20"/>
          <w:szCs w:val="20"/>
          <w:color w:val="auto"/>
        </w:rPr>
      </w:pPr>
      <w:r>
        <w:rPr>
          <w:rFonts w:ascii="Times New Roman" w:cs="Times New Roman" w:eastAsia="Times New Roman" w:hAnsi="Times New Roman"/>
          <w:sz w:val="22"/>
          <w:szCs w:val="22"/>
          <w:color w:val="auto"/>
        </w:rPr>
        <w:t>IN WITNESS WHEREOF, as of the date first above written, each of the Company and Lazard Group has caused this Agreement to be executed on behalf of itself or its applicable Affiliate by a duly authorized officer and the Member has hereunto set the Member’s hand.</w:t>
      </w:r>
    </w:p>
    <w:p>
      <w:pPr>
        <w:spacing w:after="0" w:line="1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LAZARD LTD</w:t>
      </w: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11430</wp:posOffset>
            </wp:positionV>
            <wp:extent cx="32499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22"/>
          <w:szCs w:val="22"/>
          <w:color w:val="auto"/>
        </w:rPr>
        <w:t>Name:</w:t>
      </w:r>
    </w:p>
    <w:p>
      <w:pPr>
        <w:ind w:left="630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LAZARD GROUP LLC</w:t>
      </w: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11430</wp:posOffset>
            </wp:positionV>
            <wp:extent cx="32499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22"/>
          <w:szCs w:val="22"/>
          <w:color w:val="auto"/>
        </w:rPr>
        <w:t>Name:</w:t>
      </w:r>
    </w:p>
    <w:p>
      <w:pPr>
        <w:ind w:left="6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2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-151130</wp:posOffset>
            </wp:positionV>
            <wp:extent cx="32499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44" w:right="319" w:bottom="1440" w:gutter="0" w:footer="0" w:header="0"/>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Appendix A</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Performance Criteria and Calculation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204470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2"/>
          <w:szCs w:val="22"/>
          <w:u w:val="single" w:color="auto"/>
          <w:color w:val="auto"/>
        </w:rPr>
        <w:t>Appendix B</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Restrictive Covenants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9019"/>
          </w:cols>
          <w:pgMar w:left="1440" w:top="328"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2019 of Lazard Group LLC (the “Registrant”);</w:t>
      </w:r>
    </w:p>
    <w:p>
      <w:pPr>
        <w:spacing w:after="0" w:line="225"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526"/>
        <w:spacing w:after="0" w:line="266" w:lineRule="auto"/>
        <w:tabs>
          <w:tab w:leader="none" w:pos="69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20" w:firstLine="499"/>
        <w:spacing w:after="0" w:line="266" w:lineRule="auto"/>
        <w:tabs>
          <w:tab w:leader="none" w:pos="125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20" w:firstLine="499"/>
        <w:spacing w:after="0" w:line="266" w:lineRule="auto"/>
        <w:tabs>
          <w:tab w:leader="none" w:pos="127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00" w:firstLine="499"/>
        <w:spacing w:after="0" w:line="282" w:lineRule="auto"/>
        <w:tabs>
          <w:tab w:leader="none" w:pos="125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499"/>
        <w:spacing w:after="0" w:line="266" w:lineRule="auto"/>
        <w:tabs>
          <w:tab w:leader="none" w:pos="127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80" w:firstLine="526"/>
        <w:spacing w:after="0" w:line="282" w:lineRule="auto"/>
        <w:tabs>
          <w:tab w:leader="none" w:pos="69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60" w:firstLine="499"/>
        <w:spacing w:after="0" w:line="282" w:lineRule="auto"/>
        <w:tabs>
          <w:tab w:leader="none" w:pos="125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80" w:firstLine="499"/>
        <w:spacing w:after="0" w:line="282" w:lineRule="auto"/>
        <w:tabs>
          <w:tab w:leader="none" w:pos="127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M. Jacobs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333"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2019 of Lazard Group LLC (the “Registrant”);</w:t>
      </w:r>
    </w:p>
    <w:p>
      <w:pPr>
        <w:spacing w:after="0" w:line="225"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526"/>
        <w:spacing w:after="0" w:line="266" w:lineRule="auto"/>
        <w:tabs>
          <w:tab w:leader="none" w:pos="69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20" w:firstLine="499"/>
        <w:spacing w:after="0" w:line="266" w:lineRule="auto"/>
        <w:tabs>
          <w:tab w:leader="none" w:pos="125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20" w:firstLine="499"/>
        <w:spacing w:after="0" w:line="266" w:lineRule="auto"/>
        <w:tabs>
          <w:tab w:leader="none" w:pos="127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00" w:firstLine="499"/>
        <w:spacing w:after="0" w:line="282" w:lineRule="auto"/>
        <w:tabs>
          <w:tab w:leader="none" w:pos="125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499"/>
        <w:spacing w:after="0" w:line="266" w:lineRule="auto"/>
        <w:tabs>
          <w:tab w:leader="none" w:pos="127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80" w:firstLine="526"/>
        <w:spacing w:after="0" w:line="282" w:lineRule="auto"/>
        <w:tabs>
          <w:tab w:leader="none" w:pos="69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60" w:firstLine="499"/>
        <w:spacing w:after="0" w:line="282" w:lineRule="auto"/>
        <w:tabs>
          <w:tab w:leader="none" w:pos="125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80" w:firstLine="499"/>
        <w:spacing w:after="0" w:line="282" w:lineRule="auto"/>
        <w:tabs>
          <w:tab w:leader="none" w:pos="127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Evan L. Russo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333"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Group LLC (the “Registrant”) hereby certifies that the Registrant’s Quarterly Report on Form 10-Q for the quarter ended March 31,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Kenneth M. Jacobs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ind w:right="780" w:firstLine="51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17"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Group LLC (the “Registrant”) hereby certifies that the Registrant’s Quarterly Report on Form 10-Q for the quarter ended March 31,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tab/>
        <w:t>Evan L. Russo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780" w:firstLine="51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decimal"/>
      <w:start w:val="2"/>
    </w:lvl>
  </w:abstractNum>
  <w:abstractNum w:abstractNumId="6">
    <w:nsid w:val="2A487CB0"/>
    <w:multiLevelType w:val="hybridMultilevel"/>
    <w:lvl w:ilvl="0">
      <w:lvlJc w:val="left"/>
      <w:lvlText w:val="%1."/>
      <w:numFmt w:val="decimal"/>
      <w:start w:val="3"/>
    </w:lvl>
  </w:abstractNum>
  <w:abstractNum w:abstractNumId="7">
    <w:nsid w:val="1D4ED43B"/>
    <w:multiLevelType w:val="hybridMultilevel"/>
    <w:lvl w:ilvl="0">
      <w:lvlJc w:val="left"/>
      <w:lvlText w:val="(%1)"/>
      <w:numFmt w:val="lowerLetter"/>
      <w:start w:val="1"/>
    </w:lvl>
  </w:abstractNum>
  <w:abstractNum w:abstractNumId="8">
    <w:nsid w:val="725A06FB"/>
    <w:multiLevelType w:val="hybridMultilevel"/>
    <w:lvl w:ilvl="0">
      <w:lvlJc w:val="left"/>
      <w:lvlText w:val="(%1)"/>
      <w:numFmt w:val="lowerLetter"/>
      <w:start w:val="2"/>
    </w:lvl>
  </w:abstractNum>
  <w:abstractNum w:abstractNumId="9">
    <w:nsid w:val="2CD89A32"/>
    <w:multiLevelType w:val="hybridMultilevel"/>
    <w:lvl w:ilvl="0">
      <w:lvlJc w:val="left"/>
      <w:lvlText w:val="%1."/>
      <w:numFmt w:val="decimal"/>
      <w:start w:val="4"/>
    </w:lvl>
  </w:abstractNum>
  <w:abstractNum w:abstractNumId="10">
    <w:nsid w:val="57E4CCAF"/>
    <w:multiLevelType w:val="hybridMultilevel"/>
    <w:lvl w:ilvl="0">
      <w:lvlJc w:val="left"/>
      <w:lvlText w:val="%1."/>
      <w:numFmt w:val="decimal"/>
      <w:start w:val="5"/>
    </w:lvl>
  </w:abstractNum>
  <w:abstractNum w:abstractNumId="11">
    <w:nsid w:val="7A6D8D3C"/>
    <w:multiLevelType w:val="hybridMultilevel"/>
    <w:lvl w:ilvl="0">
      <w:lvlJc w:val="left"/>
      <w:lvlText w:val="(%1)"/>
      <w:numFmt w:val="lowerLetter"/>
      <w:start w:val="1"/>
    </w:lvl>
  </w:abstractNum>
  <w:abstractNum w:abstractNumId="12">
    <w:nsid w:val="4B588F54"/>
    <w:multiLevelType w:val="hybridMultilevel"/>
    <w:lvl w:ilvl="0">
      <w:lvlJc w:val="left"/>
      <w:lvlText w:val="%1."/>
      <w:numFmt w:val="decimal"/>
      <w:start w:val="6"/>
    </w:lvl>
  </w:abstractNum>
  <w:abstractNum w:abstractNumId="13">
    <w:nsid w:val="542289EC"/>
    <w:multiLevelType w:val="hybridMultilevel"/>
    <w:lvl w:ilvl="0">
      <w:lvlJc w:val="left"/>
      <w:lvlText w:val="(%1)"/>
      <w:numFmt w:val="lowerLetter"/>
      <w:start w:val="1"/>
    </w:lvl>
  </w:abstractNum>
  <w:abstractNum w:abstractNumId="14">
    <w:nsid w:val="6DE91B18"/>
    <w:multiLevelType w:val="hybridMultilevel"/>
    <w:lvl w:ilvl="0">
      <w:lvlJc w:val="left"/>
      <w:lvlText w:val="(%1)"/>
      <w:numFmt w:val="lowerLetter"/>
      <w:start w:val="1"/>
    </w:lvl>
  </w:abstractNum>
  <w:abstractNum w:abstractNumId="15">
    <w:nsid w:val="38437FDB"/>
    <w:multiLevelType w:val="hybridMultilevel"/>
    <w:lvl w:ilvl="0">
      <w:lvlJc w:val="left"/>
      <w:lvlText w:val="(%1)"/>
      <w:numFmt w:val="lowerLetter"/>
      <w:start w:val="1"/>
    </w:lvl>
  </w:abstractNum>
  <w:abstractNum w:abstractNumId="16">
    <w:nsid w:val="7644A45C"/>
    <w:multiLevelType w:val="hybridMultilevel"/>
    <w:lvl w:ilvl="0">
      <w:lvlJc w:val="left"/>
      <w:lvlText w:val="%1."/>
      <w:numFmt w:val="decimal"/>
      <w:start w:val="7"/>
    </w:lvl>
  </w:abstractNum>
  <w:abstractNum w:abstractNumId="17">
    <w:nsid w:val="32FFF902"/>
    <w:multiLevelType w:val="hybridMultilevel"/>
    <w:lvl w:ilvl="0">
      <w:lvlJc w:val="left"/>
      <w:lvlText w:val="(%1)"/>
      <w:numFmt w:val="lowerLetter"/>
      <w:start w:val="1"/>
    </w:lvl>
  </w:abstractNum>
  <w:abstractNum w:abstractNumId="18">
    <w:nsid w:val="684A481A"/>
    <w:multiLevelType w:val="hybridMultilevel"/>
    <w:lvl w:ilvl="0">
      <w:lvlJc w:val="left"/>
      <w:lvlText w:val="%1."/>
      <w:numFmt w:val="decimal"/>
      <w:start w:val="8"/>
    </w:lvl>
  </w:abstractNum>
  <w:abstractNum w:abstractNumId="19">
    <w:nsid w:val="579478FE"/>
    <w:multiLevelType w:val="hybridMultilevel"/>
    <w:lvl w:ilvl="0">
      <w:lvlJc w:val="left"/>
      <w:lvlText w:val="%1."/>
      <w:numFmt w:val="decimal"/>
      <w:start w:val="9"/>
    </w:lvl>
  </w:abstractNum>
  <w:abstractNum w:abstractNumId="20">
    <w:nsid w:val="749ABB43"/>
    <w:multiLevelType w:val="hybridMultilevel"/>
    <w:lvl w:ilvl="0">
      <w:lvlJc w:val="left"/>
      <w:lvlText w:val="%1."/>
      <w:numFmt w:val="decimal"/>
      <w:start w:val="10"/>
    </w:lvl>
  </w:abstractNum>
  <w:abstractNum w:abstractNumId="21">
    <w:nsid w:val="3DC240FB"/>
    <w:multiLevelType w:val="hybridMultilevel"/>
    <w:lvl w:ilvl="0">
      <w:lvlJc w:val="left"/>
      <w:lvlText w:val="%1."/>
      <w:numFmt w:val="decimal"/>
      <w:start w:val="11"/>
    </w:lvl>
  </w:abstractNum>
  <w:abstractNum w:abstractNumId="22">
    <w:nsid w:val="1BA026FA"/>
    <w:multiLevelType w:val="hybridMultilevel"/>
    <w:lvl w:ilvl="0">
      <w:lvlJc w:val="left"/>
      <w:lvlText w:val="(%1)"/>
      <w:numFmt w:val="lowerLetter"/>
      <w:start w:val="1"/>
    </w:lvl>
  </w:abstractNum>
  <w:abstractNum w:abstractNumId="23">
    <w:nsid w:val="79A1DEAA"/>
    <w:multiLevelType w:val="hybridMultilevel"/>
    <w:lvl w:ilvl="0">
      <w:lvlJc w:val="left"/>
      <w:lvlText w:val="%1."/>
      <w:numFmt w:val="decimal"/>
      <w:start w:val="12"/>
    </w:lvl>
  </w:abstractNum>
  <w:abstractNum w:abstractNumId="24">
    <w:nsid w:val="75C6C33A"/>
    <w:multiLevelType w:val="hybridMultilevel"/>
    <w:lvl w:ilvl="0">
      <w:lvlJc w:val="left"/>
      <w:lvlText w:val="%1."/>
      <w:numFmt w:val="decimal"/>
      <w:start w:val="13"/>
    </w:lvl>
  </w:abstractNum>
  <w:abstractNum w:abstractNumId="25">
    <w:nsid w:val="12E685FB"/>
    <w:multiLevelType w:val="hybridMultilevel"/>
    <w:lvl w:ilvl="0">
      <w:lvlJc w:val="left"/>
      <w:lvlText w:val="(%1)"/>
      <w:numFmt w:val="lowerLetter"/>
      <w:start w:val="1"/>
    </w:lvl>
  </w:abstractNum>
  <w:abstractNum w:abstractNumId="26">
    <w:nsid w:val="70C6A529"/>
    <w:multiLevelType w:val="hybridMultilevel"/>
    <w:lvl w:ilvl="0">
      <w:lvlJc w:val="left"/>
      <w:lvlText w:val="%1."/>
      <w:numFmt w:val="decimal"/>
      <w:start w:val="14"/>
    </w:lvl>
  </w:abstractNum>
  <w:abstractNum w:abstractNumId="27">
    <w:nsid w:val="520EEDD1"/>
    <w:multiLevelType w:val="hybridMultilevel"/>
    <w:lvl w:ilvl="0">
      <w:lvlJc w:val="left"/>
      <w:lvlText w:val="%1."/>
      <w:numFmt w:val="decimal"/>
      <w:start w:val="15"/>
    </w:lvl>
  </w:abstractNum>
  <w:abstractNum w:abstractNumId="28">
    <w:nsid w:val="374A3FE6"/>
    <w:multiLevelType w:val="hybridMultilevel"/>
    <w:lvl w:ilvl="0">
      <w:lvlJc w:val="left"/>
      <w:lvlText w:val="%1."/>
      <w:numFmt w:val="decimal"/>
      <w:start w:val="16"/>
    </w:lvl>
  </w:abstractNum>
  <w:abstractNum w:abstractNumId="29">
    <w:nsid w:val="4F4EF005"/>
    <w:multiLevelType w:val="hybridMultilevel"/>
    <w:lvl w:ilvl="0">
      <w:lvlJc w:val="left"/>
      <w:lvlText w:val="(%1)"/>
      <w:numFmt w:val="lowerRoman"/>
      <w:start w:val="3"/>
    </w:lvl>
  </w:abstractNum>
  <w:abstractNum w:abstractNumId="30">
    <w:nsid w:val="23F9C13C"/>
    <w:multiLevelType w:val="hybridMultilevel"/>
    <w:lvl w:ilvl="0">
      <w:lvlJc w:val="left"/>
      <w:lvlText w:val="%1."/>
      <w:numFmt w:val="decimal"/>
      <w:start w:val="17"/>
    </w:lvl>
  </w:abstractNum>
  <w:abstractNum w:abstractNumId="31">
    <w:nsid w:val="649BB77C"/>
    <w:multiLevelType w:val="hybridMultilevel"/>
    <w:lvl w:ilvl="0">
      <w:lvlJc w:val="left"/>
      <w:lvlText w:val="%1."/>
      <w:numFmt w:val="decimal"/>
      <w:start w:val="18"/>
    </w:lvl>
  </w:abstractNum>
  <w:abstractNum w:abstractNumId="32">
    <w:nsid w:val="275AC794"/>
    <w:multiLevelType w:val="hybridMultilevel"/>
    <w:lvl w:ilvl="0">
      <w:lvlJc w:val="left"/>
      <w:lvlText w:val="%1."/>
      <w:numFmt w:val="decimal"/>
      <w:start w:val="19"/>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lvl w:ilvl="1">
      <w:lvlJc w:val="left"/>
      <w:lvlText w:val="(%2)"/>
      <w:numFmt w:val="lowerRoman"/>
      <w:start w:val="1"/>
    </w:lvl>
  </w:abstractNum>
  <w:abstractNum w:abstractNumId="40">
    <w:nsid w:val="741226BB"/>
    <w:multiLevelType w:val="hybridMultilevel"/>
    <w:lvl w:ilvl="0">
      <w:lvlJc w:val="left"/>
      <w:lvlText w:val="•"/>
      <w:numFmt w:val="bullet"/>
      <w:start w:val="1"/>
    </w:lvl>
    <w:lvl w:ilvl="1">
      <w:lvlJc w:val="left"/>
      <w:lvlText w:val="(%2)"/>
      <w:numFmt w:val="lowerRoman"/>
      <w:start w:val="2"/>
    </w:lvl>
  </w:abstractNum>
  <w:abstractNum w:abstractNumId="41">
    <w:nsid w:val="D34B6A8"/>
    <w:multiLevelType w:val="hybridMultilevel"/>
    <w:lvl w:ilvl="0">
      <w:lvlJc w:val="left"/>
      <w:lvlText w:val="(%1)"/>
      <w:numFmt w:val="lowerLetter"/>
      <w:start w:val="1"/>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1)"/>
      <w:numFmt w:val="lowerLetter"/>
      <w:start w:val="1"/>
    </w:lvl>
  </w:abstractNum>
  <w:abstractNum w:abstractNumId="44">
    <w:nsid w:val="61574095"/>
    <w:multiLevelType w:val="hybridMultilevel"/>
    <w:lvl w:ilvl="0">
      <w:lvlJc w:val="left"/>
      <w:lvlText w:val="(%1)"/>
      <w:numFmt w:val="lowerRoman"/>
      <w:start w:val="2"/>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lowerLetter"/>
      <w:start w:val="2"/>
    </w:lvl>
  </w:abstractNum>
  <w:abstractNum w:abstractNumId="47">
    <w:nsid w:val="579BE4F1"/>
    <w:multiLevelType w:val="hybridMultilevel"/>
    <w:lvl w:ilvl="0">
      <w:lvlJc w:val="left"/>
      <w:lvlText w:val="(%1)"/>
      <w:numFmt w:val="lowerLetter"/>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1)"/>
      <w:numFmt w:val="lowerLetter"/>
      <w:start w:val="2"/>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1)"/>
      <w:numFmt w:val="lowerRoman"/>
      <w:start w:val="3"/>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1"/>
      <w:numFmt w:val="lowerLetter"/>
      <w:start w:val="1"/>
    </w:lvl>
    <w:lvl w:ilvl="1">
      <w:lvlJc w:val="left"/>
      <w:lvlText w:val="%2."/>
      <w:numFmt w:val="decimal"/>
      <w:start w:val="1"/>
    </w:lvl>
  </w:abstractNum>
  <w:abstractNum w:abstractNumId="56">
    <w:nsid w:val="5DB70AE5"/>
    <w:multiLevelType w:val="hybridMultilevel"/>
    <w:lvl w:ilvl="0">
      <w:lvlJc w:val="left"/>
      <w:lvlText w:val="(%1)"/>
      <w:numFmt w:val="lowerLetter"/>
      <w:start w:val="1"/>
    </w:lvl>
    <w:lvl w:ilvl="1">
      <w:lvlJc w:val="left"/>
      <w:lvlText w:val="%2"/>
      <w:numFmt w:val="decimal"/>
      <w:start w:val="1"/>
    </w:lvl>
  </w:abstractNum>
  <w:abstractNum w:abstractNumId="57">
    <w:nsid w:val="100F8FCA"/>
    <w:multiLevelType w:val="hybridMultilevel"/>
    <w:lvl w:ilvl="0">
      <w:lvlJc w:val="left"/>
      <w:lvlText w:val="(%1)"/>
      <w:numFmt w:val="lowerLetter"/>
      <w:start w:val="2"/>
    </w:lvl>
  </w:abstractNum>
  <w:abstractNum w:abstractNumId="58">
    <w:nsid w:val="6590700B"/>
    <w:multiLevelType w:val="hybridMultilevel"/>
    <w:lvl w:ilvl="0">
      <w:lvlJc w:val="left"/>
      <w:lvlText w:val="(%1)"/>
      <w:numFmt w:val="lowerRoman"/>
      <w:start w:val="1"/>
    </w:lvl>
  </w:abstractNum>
  <w:abstractNum w:abstractNumId="59">
    <w:nsid w:val="15014ACB"/>
    <w:multiLevelType w:val="hybridMultilevel"/>
    <w:lvl w:ilvl="0">
      <w:lvlJc w:val="left"/>
      <w:lvlText w:val="(%1)"/>
      <w:numFmt w:val="lowerLetter"/>
      <w:start w:val="3"/>
    </w:lvl>
  </w:abstractNum>
  <w:abstractNum w:abstractNumId="60">
    <w:nsid w:val="5F5E7FD0"/>
    <w:multiLevelType w:val="hybridMultilevel"/>
    <w:lvl w:ilvl="0">
      <w:lvlJc w:val="left"/>
      <w:lvlText w:val="(%1)"/>
      <w:numFmt w:val="lowerRoman"/>
      <w:start w:val="2"/>
    </w:lvl>
  </w:abstractNum>
  <w:abstractNum w:abstractNumId="61">
    <w:nsid w:val="98A3148"/>
    <w:multiLevelType w:val="hybridMultilevel"/>
    <w:lvl w:ilvl="0">
      <w:lvlJc w:val="left"/>
      <w:lvlText w:val="(%1)"/>
      <w:numFmt w:val="lowerLetter"/>
      <w:start w:val="4"/>
    </w:lvl>
  </w:abstractNum>
  <w:abstractNum w:abstractNumId="62">
    <w:nsid w:val="799D0247"/>
    <w:multiLevelType w:val="hybridMultilevel"/>
    <w:lvl w:ilvl="0">
      <w:lvlJc w:val="left"/>
      <w:lvlText w:val="(%1)"/>
      <w:numFmt w:val="lowerLetter"/>
      <w:start w:val="5"/>
    </w:lvl>
  </w:abstractNum>
  <w:abstractNum w:abstractNumId="63">
    <w:nsid w:val="6B94764"/>
    <w:multiLevelType w:val="hybridMultilevel"/>
    <w:lvl w:ilvl="0">
      <w:lvlJc w:val="left"/>
      <w:lvlText w:val="(%1)"/>
      <w:numFmt w:val="lowerRoman"/>
      <w:start w:val="2"/>
    </w:lvl>
    <w:lvl w:ilvl="1">
      <w:lvlJc w:val="left"/>
      <w:lvlText w:val="%2."/>
      <w:numFmt w:val="decimal"/>
      <w:start w:val="2"/>
    </w:lvl>
  </w:abstractNum>
  <w:abstractNum w:abstractNumId="64">
    <w:nsid w:val="42C296BD"/>
    <w:multiLevelType w:val="hybridMultilevel"/>
    <w:lvl w:ilvl="0">
      <w:lvlJc w:val="left"/>
      <w:lvlText w:val="(%1)"/>
      <w:numFmt w:val="lowerLetter"/>
      <w:start w:val="1"/>
    </w:lvl>
  </w:abstractNum>
  <w:abstractNum w:abstractNumId="65">
    <w:nsid w:val="168E121F"/>
    <w:multiLevelType w:val="hybridMultilevel"/>
    <w:lvl w:ilvl="0">
      <w:lvlJc w:val="left"/>
      <w:lvlText w:val="(%1)"/>
      <w:numFmt w:val="lowerRoman"/>
      <w:start w:val="1"/>
    </w:lvl>
    <w:lvl w:ilvl="1">
      <w:lvlJc w:val="left"/>
      <w:lvlText w:val="%2."/>
      <w:numFmt w:val="decimal"/>
      <w:start w:val="3"/>
    </w:lvl>
  </w:abstractNum>
  <w:abstractNum w:abstractNumId="66">
    <w:nsid w:val="1EBA5D23"/>
    <w:multiLevelType w:val="hybridMultilevel"/>
    <w:lvl w:ilvl="0">
      <w:lvlJc w:val="left"/>
      <w:lvlText w:val="%1"/>
      <w:numFmt w:val="lowerLetter"/>
      <w:start w:val="1"/>
    </w:lvl>
    <w:lvl w:ilvl="1">
      <w:lvlJc w:val="left"/>
      <w:lvlText w:val="%2."/>
      <w:numFmt w:val="decimal"/>
      <w:start w:val="4"/>
    </w:lvl>
  </w:abstractNum>
  <w:abstractNum w:abstractNumId="67">
    <w:nsid w:val="661E3F1E"/>
    <w:multiLevelType w:val="hybridMultilevel"/>
    <w:lvl w:ilvl="0">
      <w:lvlJc w:val="left"/>
      <w:lvlText w:val="(%1)"/>
      <w:numFmt w:val="lowerLetter"/>
      <w:start w:val="1"/>
    </w:lvl>
    <w:lvl w:ilvl="1">
      <w:lvlJc w:val="left"/>
      <w:lvlText w:val="%2"/>
      <w:numFmt w:val="decimal"/>
      <w:start w:val="1"/>
    </w:lvl>
  </w:abstractNum>
  <w:abstractNum w:abstractNumId="68">
    <w:nsid w:val="5DC79EA8"/>
    <w:multiLevelType w:val="hybridMultilevel"/>
    <w:lvl w:ilvl="0">
      <w:lvlJc w:val="left"/>
      <w:lvlText w:val="%1"/>
      <w:numFmt w:val="lowerLetter"/>
      <w:start w:val="1"/>
    </w:lvl>
    <w:lvl w:ilvl="1">
      <w:lvlJc w:val="left"/>
      <w:lvlText w:val="%2."/>
      <w:numFmt w:val="decimal"/>
      <w:start w:val="5"/>
    </w:lvl>
  </w:abstractNum>
  <w:abstractNum w:abstractNumId="69">
    <w:nsid w:val="540A471C"/>
    <w:multiLevelType w:val="hybridMultilevel"/>
    <w:lvl w:ilvl="0">
      <w:lvlJc w:val="left"/>
      <w:lvlText w:val="(%1)"/>
      <w:numFmt w:val="lowerLetter"/>
      <w:start w:val="1"/>
    </w:lvl>
    <w:lvl w:ilvl="1">
      <w:lvlJc w:val="left"/>
      <w:lvlText w:val="%2"/>
      <w:numFmt w:val="decimal"/>
      <w:start w:val="1"/>
    </w:lvl>
  </w:abstractNum>
  <w:abstractNum w:abstractNumId="70">
    <w:nsid w:val="7BD3EE7B"/>
    <w:multiLevelType w:val="hybridMultilevel"/>
    <w:lvl w:ilvl="0">
      <w:lvlJc w:val="left"/>
      <w:lvlText w:val="%1"/>
      <w:numFmt w:val="lowerLetter"/>
      <w:start w:val="1"/>
    </w:lvl>
    <w:lvl w:ilvl="1">
      <w:lvlJc w:val="left"/>
      <w:lvlText w:val="%2."/>
      <w:numFmt w:val="decimal"/>
      <w:start w:val="9"/>
    </w:lvl>
  </w:abstractNum>
  <w:abstractNum w:abstractNumId="71">
    <w:nsid w:val="51D9C564"/>
    <w:multiLevelType w:val="hybridMultilevel"/>
    <w:lvl w:ilvl="0">
      <w:lvlJc w:val="left"/>
      <w:lvlText w:val="(%1)"/>
      <w:numFmt w:val="lowerLetter"/>
      <w:start w:val="1"/>
    </w:lvl>
    <w:lvl w:ilvl="1">
      <w:lvlJc w:val="left"/>
      <w:lvlText w:val="%2."/>
      <w:numFmt w:val="decimal"/>
      <w:start w:val="10"/>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lowerLetter"/>
      <w:start w:val="2"/>
    </w:lvl>
    <w:lvl w:ilvl="1">
      <w:lvlJc w:val="left"/>
      <w:lvlText w:val="%2."/>
      <w:numFmt w:val="decimal"/>
      <w:start w:val="11"/>
    </w:lvl>
  </w:abstractNum>
  <w:abstractNum w:abstractNumId="74">
    <w:nsid w:val="11447B73"/>
    <w:multiLevelType w:val="hybridMultilevel"/>
    <w:lvl w:ilvl="0">
      <w:lvlJc w:val="left"/>
      <w:lvlText w:val="%1"/>
      <w:numFmt w:val="lowerLetter"/>
      <w:start w:val="1"/>
    </w:lvl>
    <w:lvl w:ilvl="1">
      <w:lvlJc w:val="left"/>
      <w:lvlText w:val="%2."/>
      <w:numFmt w:val="decimal"/>
      <w:start w:val="12"/>
    </w:lvl>
  </w:abstractNum>
  <w:abstractNum w:abstractNumId="75">
    <w:nsid w:val="42963E5A"/>
    <w:multiLevelType w:val="hybridMultilevel"/>
    <w:lvl w:ilvl="0">
      <w:lvlJc w:val="left"/>
      <w:lvlText w:val="(%1)"/>
      <w:numFmt w:val="lowerLetter"/>
      <w:start w:val="1"/>
    </w:lvl>
    <w:lvl w:ilvl="1">
      <w:lvlJc w:val="left"/>
      <w:lvlText w:val="%2"/>
      <w:numFmt w:val="decimal"/>
      <w:start w:val="1"/>
    </w:lvl>
  </w:abstractNum>
  <w:abstractNum w:abstractNumId="76">
    <w:nsid w:val="A0382C5"/>
    <w:multiLevelType w:val="hybridMultilevel"/>
    <w:lvl w:ilvl="0">
      <w:lvlJc w:val="left"/>
      <w:lvlText w:val="(%1)"/>
      <w:numFmt w:val="lowerLetter"/>
      <w:start w:val="4"/>
    </w:lvl>
    <w:lvl w:ilvl="1">
      <w:lvlJc w:val="left"/>
      <w:lvlText w:val="%2."/>
      <w:numFmt w:val="decimal"/>
      <w:start w:val="13"/>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93" Type="http://schemas.openxmlformats.org/officeDocument/2006/relationships/hyperlink" Target="http://www.sec.gov/Archives/edgar/data/1326141/000119312505145683/dex31.htm" TargetMode="External"/><Relationship Id="rId94" Type="http://schemas.openxmlformats.org/officeDocument/2006/relationships/hyperlink" Target="http://www.sec.gov/Archives/edgar/data/1326141/000119312505145683/dex32.htm" TargetMode="External"/><Relationship Id="rId95" Type="http://schemas.openxmlformats.org/officeDocument/2006/relationships/hyperlink" Target="http://www.sec.gov/Archives/edgar/data/1326141/000119312519027573/d655030dex991.htm" TargetMode="External"/><Relationship Id="rId96" Type="http://schemas.openxmlformats.org/officeDocument/2006/relationships/hyperlink" Target="http://www.sec.gov/Archives/edgar/data/1326141/000119312505145683/dex41.htm" TargetMode="External"/><Relationship Id="rId97" Type="http://schemas.openxmlformats.org/officeDocument/2006/relationships/hyperlink" Target="http://www.sec.gov/Archives/edgar/data/1326141/000119312515050372/d871109dex41.htm" TargetMode="External"/><Relationship Id="rId98" Type="http://schemas.openxmlformats.org/officeDocument/2006/relationships/hyperlink" Target="http://www.sec.gov/Archives/edgar/data/1326141/000119312516760474/d275674dex41.htm" TargetMode="External"/><Relationship Id="rId99" Type="http://schemas.openxmlformats.org/officeDocument/2006/relationships/hyperlink" Target="http://www.sec.gov/Archives/edgar/data/1311370/000119312518277695/d614135dex41.htm" TargetMode="External"/><Relationship Id="rId100" Type="http://schemas.openxmlformats.org/officeDocument/2006/relationships/hyperlink" Target="http://www.sec.gov/Archives/edgar/data/1326141/000095015719000258/form8k.htm" TargetMode="External"/><Relationship Id="rId101" Type="http://schemas.openxmlformats.org/officeDocument/2006/relationships/hyperlink" Target="http://www.sec.gov/Archives/edgar/data/1311370/000119312505025486/dex1019.htm" TargetMode="External"/><Relationship Id="rId102" Type="http://schemas.openxmlformats.org/officeDocument/2006/relationships/hyperlink" Target="http://www.sec.gov/Archives/edgar/data/1326141/000119312511117049/dex1015.htm" TargetMode="External"/><Relationship Id="rId103" Type="http://schemas.openxmlformats.org/officeDocument/2006/relationships/hyperlink" Target="http://www.sec.gov/Archives/edgar/data/1311370/000119312505091140/dex1021.htm" TargetMode="External"/><Relationship Id="rId104" Type="http://schemas.openxmlformats.org/officeDocument/2006/relationships/hyperlink" Target="http://www.sec.gov/Archives/edgar/data/1311370/000119312508063107/ddef14a.htm" TargetMode="External"/><Relationship Id="rId105" Type="http://schemas.openxmlformats.org/officeDocument/2006/relationships/hyperlink" Target="http://www.sec.gov/Archives/edgar/data/1311370/000119312516500308/d128121ddef14a.htm" TargetMode="External"/><Relationship Id="rId106" Type="http://schemas.openxmlformats.org/officeDocument/2006/relationships/hyperlink" Target="http://www.sec.gov/Archives/edgar/data/1311370/000119312518082725/d525181ddef14a.htm" TargetMode="External"/><Relationship Id="rId107" Type="http://schemas.openxmlformats.org/officeDocument/2006/relationships/hyperlink" Target="http://www.sec.gov/Archives/edgar/data/1311370/000119312516556959/d150073dex109.htm" TargetMode="External"/><Relationship Id="rId108" Type="http://schemas.openxmlformats.org/officeDocument/2006/relationships/hyperlink" Target="http://www.sec.gov/Archives/edgar/data/1311370/000119312516556959/d150073dex1010.htm" TargetMode="External"/><Relationship Id="rId109" Type="http://schemas.openxmlformats.org/officeDocument/2006/relationships/hyperlink" Target="http://www.sec.gov/Archives/edgar/data/1311370/000119312516556959/d150073dex1012.htm" TargetMode="External"/><Relationship Id="rId112" Type="http://schemas.openxmlformats.org/officeDocument/2006/relationships/hyperlink" Target="http://www.sec.gov/Archives/edgar/data/1311370/000156459017020405/laz-ex1015_1109.htm" TargetMode="External"/><Relationship Id="rId113" Type="http://schemas.openxmlformats.org/officeDocument/2006/relationships/hyperlink" Target="http://www.sec.gov/Archives/edgar/data/1311370/000119312516556959/d150073dex1013.htm" TargetMode="External"/><Relationship Id="rId114" Type="http://schemas.openxmlformats.org/officeDocument/2006/relationships/hyperlink" Target="http://www.sec.gov/Archives/edgar/data/1311370/000089882205001180/sept9_exhibit.txt" TargetMode="External"/><Relationship Id="rId115" Type="http://schemas.openxmlformats.org/officeDocument/2006/relationships/hyperlink" Target="http://www.sec.gov/Archives/edgar/data/1311370/000119312509041325/dex1041.htm" TargetMode="External"/><Relationship Id="rId116" Type="http://schemas.openxmlformats.org/officeDocument/2006/relationships/hyperlink" Target="http://www.sec.gov/Archives/edgar/data/1311370/000119312509041325/dex1042.htm" TargetMode="External"/><Relationship Id="rId117" Type="http://schemas.openxmlformats.org/officeDocument/2006/relationships/hyperlink" Target="http://www.sec.gov/Archives/edgar/data/1311370/000119312506109044/dex1039.htm" TargetMode="External"/><Relationship Id="rId118" Type="http://schemas.openxmlformats.org/officeDocument/2006/relationships/hyperlink" Target="http://www.sec.gov/Archives/edgar/data/1326141/000119312515355050/d40575dex1025.htm" TargetMode="External"/><Relationship Id="rId119" Type="http://schemas.openxmlformats.org/officeDocument/2006/relationships/hyperlink" Target="http://www.sec.gov/Archives/edgar/data/1326141/000119312513188145/d507153dex1054.htm" TargetMode="External"/><Relationship Id="rId120" Type="http://schemas.openxmlformats.org/officeDocument/2006/relationships/hyperlink" Target="http://www.sec.gov/Archives/edgar/data/1326141/000119312514185018/d700862dex1054.htm" TargetMode="External"/><Relationship Id="rId121" Type="http://schemas.openxmlformats.org/officeDocument/2006/relationships/hyperlink" Target="http://www.sec.gov/Archives/edgar/data/1326141/000119312514185018/d700862dex1055.htm" TargetMode="External"/><Relationship Id="rId122" Type="http://schemas.openxmlformats.org/officeDocument/2006/relationships/hyperlink" Target="http://www.sec.gov/Archives/edgar/data/1326141/000119312510102282/dex1054.htm" TargetMode="External"/><Relationship Id="rId123" Type="http://schemas.openxmlformats.org/officeDocument/2006/relationships/hyperlink" Target="http://www.sec.gov/Archives/edgar/data/1326141/000119312511117049/dex10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2019-12-28T13:21:43Z</dcterms:created>
  <dcterms:modified xsi:type="dcterms:W3CDTF">2019-12-28T13:21:43Z</dcterms:modified>
</cp:coreProperties>
</file>