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22225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 w:lineRule="exact"/>
        <w:rPr>
          <w:sz w:val="24"/>
          <w:szCs w:val="24"/>
          <w:color w:val="auto"/>
        </w:rPr>
      </w:pPr>
    </w:p>
    <w:p>
      <w:pPr>
        <w:ind w:left="760" w:right="4680" w:hanging="752"/>
        <w:spacing w:after="0" w:line="283" w:lineRule="auto"/>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760" w:right="4360" w:hanging="752"/>
        <w:spacing w:after="0" w:line="32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4220" w:type="dxa"/>
        <w:tblCellMar>
          <w:top w:w="0" w:type="dxa"/>
          <w:left w:w="0" w:type="dxa"/>
          <w:bottom w:w="0" w:type="dxa"/>
          <w:right w:w="0" w:type="dxa"/>
        </w:tblCellMar>
      </w:tblPr>
      <w:tr>
        <w:trPr>
          <w:trHeight w:val="159"/>
        </w:trPr>
        <w:tc>
          <w:tcPr>
            <w:tcW w:w="27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333-126751</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LAZARD GROUP LLC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55880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6" w:lineRule="exact"/>
        <w:rPr>
          <w:sz w:val="24"/>
          <w:szCs w:val="24"/>
          <w:color w:val="auto"/>
        </w:rPr>
      </w:pPr>
    </w:p>
    <w:tbl>
      <w:tblPr>
        <w:tblLayout w:type="fixed"/>
        <w:tblInd w:w="600" w:type="dxa"/>
        <w:tblCellMar>
          <w:top w:w="0" w:type="dxa"/>
          <w:left w:w="0" w:type="dxa"/>
          <w:bottom w:w="0" w:type="dxa"/>
          <w:right w:w="0" w:type="dxa"/>
        </w:tblCellMar>
      </w:tblPr>
      <w:tr>
        <w:trPr>
          <w:trHeight w:val="163"/>
        </w:trPr>
        <w:tc>
          <w:tcPr>
            <w:tcW w:w="686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4"/>
              </w:rPr>
              <w:t>Delaware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51-0278097</w:t>
            </w:r>
          </w:p>
        </w:tc>
        <w:tc>
          <w:tcPr>
            <w:tcW w:w="0" w:type="dxa"/>
            <w:vAlign w:val="bottom"/>
          </w:tcPr>
          <w:p>
            <w:pPr>
              <w:spacing w:after="0"/>
              <w:rPr>
                <w:sz w:val="1"/>
                <w:szCs w:val="1"/>
                <w:color w:val="auto"/>
              </w:rPr>
            </w:pPr>
          </w:p>
        </w:tc>
      </w:tr>
      <w:tr>
        <w:trPr>
          <w:trHeight w:val="135"/>
        </w:trPr>
        <w:tc>
          <w:tcPr>
            <w:tcW w:w="6860" w:type="dxa"/>
            <w:vAlign w:val="bottom"/>
            <w:gridSpan w:val="3"/>
          </w:tcPr>
          <w:p>
            <w:pPr>
              <w:jc w:val="center"/>
              <w:ind w:right="2340"/>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2000" w:type="dxa"/>
            <w:vAlign w:val="bottom"/>
            <w:gridSpan w:val="3"/>
          </w:tcPr>
          <w:p>
            <w:pPr>
              <w:jc w:val="right"/>
              <w:spacing w:after="0" w:line="135" w:lineRule="exact"/>
              <w:rPr>
                <w:sz w:val="20"/>
                <w:szCs w:val="20"/>
                <w:color w:val="auto"/>
              </w:rPr>
            </w:pPr>
            <w:r>
              <w:rPr>
                <w:rFonts w:ascii="Arial" w:cs="Arial" w:eastAsia="Arial" w:hAnsi="Arial"/>
                <w:sz w:val="12"/>
                <w:szCs w:val="12"/>
                <w:b w:val="1"/>
                <w:bCs w:val="1"/>
                <w:color w:val="auto"/>
              </w:rPr>
              <w:t>(I.R.S. Employer Identification No.)</w:t>
            </w:r>
          </w:p>
        </w:tc>
        <w:tc>
          <w:tcPr>
            <w:tcW w:w="0" w:type="dxa"/>
            <w:vAlign w:val="bottom"/>
          </w:tcPr>
          <w:p>
            <w:pPr>
              <w:spacing w:after="0"/>
              <w:rPr>
                <w:sz w:val="1"/>
                <w:szCs w:val="1"/>
                <w:color w:val="auto"/>
              </w:rPr>
            </w:pPr>
          </w:p>
        </w:tc>
      </w:tr>
      <w:tr>
        <w:trPr>
          <w:trHeight w:val="150"/>
        </w:trPr>
        <w:tc>
          <w:tcPr>
            <w:tcW w:w="6860" w:type="dxa"/>
            <w:vAlign w:val="bottom"/>
            <w:gridSpan w:val="3"/>
          </w:tcPr>
          <w:p>
            <w:pPr>
              <w:jc w:val="center"/>
              <w:ind w:right="2340"/>
              <w:spacing w:after="0"/>
              <w:rPr>
                <w:sz w:val="20"/>
                <w:szCs w:val="20"/>
                <w:color w:val="auto"/>
              </w:rPr>
            </w:pPr>
            <w:r>
              <w:rPr>
                <w:rFonts w:ascii="Arial" w:cs="Arial" w:eastAsia="Arial" w:hAnsi="Arial"/>
                <w:sz w:val="12"/>
                <w:szCs w:val="12"/>
                <w:b w:val="1"/>
                <w:bCs w:val="1"/>
                <w:color w:val="auto"/>
                <w:w w:val="90"/>
              </w:rPr>
              <w:t>or Organization)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30 Rockefeller Plaza</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3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New York, NY 10112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gridSpan w:val="3"/>
          </w:tcPr>
          <w:p>
            <w:pPr>
              <w:jc w:val="center"/>
              <w:ind w:left="3311"/>
              <w:spacing w:after="0"/>
              <w:rPr>
                <w:sz w:val="20"/>
                <w:szCs w:val="20"/>
                <w:color w:val="auto"/>
              </w:rPr>
            </w:pPr>
            <w:r>
              <w:rPr>
                <w:rFonts w:ascii="Arial" w:cs="Arial" w:eastAsia="Arial" w:hAnsi="Arial"/>
                <w:sz w:val="14"/>
                <w:szCs w:val="14"/>
                <w:b w:val="1"/>
                <w:bCs w:val="1"/>
                <w:color w:val="auto"/>
                <w:w w:val="92"/>
              </w:rPr>
              <w:t>Registrant’s telephone number: (212) 632-6000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800" w:type="dxa"/>
            <w:vAlign w:val="bottom"/>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160" w:type="dxa"/>
            <w:vAlign w:val="bottom"/>
            <w:gridSpan w:val="4"/>
          </w:tcPr>
          <w:p>
            <w:pPr>
              <w:jc w:val="center"/>
              <w:ind w:left="3011"/>
              <w:spacing w:after="0"/>
              <w:rPr>
                <w:sz w:val="20"/>
                <w:szCs w:val="20"/>
                <w:color w:val="auto"/>
              </w:rPr>
            </w:pPr>
            <w:r>
              <w:rPr>
                <w:rFonts w:ascii="Arial" w:cs="Arial" w:eastAsia="Arial" w:hAnsi="Arial"/>
                <w:sz w:val="14"/>
                <w:szCs w:val="14"/>
                <w:color w:val="auto"/>
                <w:w w:val="92"/>
              </w:rPr>
              <w:t>Securities Registered Pursuant to Section 12(b) of the Act: None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160" w:type="dxa"/>
            <w:vAlign w:val="bottom"/>
            <w:gridSpan w:val="4"/>
          </w:tcPr>
          <w:p>
            <w:pPr>
              <w:jc w:val="center"/>
              <w:ind w:left="3011"/>
              <w:spacing w:after="0"/>
              <w:rPr>
                <w:sz w:val="20"/>
                <w:szCs w:val="20"/>
                <w:color w:val="auto"/>
              </w:rPr>
            </w:pPr>
            <w:r>
              <w:rPr>
                <w:rFonts w:ascii="Arial" w:cs="Arial" w:eastAsia="Arial" w:hAnsi="Arial"/>
                <w:sz w:val="14"/>
                <w:szCs w:val="14"/>
                <w:color w:val="auto"/>
                <w:w w:val="92"/>
              </w:rPr>
              <w:t>Securities Registered Pursuant to Section 12(g) of the Act: None</w:t>
            </w: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1480" w:type="dxa"/>
            <w:vAlign w:val="bottom"/>
            <w:vMerge w:val="restart"/>
          </w:tcPr>
          <w:p>
            <w:pPr>
              <w:jc w:val="right"/>
              <w:ind w:right="90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1480" w:type="dxa"/>
            <w:vAlign w:val="bottom"/>
          </w:tcPr>
          <w:p>
            <w:pPr>
              <w:jc w:val="right"/>
              <w:ind w:right="124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0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280" w:firstLine="598"/>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50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355" w:right="299" w:bottom="1440" w:gutter="0" w:footer="0" w:header="0"/>
        </w:sectPr>
      </w:pP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1300" w:space="80"/>
            <w:col w:w="3100" w:space="720"/>
            <w:col w:w="980" w:space="60"/>
            <w:col w:w="5120"/>
          </w:cols>
          <w:pgMar w:left="240" w:top="355" w:right="29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1220" w:space="120"/>
            <w:col w:w="3140" w:space="720"/>
            <w:col w:w="1580" w:space="80"/>
            <w:col w:w="4500"/>
          </w:cols>
          <w:pgMar w:left="240" w:top="355" w:right="299" w:bottom="1440" w:gutter="0" w:footer="0" w:header="0"/>
          <w:type w:val="continuous"/>
        </w:sectPr>
      </w:pPr>
    </w:p>
    <w:p>
      <w:pPr>
        <w:ind w:left="600" w:right="3060"/>
        <w:spacing w:after="0" w:line="19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30, 2016, none of the Registrant’s common membership interests were held by non-affiliates.</w:t>
      </w:r>
    </w:p>
    <w:p>
      <w:pPr>
        <w:spacing w:after="0" w:line="7"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31, 2017, in addition to profit participation interests, there were two managing member interests outstanding.</w:t>
      </w:r>
    </w:p>
    <w:p>
      <w:pPr>
        <w:spacing w:after="0" w:line="21" w:lineRule="exact"/>
        <w:rPr>
          <w:sz w:val="24"/>
          <w:szCs w:val="24"/>
          <w:color w:val="auto"/>
        </w:rPr>
      </w:pPr>
    </w:p>
    <w:p>
      <w:pPr>
        <w:ind w:right="120" w:firstLine="598"/>
        <w:spacing w:after="0" w:line="259" w:lineRule="auto"/>
        <w:rPr>
          <w:sz w:val="20"/>
          <w:szCs w:val="20"/>
          <w:color w:val="auto"/>
        </w:rPr>
      </w:pPr>
      <w:r>
        <w:rPr>
          <w:rFonts w:ascii="Arial" w:cs="Arial" w:eastAsia="Arial" w:hAnsi="Arial"/>
          <w:sz w:val="13"/>
          <w:szCs w:val="13"/>
          <w:color w:val="auto"/>
        </w:rPr>
        <w:t>The Registrant meets the conditions set forth in General Instruction (I)(1)(a) and (b) of Form 10-K and is therefore filing this Form with the reduced disclosure format by omitting the information called for by the following items of Form 10-K: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pacing w:after="0" w:line="16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left="60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702945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type w:val="continuous"/>
        </w:sectPr>
      </w:pPr>
    </w:p>
    <w:bookmarkStart w:id="1" w:name="page2"/>
    <w:bookmarkEnd w:id="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8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Form 10-K Item Number</w:t>
            </w: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580" w:type="dxa"/>
            <w:vAlign w:val="bottom"/>
            <w:gridSpan w:val="29"/>
            <w:vMerge w:val="continue"/>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60" w:type="dxa"/>
            <w:vAlign w:val="bottom"/>
            <w:tcBorders>
              <w:top w:val="single" w:sz="8" w:color="auto"/>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780" w:type="dxa"/>
            <w:vAlign w:val="bottom"/>
            <w:gridSpan w:val="2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Executive Officers of the Registrant</w:t>
              </w:r>
            </w:hyperlink>
          </w:p>
        </w:tc>
        <w:tc>
          <w:tcPr>
            <w:tcW w:w="68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1A.</w:t>
            </w:r>
          </w:p>
        </w:tc>
        <w:tc>
          <w:tcPr>
            <w:tcW w:w="942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1B.</w:t>
            </w:r>
          </w:p>
        </w:tc>
        <w:tc>
          <w:tcPr>
            <w:tcW w:w="942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38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808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4.</w:t>
            </w:r>
          </w:p>
        </w:tc>
        <w:tc>
          <w:tcPr>
            <w:tcW w:w="942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60" w:type="dxa"/>
            <w:vAlign w:val="bottom"/>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13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6.</w:t>
            </w:r>
          </w:p>
        </w:tc>
        <w:tc>
          <w:tcPr>
            <w:tcW w:w="942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50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8.</w:t>
            </w:r>
          </w:p>
        </w:tc>
        <w:tc>
          <w:tcPr>
            <w:tcW w:w="942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Changes in and Disagreements with Accountants on Accounting and Financial Disclosure</w:t>
              </w:r>
            </w:hyperlink>
          </w:p>
        </w:tc>
        <w:tc>
          <w:tcPr>
            <w:tcW w:w="294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9A.</w:t>
            </w:r>
          </w:p>
        </w:tc>
        <w:tc>
          <w:tcPr>
            <w:tcW w:w="9420" w:type="dxa"/>
            <w:vAlign w:val="bottom"/>
            <w:gridSpan w:val="2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766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1160" w:type="dxa"/>
            <w:vAlign w:val="bottom"/>
            <w:gridSpan w:val="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Directors, Executive Officers and Corporate Governance</w:t>
              </w:r>
            </w:hyperlink>
          </w:p>
        </w:tc>
        <w:tc>
          <w:tcPr>
            <w:tcW w:w="532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11.</w:t>
            </w:r>
          </w:p>
        </w:tc>
        <w:tc>
          <w:tcPr>
            <w:tcW w:w="9420" w:type="dxa"/>
            <w:vAlign w:val="bottom"/>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12.</w:t>
            </w:r>
          </w:p>
        </w:tc>
        <w:tc>
          <w:tcPr>
            <w:tcW w:w="9420" w:type="dxa"/>
            <w:vAlign w:val="bottom"/>
            <w:gridSpan w:val="23"/>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Certain Relationships and Related Transactions, and Director Independence</w:t>
              </w:r>
            </w:hyperlink>
          </w:p>
        </w:tc>
        <w:tc>
          <w:tcPr>
            <w:tcW w:w="21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39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PART IV</w:t>
              </w:r>
            </w:hyperlink>
          </w:p>
        </w:tc>
        <w:tc>
          <w:tcPr>
            <w:tcW w:w="4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gridSpan w:val="6"/>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Exhibits and Financial Statement Schedules</w:t>
              </w:r>
            </w:hyperlink>
          </w:p>
        </w:tc>
        <w:tc>
          <w:tcPr>
            <w:tcW w:w="626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Index to Financial Statements and Financial Statement Schedule Items 15(a)(1) and 15(a)(2)</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18"/>
        </w:trPr>
        <w:tc>
          <w:tcPr>
            <w:tcW w:w="1160" w:type="dxa"/>
            <w:vAlign w:val="bottom"/>
            <w:gridSpan w:val="6"/>
          </w:tcPr>
          <w:p>
            <w:pPr>
              <w:spacing w:after="0"/>
              <w:rPr>
                <w:rFonts w:ascii="Arial" w:cs="Arial" w:eastAsia="Arial" w:hAnsi="Arial"/>
                <w:sz w:val="18"/>
                <w:szCs w:val="18"/>
                <w:color w:val="0000EE"/>
                <w:w w:val="97"/>
              </w:rPr>
            </w:pPr>
            <w:hyperlink w:anchor="page137">
              <w:r>
                <w:rPr>
                  <w:rFonts w:ascii="Arial" w:cs="Arial" w:eastAsia="Arial" w:hAnsi="Arial"/>
                  <w:sz w:val="18"/>
                  <w:szCs w:val="18"/>
                  <w:color w:val="0000EE"/>
                  <w:w w:val="97"/>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When we use the terms “Lazard Group”, “Lazard”,“we”,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December 31, 2016 of all of the common membership interests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20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corporate preparedness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ind w:firstLine="598"/>
        <w:spacing w:after="0" w:line="291" w:lineRule="auto"/>
        <w:rPr>
          <w:sz w:val="20"/>
          <w:szCs w:val="20"/>
          <w:color w:val="auto"/>
        </w:rPr>
      </w:pPr>
      <w:r>
        <w:rPr>
          <w:rFonts w:ascii="Arial" w:cs="Arial" w:eastAsia="Arial" w:hAnsi="Arial"/>
          <w:sz w:val="16"/>
          <w:szCs w:val="16"/>
          <w:color w:val="auto"/>
        </w:rPr>
        <w:t>For the years ended December 31, 2016, 2015 and 2014, our Financial Advisory segment net revenue totaled $1.301 billion, $1.280 billion and $1.207 billion, respectively, accounting for approximately 56%, 54% and 53%, respectively, of our consolidated net revenue for such years. We earned $1 million or more from 276 clients, 268 clients and 281 clients for the years ended December 31, 2016, 2015 and 2014, respectively. For the years ended December 31, 2016, 2015 and 2014, the ten largest fee paying clients constituted approximately 23%, 17% and 15%, respectively, of our Financial Advisory segment net revenue, with no client individually contributing more than 10% of segment net revenue during any of these years. For the years ended December 31, 2016, 2015 and 2014, our Financial Advisory segment reported operating income of $290 million, $274 million and $229 million, respectively. At December 31, 2016, 2015 and 2014, our Financial Advisory segment had total assets of $883 million, $763 million and $786 million, respectively.</w:t>
      </w:r>
    </w:p>
    <w:p>
      <w:pPr>
        <w:spacing w:after="0" w:line="16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 network of regional branch offices in the U.S., as well as a presence in Argentina, Australia, Belgium, Brazil, Canada, Chile, China, Colombia, Germany, Hong Kong, India, Italy, Japan, the Netherlands, Panama, Peru, Singapore, Spain, Sweden, Switzerland and the Middle East region.</w:t>
      </w:r>
    </w:p>
    <w:p>
      <w:pPr>
        <w:spacing w:after="0" w:line="188"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73"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Our Financial Advisory business has made certain business acquisitions and entered into other strategic business relationships. For example, in 2012, we integrated our Brazilian operations based in São Paulo, and established a Lazard Africa initiative to leverage our sovereign and corporate expertise in this rapidly growing region for our clients in both developed and developing countries.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 In 2015, we established a Lazard Central and Eastern Europe initiative to provide financial advisory services to businesses and governments in the region, as well as to our clients outside the region that are active in the region. In 2016, Lazard Ltd expanded its North American Financial Advisory business through the acquisition of an independent financial advisory firm based in Canada, and we acquired the portion of MBA Lazard that we did not previously own, thereby fully integrating our Latin American operations.</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right="240"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firstLine="598"/>
        <w:spacing w:after="0" w:line="272" w:lineRule="auto"/>
        <w:rPr>
          <w:sz w:val="20"/>
          <w:szCs w:val="20"/>
          <w:color w:val="auto"/>
        </w:rPr>
      </w:pPr>
      <w:r>
        <w:rPr>
          <w:rFonts w:ascii="Arial" w:cs="Arial" w:eastAsia="Arial" w:hAnsi="Arial"/>
          <w:sz w:val="17"/>
          <w:szCs w:val="17"/>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7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jc w:val="both"/>
        <w:ind w:right="540" w:firstLine="598"/>
        <w:spacing w:after="0" w:line="342" w:lineRule="auto"/>
        <w:rPr>
          <w:sz w:val="20"/>
          <w:szCs w:val="20"/>
          <w:color w:val="auto"/>
        </w:rPr>
      </w:pPr>
      <w:r>
        <w:rPr>
          <w:rFonts w:ascii="Arial" w:cs="Arial" w:eastAsia="Arial" w:hAnsi="Arial"/>
          <w:sz w:val="16"/>
          <w:szCs w:val="16"/>
          <w:color w:val="auto"/>
        </w:rPr>
        <w:t>When we assist clients in connection with corporate preparedness matters, our services may include reviewing and analyzing the business and financial condition of the company and assisting in the evaluation of defense measures and strategic alternatives potentially available to the company.</w:t>
      </w:r>
    </w:p>
    <w:p>
      <w:pPr>
        <w:spacing w:after="0" w:line="12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challenged by the current economic environment.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Lazard’s Sovereign Advisory Group has advised a number of countries and institutions with respect to sovereign debt and other financial matters.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corporate preparedness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2016, our Financial Advisory segment had 147 managing directors and 863 other professionals (which includes directors, vice presidents, associates and analysts).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0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preparedness and defense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Corporate Preparedness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and</w:t>
      </w:r>
    </w:p>
    <w:p>
      <w:pPr>
        <w:spacing w:after="0" w:line="117" w:lineRule="exact"/>
        <w:rPr>
          <w:rFonts w:ascii="Arial" w:cs="Arial" w:eastAsia="Arial" w:hAnsi="Arial"/>
          <w:sz w:val="18"/>
          <w:szCs w:val="18"/>
          <w:color w:val="auto"/>
        </w:rPr>
      </w:pPr>
    </w:p>
    <w:p>
      <w:pPr>
        <w:ind w:left="1200" w:right="18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8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unbiased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M&amp;A activity that may result from potential tax, regulatory and similar reform in certain regions, including the U.S.</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5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As of December 31, 2016, total assets under management (“AUM”) were $198 billion, of which approximately 82% was invested in equities, 16% in fixed income, 1% in alternative investments and 1% in private equity funds. As of the same date, within the equity asset class, approximately 28% of our AUM was invested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21% in emerging markets strategies, 15% in global investment strategies and 18% in local investment strategies. Within the fixed income asset class, approximately 8% of our AUM was invested in emerging markets strategies, 4%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 in global investment strategies and 2% in local investment strategies. Our top ten clients accounted for 21%, 21% and 24% of our total AUM at December 31, 2016, 2015 and 2014, respectively, with no client individually contributing more than 10% of our Asset Management segment net revenue during any of the respective years. Approximately 88% of our AUM as of December 31, 2016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high-net worth individuals.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2016,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152400</wp:posOffset>
            </wp:positionV>
            <wp:extent cx="4605020" cy="1329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50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firstLine="598"/>
        <w:spacing w:after="0" w:line="257" w:lineRule="auto"/>
        <w:rPr>
          <w:sz w:val="20"/>
          <w:szCs w:val="20"/>
          <w:color w:val="auto"/>
        </w:rPr>
      </w:pPr>
      <w:r>
        <w:rPr>
          <w:rFonts w:ascii="Arial" w:cs="Arial" w:eastAsia="Arial" w:hAnsi="Arial"/>
          <w:sz w:val="18"/>
          <w:szCs w:val="18"/>
          <w:color w:val="auto"/>
        </w:rPr>
        <w:t>For the years ended December 31, 2016, 2015 and 2014, our Asset Management segment net revenue totaled $1.051 billion, $1.111 billion and $1.135 billion, respectively, accounting for approximately 45%, 47% and 49%, respectively, of our consolidated net revenue for such years. For the years ended December 31, 2016, 2015 and 2014, our Asset Management segment reported operating income of $282 million, $374 million and $385 million, respectively. At December 31, 2016, 2015 and 2014, our Asset Management segment had total assets of $646 million, $640 million and $588 million,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ind w:firstLine="598"/>
        <w:spacing w:after="0" w:line="312" w:lineRule="auto"/>
        <w:rPr>
          <w:sz w:val="20"/>
          <w:szCs w:val="20"/>
          <w:color w:val="auto"/>
        </w:rPr>
      </w:pPr>
      <w:r>
        <w:rPr>
          <w:rFonts w:ascii="Arial" w:cs="Arial" w:eastAsia="Arial" w:hAnsi="Arial"/>
          <w:sz w:val="16"/>
          <w:szCs w:val="16"/>
          <w:color w:val="auto"/>
        </w:rPr>
        <w:t>Our Asset Management business maintains offices in New York, Bordeaux, Boston, Brussels, Chicago, Dubai, Dublin, Frankfurt, Hamburg, Hong Kong, London, Lyon, Milan, Montreal, Nantes, Paris, San Francisco, Seoul, Singapore, Sydney, Tokyo, Toronto and Zurich. These operations, with 92 managing directors and 392 professionals as of December 31, 2016, provide our Asset Management business with both a global presence and a local identity.</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ind w:right="102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225" w:lineRule="exact"/>
        <w:rPr>
          <w:sz w:val="20"/>
          <w:szCs w:val="20"/>
          <w:color w:val="auto"/>
        </w:rPr>
      </w:pPr>
    </w:p>
    <w:p>
      <w:pPr>
        <w:ind w:right="2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six global industry sectors:</w:t>
      </w:r>
    </w:p>
    <w:p>
      <w:pPr>
        <w:spacing w:after="0" w:line="16"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i w:val="1"/>
          <w:iCs w:val="1"/>
          <w:color w:val="auto"/>
        </w:rPr>
        <w:t xml:space="preserve">Investment Strategies. </w:t>
      </w:r>
      <w:r>
        <w:rPr>
          <w:rFonts w:ascii="Arial" w:cs="Arial" w:eastAsia="Arial" w:hAnsi="Arial"/>
          <w:sz w:val="16"/>
          <w:szCs w:val="16"/>
          <w:color w:val="auto"/>
        </w:rPr>
        <w:t>Our Asset Management business provides equity, fixed income, cash management and alternative investment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paying close attention to our clients’ varying and expanding investment needs. We offer the following product platform of investment strategies:</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00" w:type="dxa"/>
            <w:vAlign w:val="bottom"/>
            <w:gridSpan w:val="2"/>
          </w:tcPr>
          <w:p>
            <w:pPr>
              <w:ind w:left="66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Multi Strategies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Trend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Strategies</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Korea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1920" w:type="dxa"/>
            <w:vAlign w:val="bottom"/>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Duration Overlay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Fixed Income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Corporate Bonds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Hedge Funds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U.S.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Closed-End Funds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320"/>
              <w:spacing w:after="0"/>
              <w:rPr>
                <w:sz w:val="20"/>
                <w:szCs w:val="20"/>
                <w:color w:val="auto"/>
              </w:rPr>
            </w:pPr>
            <w:r>
              <w:rPr>
                <w:rFonts w:ascii="Arial" w:cs="Arial" w:eastAsia="Arial" w:hAnsi="Arial"/>
                <w:sz w:val="16"/>
                <w:szCs w:val="16"/>
                <w:color w:val="auto"/>
              </w:rPr>
              <w:t>(Long and Long/Short)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Asset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addition to the primary investment strategies listed above, we also provide other asset management services to our clients, including asset allocation advisory services and locally customized investment solutions. In many cases, we also offer both diversified and more concentrated versions of our products. These products are generally offered on a separate account basis, as well as through pooled vehicles.</w:t>
      </w:r>
    </w:p>
    <w:p>
      <w:pPr>
        <w:spacing w:after="0" w:line="18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We distribute our products through a broad array of marketing channels on a global basis.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Bordeaux, Boston, Brussels, Chicago, Dubai, Frankfurt, Hamburg, Hong Kong, London, Lyon, Milan, Montreal, Nantes, Paris, San Francisco, Seoul, Singapore, Sydney, Tokyo, Toronto and Zurich. We have developed a well-established presence in the institutional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right="520"/>
        <w:spacing w:after="0" w:line="277" w:lineRule="auto"/>
        <w:rPr>
          <w:sz w:val="20"/>
          <w:szCs w:val="20"/>
          <w:color w:val="auto"/>
        </w:rPr>
      </w:pPr>
      <w:r>
        <w:rPr>
          <w:rFonts w:ascii="Arial" w:cs="Arial" w:eastAsia="Arial" w:hAnsi="Arial"/>
          <w:sz w:val="18"/>
          <w:szCs w:val="18"/>
          <w:color w:val="auto"/>
        </w:rPr>
        <w:t>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70"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a real asset strategy, a commodities team and an equity team focused on Middle East and North African markets; and</w:t>
      </w:r>
    </w:p>
    <w:p>
      <w:pPr>
        <w:spacing w:after="0" w:line="62"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Dubai, Singapore and Dublin.</w:t>
      </w:r>
    </w:p>
    <w:p>
      <w:pPr>
        <w:spacing w:after="0" w:line="170"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Alternative Investments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2016, Edgewater had approximately $1 billion of AUM and unfunded fee-earning commitments.</w:t>
      </w:r>
    </w:p>
    <w:p>
      <w:pPr>
        <w:spacing w:after="0" w:line="18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We believe that our people are our most important asset, and it is their reputation, talent, integrity and dedication that underpin our success. As of December 31, 2016, we employed 2,771 people, which included 147 managing directors and 863 other professionals in our Financial Advisory segment and 92 managing directors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160"/>
        <w:spacing w:after="0" w:line="276" w:lineRule="auto"/>
        <w:rPr>
          <w:sz w:val="20"/>
          <w:szCs w:val="20"/>
          <w:color w:val="auto"/>
        </w:rPr>
      </w:pPr>
      <w:r>
        <w:rPr>
          <w:rFonts w:ascii="Arial" w:cs="Arial" w:eastAsia="Arial" w:hAnsi="Arial"/>
          <w:sz w:val="17"/>
          <w:szCs w:val="17"/>
          <w:color w:val="auto"/>
        </w:rPr>
        <w:t>403 other professionals in our Asset Management segment. We strive to maintain a work environment that fosters professionalism, excellence, diversity, collaboration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While our competitors vary by country in our Financial Advisory business, we believe our primary competitors in securing engagements are Bank of America Merrill Lynch, Barclays, Centerview Partners, Citigroup, Credit Suisse, Deutsche Bank, Evercore Partners, Goldman Sachs, Greenhill, JPMorgan Chase, Morgan Stanley, Rothschild and UBS. In our Restructuring practice, we believe our primary competitors are Centerview Partners, Evercore Partners, Houlihan Lokey, PJT Partners, Moelis &amp; Company and Rothschild.</w:t>
      </w:r>
    </w:p>
    <w:p>
      <w:pPr>
        <w:spacing w:after="0" w:line="187"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believe that our primary global competitors in our Asset Management business include, in the case of Lazard Asset Management LLC and its subsidiaries (“LAM”), Aberdeen, Alliance Bernstein, Capital Management &amp; Research, Fidelity, Franklin Templeton, Invesco, JP Morgan Asset Management, Lord Abbett, MFS, Neuberger Berman and Schroders and, in the case of Lazard Frères Gestion SAS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93"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4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Item 1A, “Risk Factors—The financial services industry, and all of the businesses in which we compete, are intensely competitive” below.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58"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66"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left="60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22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67" w:lineRule="exact"/>
        <w:rPr>
          <w:sz w:val="20"/>
          <w:szCs w:val="20"/>
          <w:color w:val="auto"/>
        </w:rPr>
      </w:pPr>
    </w:p>
    <w:p>
      <w:pPr>
        <w:ind w:right="180" w:firstLine="598"/>
        <w:spacing w:after="0" w:line="287"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and the German Federal Financial Supervisory Authority,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93"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180" w:firstLine="598"/>
        <w:spacing w:after="0" w:line="255" w:lineRule="auto"/>
        <w:rPr>
          <w:sz w:val="20"/>
          <w:szCs w:val="20"/>
          <w:color w:val="auto"/>
        </w:rPr>
      </w:pPr>
      <w:r>
        <w:rPr>
          <w:rFonts w:ascii="Arial" w:cs="Arial" w:eastAsia="Arial" w:hAnsi="Arial"/>
          <w:sz w:val="18"/>
          <w:szCs w:val="18"/>
          <w:color w:val="auto"/>
        </w:rPr>
        <w:t xml:space="preserve">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w:t>
      </w:r>
      <w:r>
        <w:rPr>
          <w:rFonts w:ascii="Arial" w:cs="Arial" w:eastAsia="Arial" w:hAnsi="Arial"/>
          <w:sz w:val="18"/>
          <w:szCs w:val="18"/>
          <w:color w:val="2E2E2E"/>
        </w:rPr>
        <w:t>Similar rules and regulations exist in other jurisdictions in which we operate.</w:t>
      </w:r>
      <w:r>
        <w:rPr>
          <w:rFonts w:ascii="Arial" w:cs="Arial" w:eastAsia="Arial" w:hAnsi="Arial"/>
          <w:sz w:val="18"/>
          <w:szCs w:val="18"/>
          <w:color w:val="auto"/>
        </w:rPr>
        <w:t xml:space="preserv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17, 2017, all of whom have been appointed by, and serve at the pleasure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58</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57</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56</w:t>
      </w:r>
    </w:p>
    <w:p>
      <w:pPr>
        <w:spacing w:after="0" w:line="121"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Scott D. Hoffman, 54</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50</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w:t>
      </w:r>
    </w:p>
    <w:p>
      <w:pPr>
        <w:spacing w:after="0" w:line="290" w:lineRule="auto"/>
        <w:rPr>
          <w:sz w:val="20"/>
          <w:szCs w:val="20"/>
          <w:color w:val="auto"/>
        </w:rPr>
      </w:pPr>
      <w:r>
        <w:rPr>
          <w:rFonts w:ascii="Arial" w:cs="Arial" w:eastAsia="Arial" w:hAnsi="Arial"/>
          <w:sz w:val="17"/>
          <w:szCs w:val="17"/>
          <w:color w:val="auto"/>
        </w:rPr>
        <w:t>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 xml:space="preserve">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and other information can also be inspected at the offices of the New York Stock Exchange, Inc., 20 Broad Street, New York, New York 10005, U.S.A.</w:t>
      </w:r>
    </w:p>
    <w:p>
      <w:pPr>
        <w:spacing w:after="0" w:line="188"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and the investor relations SEC filings section of our public website is located at </w:t>
      </w:r>
      <w:r>
        <w:rPr>
          <w:rFonts w:ascii="Arial" w:cs="Arial" w:eastAsia="Arial" w:hAnsi="Arial"/>
          <w:sz w:val="18"/>
          <w:szCs w:val="18"/>
          <w:i w:val="1"/>
          <w:iCs w:val="1"/>
          <w:color w:val="auto"/>
        </w:rPr>
        <w:t xml:space="preserve">http://www.lazard.com/InvestorRelations/SEC-Filings.aspx. </w:t>
      </w:r>
      <w:r>
        <w:rPr>
          <w:rFonts w:ascii="Arial" w:cs="Arial" w:eastAsia="Arial" w:hAnsi="Arial"/>
          <w:sz w:val="18"/>
          <w:szCs w:val="18"/>
          <w:color w:val="auto"/>
        </w:rPr>
        <w:t>We will make available free of charge, on or through the investor relations section of our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3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right="40"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volatility in securities markets, volatility and tightening of liquidity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5" w:name="page16"/>
    <w:bookmarkEnd w:id="15"/>
    <w:p>
      <w:pPr>
        <w:ind w:right="680"/>
        <w:spacing w:after="0" w:line="277" w:lineRule="auto"/>
        <w:rPr>
          <w:sz w:val="20"/>
          <w:szCs w:val="20"/>
          <w:color w:val="auto"/>
        </w:rPr>
      </w:pPr>
      <w:r>
        <w:rPr>
          <w:rFonts w:ascii="Arial" w:cs="Arial" w:eastAsia="Arial" w:hAnsi="Arial"/>
          <w:sz w:val="18"/>
          <w:szCs w:val="18"/>
          <w:color w:val="auto"/>
        </w:rPr>
        <w:t>credit markets, volatility or significant realignments in currency markets, increases in interest rates, inflation, corporate or sovereign defaults, natural disasters, terrorism or political uncertainty.</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recent years, regional and global capital markets and economies have experienced periods of significant disruption and volatility. If these conditions continue or if current conditions materially worsen, our business may be adversely affected, which may have a material impact on our business and results of operations.</w:t>
      </w:r>
    </w:p>
    <w:p>
      <w:pPr>
        <w:spacing w:after="0" w:line="181"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69"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ind w:right="40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average AUM as of the end of a quarter or month. As a result, a reduction in AUM at the end of a quarter or month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quarterly fluctuations, it may be difficult for us to achieve steady revenue and earnings growth on a quarterly basis.</w:t>
      </w:r>
    </w:p>
    <w:p>
      <w:pPr>
        <w:spacing w:after="0" w:line="329" w:lineRule="exact"/>
        <w:rPr>
          <w:sz w:val="20"/>
          <w:szCs w:val="20"/>
          <w:color w:val="auto"/>
        </w:rPr>
      </w:pPr>
    </w:p>
    <w:p>
      <w:pPr>
        <w:ind w:right="20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72"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or other individual reasons, some of which may be beyond our control. If any of our managing directors and other key professional employees were to retire, join an existing competitor, form a competing company or otherwise leave us,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7" w:name="page18"/>
    <w:bookmarkEnd w:id="17"/>
    <w:p>
      <w:pPr>
        <w:ind w:right="60" w:firstLine="598"/>
        <w:spacing w:after="0" w:line="293"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jc w:val="both"/>
        <w:ind w:left="1200" w:right="240" w:hanging="598"/>
        <w:spacing w:after="0" w:line="264"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Financial Advisory practices and Asset Management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revenue and earnings.</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2016, Financial Advisory services accounted for approximately 56%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88"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In addition, we operate in a highly competitive environment where typically there are no long-term contracted sources of revenue. Each revenue-generating engagement typically is separately awarded and negotiated.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200"/>
        <w:spacing w:after="0" w:line="259" w:lineRule="auto"/>
        <w:rPr>
          <w:sz w:val="20"/>
          <w:szCs w:val="20"/>
          <w:color w:val="auto"/>
        </w:rPr>
      </w:pPr>
      <w:r>
        <w:rPr>
          <w:rFonts w:ascii="Arial" w:cs="Arial" w:eastAsia="Arial" w:hAnsi="Arial"/>
          <w:sz w:val="18"/>
          <w:szCs w:val="18"/>
          <w:color w:val="auto"/>
        </w:rPr>
        <w:t>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91"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21"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273"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74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24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6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248" w:lineRule="exact"/>
        <w:rPr>
          <w:sz w:val="20"/>
          <w:szCs w:val="20"/>
          <w:color w:val="auto"/>
        </w:rPr>
      </w:pPr>
    </w:p>
    <w:p>
      <w:pPr>
        <w:jc w:val="both"/>
        <w:ind w:right="240" w:firstLine="598"/>
        <w:spacing w:after="0" w:line="286" w:lineRule="auto"/>
        <w:rPr>
          <w:sz w:val="20"/>
          <w:szCs w:val="20"/>
          <w:color w:val="auto"/>
        </w:rPr>
      </w:pPr>
      <w:r>
        <w:rPr>
          <w:rFonts w:ascii="Arial" w:cs="Arial" w:eastAsia="Arial" w:hAnsi="Arial"/>
          <w:sz w:val="17"/>
          <w:szCs w:val="17"/>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270" w:lineRule="exact"/>
        <w:rPr>
          <w:sz w:val="20"/>
          <w:szCs w:val="20"/>
          <w:color w:val="auto"/>
        </w:rPr>
      </w:pPr>
    </w:p>
    <w:p>
      <w:pPr>
        <w:ind w:right="2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65"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38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7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0" w:name="page21"/>
    <w:bookmarkEnd w:id="20"/>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right="6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2016, we received approximately 35% of our consolidated net revenue in other currencies, predominantly in euros, British Pounds and Australian Dollars. In addition, we pay a significant amount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89"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2016, AUM with foreign currency exposure represented approximately 70% of our total AUM.</w:t>
      </w:r>
    </w:p>
    <w:p>
      <w:pPr>
        <w:spacing w:after="0" w:line="16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members’ equity from currency translation adjustments and Note 2 of Notes to Consolidated Financial Statements for additional information regarding the impact on operating results from currency transaction adjustments.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297" w:lineRule="exact"/>
        <w:rPr>
          <w:sz w:val="20"/>
          <w:szCs w:val="20"/>
          <w:color w:val="auto"/>
        </w:rPr>
      </w:pPr>
    </w:p>
    <w:p>
      <w:pPr>
        <w:ind w:right="14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right="300" w:firstLine="598"/>
        <w:spacing w:after="0" w:line="312"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20"/>
        <w:spacing w:after="0" w:line="291" w:lineRule="auto"/>
        <w:rPr>
          <w:sz w:val="20"/>
          <w:szCs w:val="20"/>
          <w:color w:val="auto"/>
        </w:rPr>
      </w:pPr>
      <w:r>
        <w:rPr>
          <w:rFonts w:ascii="Arial" w:cs="Arial" w:eastAsia="Arial" w:hAnsi="Arial"/>
          <w:sz w:val="16"/>
          <w:szCs w:val="16"/>
          <w:color w:val="auto"/>
        </w:rPr>
        <w:t>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7" w:lineRule="exact"/>
        <w:rPr>
          <w:sz w:val="20"/>
          <w:szCs w:val="20"/>
          <w:color w:val="auto"/>
        </w:rPr>
      </w:pPr>
    </w:p>
    <w:p>
      <w:pPr>
        <w:jc w:val="both"/>
        <w:ind w:right="80" w:firstLine="598"/>
        <w:spacing w:after="0" w:line="302"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258" w:lineRule="exact"/>
        <w:rPr>
          <w:sz w:val="20"/>
          <w:szCs w:val="20"/>
          <w:color w:val="auto"/>
        </w:rPr>
      </w:pPr>
    </w:p>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operating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92"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Rulemaking under the Dodd-Frank Act is still ongoing and the final scope and interpretations of those rules, and their impact on our business, though still not fully known, could have implications for the manner in which we conduct our business and, consequently, its profitability. In recent years, changes include requiring that certain financial instruments be cleared by a regulated clearing organization and the new requirement to deliver margin payments for certain derivative transactions. These changes will require adjustments to our operational processes as a result, which may impact certain strategies and businesses. While we continue to examine the requirements of the Dodd-Frank Act and related regulations, as well as new regulations that may become applicable to us in the U.S. and in the European Union (see “Business—Regulation”), and previously announced actual or potential regulations that may be modified, we are not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right="60"/>
        <w:spacing w:after="0" w:line="264" w:lineRule="auto"/>
        <w:rPr>
          <w:sz w:val="20"/>
          <w:szCs w:val="20"/>
          <w:color w:val="auto"/>
        </w:rPr>
      </w:pPr>
      <w:r>
        <w:rPr>
          <w:rFonts w:ascii="Arial" w:cs="Arial" w:eastAsia="Arial" w:hAnsi="Arial"/>
          <w:sz w:val="18"/>
          <w:szCs w:val="18"/>
          <w:color w:val="auto"/>
        </w:rPr>
        <w:t>able to predict the ultimate effect on us. In addition, several states and municipalities in the United States have adopted “pay-to-play” rules, which could limit our ability to charge fees in connection with certain of our Private Capital Advisory (which we historically referred to as Private Fund Advisory) engagements, and could therefore affect the profitability of that portion of our business.</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existing tax laws and regulations are under review in the U.S. and in many other jurisdictions in which we and our clients operate. Actual and proposed changes to these laws and regulations may reduce the level of M&amp;A activity, including cross-border M&amp;A activity.</w:t>
      </w:r>
    </w:p>
    <w:p>
      <w:pPr>
        <w:spacing w:after="0" w:line="17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In particular, the enactment of the Markets in Financial Instruments Directive II (“MiFID II”), regulates the use of soft dollars for certain parts of our business.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The ultimate impact of MiFID II on our use of soft dollars is uncertain, although it may reduce our ability to utilize commissions to pay for research services and other soft dollar services. This would require changes to our operational processes and may result in increased costs allocated to research services. For the year ended December 31, 2016, our Asset Management business obtained research and other services through third-party soft dollar arrangements, the total cost of which we estimate to be approximately $23 million.</w:t>
      </w:r>
    </w:p>
    <w:p>
      <w:pPr>
        <w:spacing w:after="0" w:line="180" w:lineRule="exact"/>
        <w:rPr>
          <w:sz w:val="20"/>
          <w:szCs w:val="20"/>
          <w:color w:val="auto"/>
        </w:rPr>
      </w:pPr>
    </w:p>
    <w:p>
      <w:pPr>
        <w:ind w:right="120" w:firstLine="598"/>
        <w:spacing w:after="0" w:line="284" w:lineRule="auto"/>
        <w:rPr>
          <w:sz w:val="20"/>
          <w:szCs w:val="20"/>
          <w:color w:val="auto"/>
        </w:rPr>
      </w:pPr>
      <w:r>
        <w:rPr>
          <w:rFonts w:ascii="Arial" w:cs="Arial" w:eastAsia="Arial" w:hAnsi="Arial"/>
          <w:sz w:val="16"/>
          <w:szCs w:val="16"/>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may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-160655</wp:posOffset>
            </wp:positionV>
            <wp:extent cx="298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6"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89"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7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against litigation or regulatory action against us.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100" w:firstLine="598"/>
        <w:spacing w:after="0" w:line="253"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color w:val="auto"/>
        </w:rPr>
        <w:t>may adversely affect our clients and us. It is difficult to detect and deter employee misconduct, and the precautions we take to detect and prevent this activity may not be effective in all cases.</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297" w:lineRule="exact"/>
        <w:rPr>
          <w:sz w:val="20"/>
          <w:szCs w:val="20"/>
          <w:color w:val="auto"/>
        </w:rPr>
      </w:pPr>
    </w:p>
    <w:p>
      <w:pPr>
        <w:ind w:right="6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187"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right="40" w:firstLine="598"/>
        <w:spacing w:after="0" w:line="257"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88"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292" w:lineRule="exact"/>
        <w:rPr>
          <w:sz w:val="20"/>
          <w:szCs w:val="20"/>
          <w:color w:val="auto"/>
        </w:rPr>
      </w:pPr>
    </w:p>
    <w:p>
      <w:pPr>
        <w:ind w:right="26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2016.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18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To the extent that we pursue business opportunities outside of the United States,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p>
      <w:pPr>
        <w:ind w:firstLine="598"/>
        <w:spacing w:after="0" w:line="279" w:lineRule="auto"/>
        <w:rPr>
          <w:sz w:val="20"/>
          <w:szCs w:val="20"/>
          <w:color w:val="auto"/>
        </w:rPr>
      </w:pPr>
      <w:r>
        <w:rPr>
          <w:rFonts w:ascii="Arial" w:cs="Arial" w:eastAsia="Arial" w:hAnsi="Arial"/>
          <w:sz w:val="17"/>
          <w:szCs w:val="17"/>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276" w:lineRule="exact"/>
        <w:rPr>
          <w:sz w:val="20"/>
          <w:szCs w:val="20"/>
          <w:color w:val="auto"/>
        </w:rPr>
      </w:pPr>
    </w:p>
    <w:p>
      <w:pPr>
        <w:ind w:right="80" w:firstLine="598"/>
        <w:spacing w:after="0" w:line="313" w:lineRule="auto"/>
        <w:rPr>
          <w:sz w:val="20"/>
          <w:szCs w:val="20"/>
          <w:color w:val="auto"/>
        </w:rPr>
      </w:pPr>
      <w:r>
        <w:rPr>
          <w:rFonts w:ascii="Arial" w:cs="Arial" w:eastAsia="Arial" w:hAnsi="Arial"/>
          <w:sz w:val="17"/>
          <w:szCs w:val="17"/>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34"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As of December 31, 2016, Lazard Group and its subsidiaries had approximately $1.2 billion in debt (including capital lease obligations) outstanding, of which $500 million, $400 million and $300 million relate to Lazard Group senior notes that mature in 2020, 2025 and 2027,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271"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296" w:lineRule="exact"/>
        <w:rPr>
          <w:sz w:val="20"/>
          <w:szCs w:val="20"/>
          <w:color w:val="auto"/>
        </w:rPr>
      </w:pPr>
    </w:p>
    <w:p>
      <w:pPr>
        <w:ind w:right="18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14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U.S. and foreign governments, institutions (including the European Union and the Organization of Economically Developed Countries) and tax officials are actively reviewing many laws, regulations, and treaties that currently govern the taxation of multinational companies. Any changes to such laws, regulations and treaties that impact us could materially adversely affect our business, financial condition or results of operations. Furthermore, U.S. lawmakers are considering several U.S. tax reform proposals. No proposed legislation in respect of comprehensive tax reform has been filed. The details of the tax reform proposals under consideration, and the likelihood that any of the proposals will be enacted, is uncertain. We are examining many aspects of the current proposals and their potential impact on the Company. We are currently unable to predict the ultimate outcome of any of these proposals and therefore our potential actions with respect to them.</w:t>
      </w:r>
    </w:p>
    <w:p>
      <w:pPr>
        <w:spacing w:after="0" w:line="185" w:lineRule="exact"/>
        <w:rPr>
          <w:sz w:val="20"/>
          <w:szCs w:val="20"/>
          <w:color w:val="auto"/>
        </w:rPr>
      </w:pPr>
    </w:p>
    <w:p>
      <w:pPr>
        <w:ind w:right="6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60" w:firstLine="598"/>
        <w:spacing w:after="0" w:line="276" w:lineRule="auto"/>
        <w:rPr>
          <w:sz w:val="20"/>
          <w:szCs w:val="20"/>
          <w:color w:val="auto"/>
        </w:rPr>
      </w:pPr>
      <w:r>
        <w:rPr>
          <w:rFonts w:ascii="Arial" w:cs="Arial" w:eastAsia="Arial" w:hAnsi="Arial"/>
          <w:sz w:val="17"/>
          <w:szCs w:val="17"/>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69" w:lineRule="exact"/>
        <w:rPr>
          <w:sz w:val="20"/>
          <w:szCs w:val="20"/>
          <w:color w:val="auto"/>
        </w:rPr>
      </w:pPr>
    </w:p>
    <w:p>
      <w:pPr>
        <w:ind w:right="12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a significant presence in many European Union countries, including the United Kingdom.</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June 2016, the U.K. voted in favor of a referendum to leave the European Union, and in February 2017 the U.K.’s House of Commons voted to approve the initiation of formal exit discussions with the European Union. At the time that the U.K. ultimately leaves the European Union, the commercial, regulatory and legal environment that would exist, and to which the Company’s U.K. operations would be subject, would be impacted by the nature of arrangements that are yet to be determined between the U.K and the European Union. These arrangements are hard to predict, and uncertainty regarding their outcome may continue for a significant period of time. The Company currently does not believe that any of the potential arrangements that are likely to be agreed would have a material adverse impact on the Company’s business. These potential arrangements may, however, result in certain changes in the way that we conduct our businesses, which could result in increased costs. In addition, the result of the referendum and the uncertainty it produced has impacted geopolitical perspectives and macroeconomic factors including interest rates, foreign currency exchange rates and equity markets, and it has increased volatility in many of the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9" w:name="page30"/>
    <w:bookmarkEnd w:id="29"/>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websites,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xml:space="preserve"> Our websites and social media sites and the information contained therein or connected thereto shall not be deemed to be incorporated into this Form 10-K.</w:t>
      </w:r>
    </w:p>
    <w:p>
      <w:pPr>
        <w:spacing w:after="0" w:line="36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2016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2016. As a general matter, one or both of our Financial Advisory and Asset Management segments (as well as our Corporate segment) uses the following properties. Our London and other offices sublease 71,207 and 25,000 square feet, respectively,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Square Footage</w:t>
            </w:r>
          </w:p>
        </w:tc>
        <w:tc>
          <w:tcPr>
            <w:tcW w:w="4960" w:type="dxa"/>
            <w:vAlign w:val="bottom"/>
          </w:tcPr>
          <w:p>
            <w:pPr>
              <w:ind w:left="226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3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80" w:type="dxa"/>
            <w:vAlign w:val="bottom"/>
            <w:tcBorders>
              <w:top w:val="single" w:sz="8" w:color="CFF0FC"/>
            </w:tcBorders>
            <w:shd w:val="clear" w:color="auto" w:fill="CFF0FC"/>
          </w:tcPr>
          <w:p>
            <w:pPr>
              <w:spacing w:after="0"/>
              <w:rPr>
                <w:sz w:val="18"/>
                <w:szCs w:val="18"/>
                <w:color w:val="auto"/>
              </w:rPr>
            </w:pPr>
          </w:p>
        </w:tc>
        <w:tc>
          <w:tcPr>
            <w:tcW w:w="2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413,375 square feet of</w:t>
            </w:r>
          </w:p>
        </w:tc>
        <w:tc>
          <w:tcPr>
            <w:tcW w:w="180" w:type="dxa"/>
            <w:vAlign w:val="bottom"/>
            <w:tcBorders>
              <w:top w:val="single" w:sz="8" w:color="CFF0FC"/>
            </w:tcBorders>
            <w:shd w:val="clear" w:color="auto" w:fill="CFF0FC"/>
          </w:tcPr>
          <w:p>
            <w:pPr>
              <w:spacing w:after="0"/>
              <w:rPr>
                <w:sz w:val="18"/>
                <w:szCs w:val="18"/>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office located at 30 Rockefeller Plaza</w:t>
            </w:r>
          </w:p>
        </w:tc>
      </w:tr>
      <w:tr>
        <w:trPr>
          <w:trHeight w:val="230"/>
        </w:trPr>
        <w:tc>
          <w:tcPr>
            <w:tcW w:w="3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4"/>
              </w:rPr>
              <w:t>leased space</w:t>
            </w:r>
          </w:p>
        </w:tc>
        <w:tc>
          <w:tcPr>
            <w:tcW w:w="4960" w:type="dxa"/>
            <w:vAlign w:val="bottom"/>
            <w:shd w:val="clear" w:color="auto" w:fill="CFF0FC"/>
          </w:tcPr>
          <w:p>
            <w:pPr>
              <w:spacing w:after="0"/>
              <w:rPr>
                <w:sz w:val="20"/>
                <w:szCs w:val="20"/>
                <w:color w:val="auto"/>
              </w:rPr>
            </w:pP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Other North America</w:t>
            </w: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189,748 square feet of</w:t>
            </w:r>
          </w:p>
        </w:tc>
        <w:tc>
          <w:tcPr>
            <w:tcW w:w="4960" w:type="dxa"/>
            <w:vAlign w:val="bottom"/>
          </w:tcPr>
          <w:p>
            <w:pPr>
              <w:spacing w:after="0"/>
              <w:rPr>
                <w:sz w:val="20"/>
                <w:szCs w:val="20"/>
                <w:color w:val="auto"/>
              </w:rPr>
            </w:pPr>
            <w:r>
              <w:rPr>
                <w:rFonts w:ascii="Arial" w:cs="Arial" w:eastAsia="Arial" w:hAnsi="Arial"/>
                <w:sz w:val="18"/>
                <w:szCs w:val="18"/>
                <w:color w:val="auto"/>
              </w:rPr>
              <w:t>Boston, Charlotte, Chicago, Houston, Los</w:t>
            </w:r>
          </w:p>
        </w:tc>
      </w:tr>
      <w:tr>
        <w:trPr>
          <w:trHeight w:val="230"/>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leased space</w:t>
            </w:r>
          </w:p>
        </w:tc>
        <w:tc>
          <w:tcPr>
            <w:tcW w:w="4960" w:type="dxa"/>
            <w:vAlign w:val="bottom"/>
          </w:tcPr>
          <w:p>
            <w:pPr>
              <w:spacing w:after="0"/>
              <w:rPr>
                <w:sz w:val="20"/>
                <w:szCs w:val="20"/>
                <w:color w:val="auto"/>
              </w:rPr>
            </w:pPr>
            <w:r>
              <w:rPr>
                <w:rFonts w:ascii="Arial" w:cs="Arial" w:eastAsia="Arial" w:hAnsi="Arial"/>
                <w:sz w:val="18"/>
                <w:szCs w:val="18"/>
                <w:color w:val="auto"/>
              </w:rPr>
              <w:t>Angeles, Minneapolis and San Francisco</w:t>
            </w:r>
          </w:p>
        </w:tc>
      </w:tr>
      <w:tr>
        <w:trPr>
          <w:trHeight w:val="215"/>
        </w:trPr>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Paris</w:t>
            </w:r>
          </w:p>
        </w:tc>
        <w:tc>
          <w:tcPr>
            <w:tcW w:w="3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148,502 square feet of</w:t>
            </w: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Principal office located at 121 Boulevard Haussmann</w:t>
            </w:r>
          </w:p>
        </w:tc>
      </w:tr>
      <w:tr>
        <w:trPr>
          <w:trHeight w:val="230"/>
        </w:trPr>
        <w:tc>
          <w:tcPr>
            <w:tcW w:w="3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7"/>
              </w:rPr>
              <w:t>owned and leased space</w:t>
            </w:r>
          </w:p>
        </w:tc>
        <w:tc>
          <w:tcPr>
            <w:tcW w:w="4960" w:type="dxa"/>
            <w:vAlign w:val="bottom"/>
            <w:shd w:val="clear" w:color="auto" w:fill="CFF0FC"/>
          </w:tcPr>
          <w:p>
            <w:pPr>
              <w:spacing w:after="0"/>
              <w:rPr>
                <w:sz w:val="20"/>
                <w:szCs w:val="20"/>
                <w:color w:val="auto"/>
              </w:rPr>
            </w:pP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London</w:t>
            </w: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142,371 square feet of</w:t>
            </w:r>
          </w:p>
        </w:tc>
        <w:tc>
          <w:tcPr>
            <w:tcW w:w="496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r>
      <w:tr>
        <w:trPr>
          <w:trHeight w:val="230"/>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leased space</w:t>
            </w:r>
          </w:p>
        </w:tc>
        <w:tc>
          <w:tcPr>
            <w:tcW w:w="4960" w:type="dxa"/>
            <w:vAlign w:val="bottom"/>
          </w:tcPr>
          <w:p>
            <w:pPr>
              <w:spacing w:after="0"/>
              <w:rPr>
                <w:sz w:val="20"/>
                <w:szCs w:val="20"/>
                <w:color w:val="auto"/>
              </w:rPr>
            </w:pPr>
          </w:p>
        </w:tc>
      </w:tr>
      <w:tr>
        <w:trPr>
          <w:trHeight w:val="215"/>
        </w:trPr>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Europe</w:t>
            </w:r>
          </w:p>
        </w:tc>
        <w:tc>
          <w:tcPr>
            <w:tcW w:w="3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108,301 square feet of</w:t>
            </w: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Amsterdam, Bordeaux, Brussels, Frankfurt, Hamburg,</w:t>
            </w:r>
          </w:p>
        </w:tc>
      </w:tr>
      <w:tr>
        <w:trPr>
          <w:trHeight w:val="230"/>
        </w:trPr>
        <w:tc>
          <w:tcPr>
            <w:tcW w:w="3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4"/>
              </w:rPr>
              <w:t>leased space</w:t>
            </w: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Lyon, Madrid, Milan, Nantes, Stockholm and Zurich</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Asia, Australia and Other</w:t>
            </w: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103,772 square feet of</w:t>
            </w:r>
          </w:p>
        </w:tc>
        <w:tc>
          <w:tcPr>
            <w:tcW w:w="4960" w:type="dxa"/>
            <w:vAlign w:val="bottom"/>
          </w:tcPr>
          <w:p>
            <w:pPr>
              <w:spacing w:after="0"/>
              <w:rPr>
                <w:sz w:val="20"/>
                <w:szCs w:val="20"/>
                <w:color w:val="auto"/>
              </w:rPr>
            </w:pPr>
            <w:r>
              <w:rPr>
                <w:rFonts w:ascii="Arial" w:cs="Arial" w:eastAsia="Arial" w:hAnsi="Arial"/>
                <w:sz w:val="18"/>
                <w:szCs w:val="18"/>
                <w:color w:val="auto"/>
              </w:rPr>
              <w:t>Beijing, Bogota, Buenos Aires, Dubai, Hong Kong, Lima,</w:t>
            </w: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leased space</w:t>
            </w:r>
          </w:p>
        </w:tc>
        <w:tc>
          <w:tcPr>
            <w:tcW w:w="4960" w:type="dxa"/>
            <w:vAlign w:val="bottom"/>
          </w:tcPr>
          <w:p>
            <w:pPr>
              <w:spacing w:after="0"/>
              <w:rPr>
                <w:sz w:val="20"/>
                <w:szCs w:val="20"/>
                <w:color w:val="auto"/>
              </w:rPr>
            </w:pPr>
            <w:r>
              <w:rPr>
                <w:rFonts w:ascii="Arial" w:cs="Arial" w:eastAsia="Arial" w:hAnsi="Arial"/>
                <w:sz w:val="18"/>
                <w:szCs w:val="18"/>
                <w:color w:val="auto"/>
              </w:rPr>
              <w:t>Melbourne, Mumbai, Panama City, Perth, Riyadh, Santiago,</w:t>
            </w:r>
          </w:p>
        </w:tc>
      </w:tr>
      <w:tr>
        <w:trPr>
          <w:trHeight w:val="230"/>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São Paulo, Seoul, Singapore, Sydney and Tokyo</w:t>
            </w:r>
          </w:p>
        </w:tc>
      </w:tr>
    </w:tbl>
    <w:p>
      <w:pPr>
        <w:spacing w:after="0" w:line="3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As of December 31, 2016, all of our common membership interests are held by indirect wholly-owned subsidiaries of Lazard Ltd. Our co-managing member interests are held by two indirect wholly-owned subsidiaries of Lazard Ltd, and our profit participation interests are held by various managing directors. There are no public trading markets for any of these interests.</w:t>
      </w:r>
    </w:p>
    <w:p>
      <w:pPr>
        <w:spacing w:after="0" w:line="73"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Pursuant to provisions of its Amended and Restated Operating Agreement, Lazard Group allocates and distributes to its members a substantial portion of its distributable profits in installments as soon as practicable after the end of each fiscal year. Such installment distributions usually begin in February.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 During the years ended December 31, 2016, 2015 and 2014, Lazard Group distributed approximately $301.3 million, $129.8 million and $320.5 million, respectively, to the subsidiaries of Lazard Ltd. Also, during the year ended December 31, 2014, Lazard Group distributed approximately $1.9 million to LAZ-MD Holdings.</w:t>
      </w:r>
    </w:p>
    <w:p>
      <w:pPr>
        <w:spacing w:after="0" w:line="28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2016 have been derived from Lazard Group’s consolidated financial statements. The audited consolidated statements of financial condition as of December 31, 2016 and 2015 and audited consolidated statements of operations for each of the years in the three year period ended December 31, 2016 are included in this Form 10-K. The audited consolidated statements of financial condition as of December 31, 2014, 2013 and 2012, and the audited consolidated statements of operations for the years ended December 31, 2013 and 2012, are not included in this Form 10-K. Historical results should not be considered an indication of results for any future period.</w:t>
      </w:r>
    </w:p>
    <w:p>
      <w:pPr>
        <w:spacing w:after="0" w:line="193" w:lineRule="exact"/>
        <w:rPr>
          <w:sz w:val="20"/>
          <w:szCs w:val="20"/>
          <w:color w:val="auto"/>
        </w:rPr>
      </w:pPr>
    </w:p>
    <w:p>
      <w:pPr>
        <w:ind w:right="38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 (a)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1,111,105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1,039,130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(22,489)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(40,457)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(40,593)</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(35,633)</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(37,220)</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2,329,871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2,350,276</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2,300,736</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1,984,074</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1,908,130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1,338,819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1,319,620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1,313,550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1,278,479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1,351,076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469,059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499,811</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446,211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486,586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435,461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1,807,878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1,819,431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1,759,761</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1,765,065</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1,786,537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521,993</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530,845</w:t>
            </w:r>
          </w:p>
        </w:tc>
        <w:tc>
          <w:tcPr>
            <w:tcW w:w="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540,975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219,009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121,593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472,320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449,297</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463,160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186,767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Group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466,327</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442,738</w:t>
            </w:r>
          </w:p>
        </w:tc>
        <w:tc>
          <w:tcPr>
            <w:tcW w:w="8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457,004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183,063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 (f)</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3,515,984</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3,389,054</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3,163,773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3,085,404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3,041,900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(g)</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1,055,600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Group Members’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678,894</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649,759</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431,546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469,472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453,179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Members’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736,140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702,900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197,910,000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186,380,000</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197,103,000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186,924,000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167,060,000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194,808,000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195,987,000</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196,037,000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173,702,000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155,549,000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p>
      <w:pPr>
        <w:spacing w:after="0" w:line="229" w:lineRule="exact"/>
        <w:rPr>
          <w:sz w:val="20"/>
          <w:szCs w:val="20"/>
          <w:color w:val="auto"/>
        </w:rPr>
      </w:pPr>
    </w:p>
    <w:p>
      <w:pPr>
        <w:ind w:left="600" w:hanging="59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Advisory net revenue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M&amp;A and Other Advisory</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1,030,891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1,104,146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1,010,830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768,790</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792,928</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Capital Raising</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68,431</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69,631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81,143</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78,916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73,403</w:t>
            </w:r>
          </w:p>
        </w:tc>
        <w:tc>
          <w:tcPr>
            <w:tcW w:w="100" w:type="dxa"/>
            <w:vAlign w:val="bottom"/>
            <w:tcBorders>
              <w:bottom w:val="single" w:sz="8" w:color="CFF0FC"/>
            </w:tcBorders>
          </w:tcPr>
          <w:p>
            <w:pPr>
              <w:spacing w:after="0"/>
              <w:rPr>
                <w:sz w:val="18"/>
                <w:szCs w:val="18"/>
                <w:color w:val="auto"/>
              </w:rPr>
            </w:pPr>
          </w:p>
        </w:tc>
      </w:tr>
      <w:tr>
        <w:trPr>
          <w:trHeight w:val="213"/>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Strategic Advisory</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1,099,322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1,173,777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1,091,973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847,706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866,331</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201,722</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114,761</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132,871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182,759</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Financial Advisory Net Revenue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1,049,090</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966,797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1,018,772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903,956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806,044</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Incentive Fees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78,342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43,661</w:t>
            </w:r>
          </w:p>
        </w:tc>
        <w:tc>
          <w:tcPr>
            <w:tcW w:w="100" w:type="dxa"/>
            <w:vAlign w:val="bottom"/>
          </w:tcPr>
          <w:p>
            <w:pPr>
              <w:spacing w:after="0"/>
              <w:rPr>
                <w:sz w:val="18"/>
                <w:szCs w:val="18"/>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68,929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86,012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63,957</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56,832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46,555</w:t>
            </w:r>
          </w:p>
        </w:tc>
        <w:tc>
          <w:tcPr>
            <w:tcW w:w="100" w:type="dxa"/>
            <w:vAlign w:val="bottom"/>
            <w:shd w:val="clear" w:color="auto" w:fill="CFF0FC"/>
          </w:tcPr>
          <w:p>
            <w:pPr>
              <w:spacing w:after="0"/>
              <w:rPr>
                <w:sz w:val="19"/>
                <w:szCs w:val="19"/>
                <w:color w:val="auto"/>
              </w:rPr>
            </w:pPr>
          </w:p>
        </w:tc>
      </w:tr>
      <w:tr>
        <w:trPr>
          <w:trHeight w:val="207"/>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1,051,316</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1,111,105</w:t>
            </w: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1,134,595</w:t>
            </w:r>
          </w:p>
        </w:tc>
        <w:tc>
          <w:tcPr>
            <w:tcW w:w="2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1,039,130</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896,260</w:t>
            </w:r>
          </w:p>
        </w:tc>
        <w:tc>
          <w:tcPr>
            <w:tcW w:w="10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right="180" w:hanging="592"/>
        <w:spacing w:after="0" w:line="258"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investment income (losses) from certain investments and net revenue earned by LFB through its commercial banking operations.</w:t>
      </w:r>
    </w:p>
    <w:p>
      <w:pPr>
        <w:spacing w:after="0" w:line="1" w:lineRule="exact"/>
        <w:rPr>
          <w:rFonts w:ascii="Arial" w:cs="Arial" w:eastAsia="Arial" w:hAnsi="Arial"/>
          <w:sz w:val="18"/>
          <w:szCs w:val="18"/>
          <w:color w:val="auto"/>
        </w:rPr>
      </w:pPr>
    </w:p>
    <w:p>
      <w:pPr>
        <w:ind w:left="600" w:right="40" w:hanging="592"/>
        <w:spacing w:after="0" w:line="302"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92" w:right="300"/>
        <w:spacing w:after="0" w:line="268" w:lineRule="auto"/>
        <w:rPr>
          <w:sz w:val="20"/>
          <w:szCs w:val="20"/>
          <w:color w:val="auto"/>
        </w:rPr>
      </w:pPr>
      <w:r>
        <w:rPr>
          <w:rFonts w:ascii="Arial" w:cs="Arial" w:eastAsia="Arial" w:hAnsi="Arial"/>
          <w:sz w:val="17"/>
          <w:szCs w:val="17"/>
          <w:color w:val="auto"/>
        </w:rPr>
        <w:t>revenue may be recognized in the future and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w:t>
      </w:r>
    </w:p>
    <w:p>
      <w:pPr>
        <w:spacing w:after="0" w:line="3" w:lineRule="exact"/>
        <w:rPr>
          <w:sz w:val="20"/>
          <w:szCs w:val="20"/>
          <w:color w:val="auto"/>
        </w:rPr>
      </w:pPr>
    </w:p>
    <w:p>
      <w:pPr>
        <w:ind w:left="592" w:hanging="592"/>
        <w:spacing w:after="0" w:line="250"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 in 2016, non-compensation costs of $30,067 due to the change in fair value of the contingent consideration associated with the Edgewater business acquisition, (ii) in 2015, non-compensation costs of $60,219 relating to the redemption of a significant portion of the Company’s 6.85% senior notes maturing on June 15, 2017, (iii) in 2013, $13,304 relating to the cost saving initiatives announced by the Company in October 2012 and $54,087 related to the refinancing of the Company’s 7.125% senior notes maturing on May 15, 2015, and (iv) in 2012, non-compensation costs of $2,905 recorded in the first quarter associated with staff reductions and $2,589 recorded in the fourth quarter relating to the cost saving initiatives announced by the Company in October 2012.</w:t>
      </w:r>
    </w:p>
    <w:p>
      <w:pPr>
        <w:spacing w:after="0" w:line="2" w:lineRule="exact"/>
        <w:rPr>
          <w:rFonts w:ascii="Arial" w:cs="Arial" w:eastAsia="Arial" w:hAnsi="Arial"/>
          <w:sz w:val="18"/>
          <w:szCs w:val="18"/>
          <w:color w:val="auto"/>
        </w:rPr>
      </w:pPr>
    </w:p>
    <w:p>
      <w:pPr>
        <w:ind w:left="592" w:right="440" w:hanging="592"/>
        <w:spacing w:after="0" w:line="250"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retrospective application of new guidance adopted by the Company on classification of debt issuance costs. See Note 3 of Notes to Consolidated Financial Statements.</w:t>
      </w:r>
    </w:p>
    <w:p>
      <w:pPr>
        <w:ind w:left="592" w:hanging="592"/>
        <w:spacing w:after="0" w:line="255" w:lineRule="auto"/>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 and capital lease obligations and reflects the retrospective application of new guidance adopted by the Company on classification of debt issuance costs. See Note 3 of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4" w:name="page35"/>
    <w:bookmarkEnd w:id="34"/>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2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8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1200" w:right="50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630"/>
              <w:spacing w:after="0"/>
              <w:rPr>
                <w:sz w:val="20"/>
                <w:szCs w:val="20"/>
                <w:color w:val="auto"/>
              </w:rPr>
            </w:pPr>
            <w:r>
              <w:rPr>
                <w:rFonts w:ascii="Arial" w:cs="Arial" w:eastAsia="Arial" w:hAnsi="Arial"/>
                <w:sz w:val="18"/>
                <w:szCs w:val="18"/>
                <w:color w:val="auto"/>
              </w:rPr>
              <w:t>33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9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ind w:right="180" w:firstLine="598"/>
        <w:spacing w:after="0" w:line="297"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(see Note 12 of Notes to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93"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Equity market indices for developed and emerging markets at December 31, 2016 increased as compared to such indices at December 31, 2015. In the global M&amp;A markets during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2016, global restructuring activity, as measured by the number of corporate defaults, increased as compared to 2015, primarily due to a higher level of defaults in the energy sector.</w:t>
      </w:r>
    </w:p>
    <w:p>
      <w:pPr>
        <w:spacing w:after="0" w:line="15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Entering 2017, volatile market conditions continue. On an ongoing basis, regional macroeconomic and geopolitical factors, including any potential regional tax or regulatory reform, may impact our business. However, corporate cash balances remain high, and interest rates remain low for companies with strong credit ratings. Although market volatility may continue and may affect our business in 2017, the longer-term trends appear to remain favorable for both of our businesses.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20" w:hanging="598"/>
        <w:spacing w:after="0" w:line="290"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M&amp;A activity appear to remain in place. Demand continues for expert,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Lazard Ltd expanded its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58" w:lineRule="exact"/>
        <w:rPr>
          <w:rFonts w:ascii="Arial" w:cs="Arial" w:eastAsia="Arial" w:hAnsi="Arial"/>
          <w:sz w:val="16"/>
          <w:szCs w:val="16"/>
          <w:color w:val="auto"/>
        </w:rPr>
      </w:pPr>
    </w:p>
    <w:p>
      <w:pPr>
        <w:ind w:left="1200" w:right="60" w:hanging="598"/>
        <w:spacing w:after="0" w:line="270"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Asset Management </w:t>
      </w:r>
      <w:r>
        <w:rPr>
          <w:rFonts w:ascii="Arial" w:cs="Arial" w:eastAsia="Arial" w:hAnsi="Arial"/>
          <w:sz w:val="17"/>
          <w:szCs w:val="17"/>
          <w:color w:val="auto"/>
        </w:rPr>
        <w:t>– In the short to intermediate term, we expect most investor demand will come from defined benefit and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 Real Assets strategy and Middle East North African Equities.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36" w:name="page37"/>
    <w:bookmarkEnd w:id="36"/>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60" w:firstLine="440"/>
        <w:spacing w:after="0" w:line="312"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including completed transactions with values greater than $500 million, decreased in 2016 as compared to 2015. With respect to announced M&amp;A transactions, the value and number of all transactions, including announced transactions with values greater than $500 million, also decreased in 2016 as compared to 2015.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1"/>
                <w:szCs w:val="11"/>
                <w:color w:val="auto"/>
              </w:rPr>
            </w:pPr>
          </w:p>
        </w:tc>
        <w:tc>
          <w:tcPr>
            <w:tcW w:w="11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112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1"/>
              </w:rPr>
              <w:t>in billions)</w:t>
            </w: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w:t>
            </w:r>
          </w:p>
        </w:tc>
        <w:tc>
          <w:tcPr>
            <w:tcW w:w="5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4,095</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35,788</w:t>
            </w:r>
          </w:p>
        </w:tc>
        <w:tc>
          <w:tcPr>
            <w:tcW w:w="560" w:type="dxa"/>
            <w:vAlign w:val="bottom"/>
          </w:tcPr>
          <w:p>
            <w:pPr>
              <w:spacing w:after="0"/>
              <w:rPr>
                <w:sz w:val="19"/>
                <w:szCs w:val="19"/>
                <w:color w:val="auto"/>
              </w:rPr>
            </w:pP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39,922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2,824</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3,145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1,257</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3,838</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4,661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37,148</w:t>
            </w:r>
          </w:p>
        </w:tc>
        <w:tc>
          <w:tcPr>
            <w:tcW w:w="5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40,376</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5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3,671</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Number</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1,216</w:t>
            </w:r>
          </w:p>
        </w:tc>
        <w:tc>
          <w:tcPr>
            <w:tcW w:w="560" w:type="dxa"/>
            <w:vAlign w:val="bottom"/>
          </w:tcPr>
          <w:p>
            <w:pPr>
              <w:spacing w:after="0"/>
              <w:rPr>
                <w:sz w:val="20"/>
                <w:szCs w:val="20"/>
                <w:color w:val="auto"/>
              </w:rPr>
            </w:pPr>
          </w:p>
        </w:tc>
        <w:tc>
          <w:tcPr>
            <w:tcW w:w="1180" w:type="dxa"/>
            <w:vAlign w:val="bottom"/>
          </w:tcPr>
          <w:p>
            <w:pPr>
              <w:jc w:val="right"/>
              <w:ind w:right="234"/>
              <w:spacing w:after="0"/>
              <w:rPr>
                <w:sz w:val="20"/>
                <w:szCs w:val="20"/>
                <w:color w:val="auto"/>
              </w:rPr>
            </w:pPr>
            <w:r>
              <w:rPr>
                <w:rFonts w:ascii="Arial" w:cs="Arial" w:eastAsia="Arial" w:hAnsi="Arial"/>
                <w:sz w:val="18"/>
                <w:szCs w:val="18"/>
                <w:color w:val="auto"/>
              </w:rPr>
              <w:t>1,314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6, 2017.</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Global restructuring activity during 2016, as measured by the number of corporate defaults, increased as compared to 2015. The number of defaulting issuers increased to 142 in 2016, according to Moody’s Investors Service, Inc., as compared to 108 in 2015, primarily due to a higher level of defaults in the energy sector.</w:t>
      </w:r>
    </w:p>
    <w:p>
      <w:pPr>
        <w:spacing w:after="0" w:line="181"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7% in 2016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both"/>
        <w:ind w:right="280"/>
        <w:spacing w:after="0" w:line="264" w:lineRule="auto"/>
        <w:rPr>
          <w:sz w:val="20"/>
          <w:szCs w:val="20"/>
          <w:color w:val="auto"/>
        </w:rPr>
      </w:pPr>
      <w:r>
        <w:rPr>
          <w:rFonts w:ascii="Arial" w:cs="Arial" w:eastAsia="Arial" w:hAnsi="Arial"/>
          <w:sz w:val="18"/>
          <w:szCs w:val="18"/>
          <w:color w:val="auto"/>
        </w:rPr>
        <w:t>compared to 2015. The industry statistics for global M&amp;A transactions described above reflect a 10% decrease in the value and number of all completed transactions in 2016 as compared to 2015. For M&amp;A deals with values greater than $500 million, the value and number of completed transactions in 2016 decreased 10% and 11%, respectively, as compared to 2015.</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2016, as compared to such indices at December 31, 2015, and (ii) at December 31, 2015, as compared to such indices at December 31, 2014, is shown in the table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Percentage Changes</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59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223"/>
        </w:trPr>
        <w:tc>
          <w:tcPr>
            <w:tcW w:w="59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6"/>
              </w:rPr>
              <w:t>2016 vs. 2015</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8"/>
              </w:rPr>
              <w:t>2015 vs. 2014</w:t>
            </w:r>
          </w:p>
        </w:tc>
        <w:tc>
          <w:tcPr>
            <w:tcW w:w="3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r>
      <w:tr>
        <w:trPr>
          <w:trHeight w:val="230"/>
        </w:trPr>
        <w:tc>
          <w:tcPr>
            <w:tcW w:w="7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10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41" w:lineRule="exact"/>
        <w:rPr>
          <w:sz w:val="20"/>
          <w:szCs w:val="20"/>
          <w:color w:val="auto"/>
        </w:rPr>
      </w:pPr>
    </w:p>
    <w:p>
      <w:pPr>
        <w:jc w:val="both"/>
        <w:ind w:right="80" w:firstLine="59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jc w:val="both"/>
        <w:ind w:right="80"/>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December 31, 2016 increased 6% versus AUM at December 31, 2015, due to market appreciation and net inflows, partially offset by adverse foreign exchange movements. Average AUM for 2016 decreased 1% as compared to average AUM in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spacing w:after="0" w:line="293" w:lineRule="auto"/>
        <w:rPr>
          <w:sz w:val="20"/>
          <w:szCs w:val="20"/>
          <w:color w:val="auto"/>
        </w:rPr>
      </w:pPr>
      <w:r>
        <w:rPr>
          <w:rFonts w:ascii="Arial" w:cs="Arial" w:eastAsia="Arial" w:hAnsi="Arial"/>
          <w:sz w:val="16"/>
          <w:szCs w:val="16"/>
          <w:color w:val="auto"/>
        </w:rPr>
        <w:t>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65"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Although Corporate segment net revenue during 2016 is not significant compared to Lazard’s net revenue, total assets in the Corporate segment represented 57% of Lazard’s consolidated total assets as of December 31, 2016,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1200" w:right="50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jc w:val="both"/>
        <w:ind w:left="1800" w:right="540" w:hanging="603"/>
        <w:spacing w:after="0" w:line="264"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2017 related to the 2016 year-end compensation process), including PRSU awards (based on the target payout level);</w:t>
      </w:r>
    </w:p>
    <w:p>
      <w:pPr>
        <w:spacing w:after="0" w:line="73" w:lineRule="exact"/>
        <w:rPr>
          <w:rFonts w:ascii="Arial" w:cs="Arial" w:eastAsia="Arial" w:hAnsi="Arial"/>
          <w:sz w:val="18"/>
          <w:szCs w:val="18"/>
          <w:color w:val="auto"/>
        </w:rPr>
      </w:pPr>
    </w:p>
    <w:p>
      <w:pPr>
        <w:ind w:left="1800" w:right="100" w:hanging="603"/>
        <w:spacing w:after="0" w:line="27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hanging="603"/>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both"/>
        <w:ind w:right="40" w:firstLine="598"/>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w:t>
      </w:r>
    </w:p>
    <w:p>
      <w:pPr>
        <w:ind w:right="20"/>
        <w:spacing w:after="0" w:line="252" w:lineRule="auto"/>
        <w:rPr>
          <w:sz w:val="20"/>
          <w:szCs w:val="20"/>
          <w:color w:val="auto"/>
        </w:rPr>
      </w:pPr>
      <w:r>
        <w:rPr>
          <w:rFonts w:ascii="Arial" w:cs="Arial" w:eastAsia="Arial" w:hAnsi="Arial"/>
          <w:sz w:val="18"/>
          <w:szCs w:val="18"/>
          <w:color w:val="auto"/>
        </w:rPr>
        <w:t>55.8% and 56.5%, respectively, for the year ended December 31, 2016. While we have implemented initiatives that we believe will assist us in continuing to attain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94"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2016 and 2015, non-compensation expense included expenses related to the redemption of the Company’s 6.85% senior notes due 2017 (the “2017 Notes”) (see Note 11 of Notes to Consolidated Financial Statements).</w:t>
      </w:r>
    </w:p>
    <w:p>
      <w:pPr>
        <w:spacing w:after="0" w:line="187"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Our operating expenses also include our “amortization and other acquisition-related costs”. “Amortization and other acquisition-related costs” include the change in fair value of the contingent consideration associated with certain business acquisitions and pertain primarily to the acquisition of Edgewater.</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16 of Notes to Consolidated Financial Statements for additional information).</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Noncontrolling interests primarily consist of amounts related to Edgewater’s management vehicles that the Company is deemed to control but not own. See Note 13 of Notes to Consolidated Financial Statements for information regarding the Company’s noncontrolling interests.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18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120" w:firstLine="59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years ended December 31, 2016 and 2015 was negatively impacted in comparison to the prior year period, with the effects mainly in 2015.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2,329,871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2,350,276</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2,300,736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1,338,819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1,313,550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436,520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493,990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439,824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1,807,878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1,819,431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521,993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449,297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442,738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457,004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revenue</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2,329,871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2,350,276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2,300,736</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67,687</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(15,592)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(14,956)</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Private equity revenue adjustment (c)</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acquisition of MBA Lazard (d)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(12,668)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(Gains) losses on investments pertaining to LFI (e)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2,380,526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2,346,141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560" w:hanging="592"/>
        <w:spacing w:after="0" w:line="274"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20" w:hanging="592"/>
        <w:spacing w:after="0" w:line="250"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300" w:hanging="592"/>
        <w:spacing w:after="0" w:line="255"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-975995</wp:posOffset>
            </wp:positionV>
            <wp:extent cx="11150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left="600" w:right="180"/>
        <w:spacing w:after="0" w:line="258" w:lineRule="auto"/>
        <w:rPr>
          <w:sz w:val="20"/>
          <w:szCs w:val="20"/>
          <w:color w:val="auto"/>
        </w:rPr>
      </w:pPr>
      <w:r>
        <w:rPr>
          <w:rFonts w:ascii="Arial" w:cs="Arial" w:eastAsia="Arial" w:hAnsi="Arial"/>
          <w:sz w:val="18"/>
          <w:szCs w:val="18"/>
          <w:color w:val="auto"/>
        </w:rPr>
        <w:t>recognition of an obligation of $12,203 with the management of the disposed business, which obligation was previously recognized for U.S. GAAP purposes.</w:t>
      </w:r>
    </w:p>
    <w:p>
      <w:pPr>
        <w:spacing w:after="0" w:line="1" w:lineRule="exact"/>
        <w:rPr>
          <w:sz w:val="20"/>
          <w:szCs w:val="20"/>
          <w:color w:val="auto"/>
        </w:rPr>
      </w:pPr>
    </w:p>
    <w:p>
      <w:pPr>
        <w:ind w:left="600" w:right="60" w:hanging="592"/>
        <w:spacing w:after="0" w:line="250"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gain on the acquisition of MBA Lazard (which resulted from the increase in the fair value of the Company’s investment in MBA Lazard prior to the acquisition).</w:t>
      </w:r>
    </w:p>
    <w:p>
      <w:pPr>
        <w:ind w:left="600" w:right="240" w:hanging="592"/>
        <w:spacing w:after="0" w:line="261"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1,338,819</w:t>
            </w:r>
          </w:p>
        </w:tc>
        <w:tc>
          <w:tcPr>
            <w:tcW w:w="180" w:type="dxa"/>
            <w:vAlign w:val="bottom"/>
          </w:tcPr>
          <w:p>
            <w:pPr>
              <w:spacing w:after="0"/>
              <w:rPr>
                <w:sz w:val="19"/>
                <w:szCs w:val="19"/>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1,319,620</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1,313,550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(11,899)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(4,776)</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(3,318)</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1,323,602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1,318,671</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1,301,657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(352,403)</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(320,751)</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(299,230)</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Total adjusted cash compensation and benefits expense (c)</w:t>
            </w:r>
          </w:p>
        </w:tc>
        <w:tc>
          <w:tcPr>
            <w:tcW w:w="1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997,920</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1,002,427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Year-end deferred incentive compensation awards (d)</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342,449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336,086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325,210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Sign-on and other special incentive awards (e)</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Deduct - adjustments for estimated forfeitures (f)</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(27,917)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(27,186)</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adjustments (g)</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(8,079)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(4,232)</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Awarded compensation and benefits expense</w:t>
            </w:r>
          </w:p>
        </w:tc>
        <w:tc>
          <w:tcPr>
            <w:tcW w:w="12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1,307,431</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1,328,986</w:t>
            </w:r>
          </w:p>
        </w:tc>
        <w:tc>
          <w:tcPr>
            <w:tcW w:w="3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1,305,254</w:t>
            </w:r>
          </w:p>
        </w:tc>
        <w:tc>
          <w:tcPr>
            <w:tcW w:w="2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55.4%</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Awarded compensation and benefits expense, as</w:t>
            </w: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34" w:lineRule="exact"/>
        <w:rPr>
          <w:rFonts w:ascii="Arial" w:cs="Arial" w:eastAsia="Arial" w:hAnsi="Arial"/>
          <w:sz w:val="17"/>
          <w:szCs w:val="17"/>
          <w:color w:val="auto"/>
        </w:rPr>
      </w:pPr>
    </w:p>
    <w:p>
      <w:pPr>
        <w:ind w:left="600" w:right="340" w:hanging="592"/>
        <w:spacing w:after="0" w:line="25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right="200" w:hanging="592"/>
        <w:spacing w:after="0" w:line="25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base salaries and benefits of $573,950, $583,951 and $569,540 for 2016, 2015 and 2014, respectively, and cash incentive compensation of $397,249, $413,948 and $432,887 for the respective years.</w:t>
      </w:r>
    </w:p>
    <w:p>
      <w:pPr>
        <w:ind w:left="600" w:right="360" w:hanging="592"/>
        <w:spacing w:after="0" w:line="265"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2017, 2016 and 2015 related to the 2016, 2015 and 2014 year-end compensation processes, respectively).</w:t>
      </w:r>
    </w:p>
    <w:p>
      <w:pPr>
        <w:ind w:left="600" w:right="340" w:hanging="592"/>
        <w:spacing w:after="0" w:line="250"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grants to new hires, retention awards and performance units earned under PRSU grants.</w:t>
      </w:r>
    </w:p>
    <w:p>
      <w:pPr>
        <w:ind w:left="600" w:right="240" w:hanging="592"/>
        <w:spacing w:after="0" w:line="281"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600" w:hanging="592"/>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year-end incentive compensation awards.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436,520</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493,990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439,824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(b)</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(60,219)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Professional fees related to acquisitions</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w:t>
            </w: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46" w:lineRule="exact"/>
        <w:rPr>
          <w:rFonts w:ascii="Arial" w:cs="Arial" w:eastAsia="Arial" w:hAnsi="Arial"/>
          <w:sz w:val="16"/>
          <w:szCs w:val="16"/>
          <w:color w:val="auto"/>
        </w:rPr>
      </w:pPr>
    </w:p>
    <w:p>
      <w:pPr>
        <w:ind w:left="600" w:right="280" w:hanging="592"/>
        <w:spacing w:after="0" w:line="255"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Charges pertaining to (i) the redemption of the remaining balance of the Company’s 2017 Notes in 2016 and (ii) the redemption of a significant portion of the Company’s 2017 Notes in 2015 are excluded because of the non-operating nature of such transactions. See “—Liquidity and Capital Resources—Financing Activities.”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3"/>
          </w:tcPr>
          <w:p>
            <w:pPr>
              <w:ind w:left="320"/>
              <w:spacing w:after="0" w:line="155" w:lineRule="exact"/>
              <w:rPr>
                <w:sz w:val="20"/>
                <w:szCs w:val="20"/>
                <w:color w:val="auto"/>
              </w:rPr>
            </w:pPr>
            <w:r>
              <w:rPr>
                <w:rFonts w:ascii="Arial" w:cs="Arial" w:eastAsia="Arial" w:hAnsi="Arial"/>
                <w:sz w:val="14"/>
                <w:szCs w:val="14"/>
                <w:b w:val="1"/>
                <w:bCs w:val="1"/>
                <w:color w:val="auto"/>
                <w:w w:val="96"/>
              </w:rPr>
              <w:t>($</w:t>
            </w:r>
          </w:p>
        </w:tc>
        <w:tc>
          <w:tcPr>
            <w:tcW w:w="126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Operating revenue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2,344,276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2,346,141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(1,323,602)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(1,318,671)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(1,301,657)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(430,970)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(431,926)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(437,911)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0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589,704</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629,929</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606,573</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Earnings from operations, as a % of operating</w:t>
            </w:r>
          </w:p>
        </w:tc>
        <w:tc>
          <w:tcPr>
            <w:tcW w:w="2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ind w:left="600"/>
              <w:spacing w:after="0"/>
              <w:rPr>
                <w:sz w:val="20"/>
                <w:szCs w:val="20"/>
                <w:color w:val="auto"/>
              </w:rPr>
            </w:pPr>
            <w:r>
              <w:rPr>
                <w:rFonts w:ascii="Arial" w:cs="Arial" w:eastAsia="Arial" w:hAnsi="Arial"/>
                <w:sz w:val="18"/>
                <w:szCs w:val="18"/>
                <w:color w:val="auto"/>
              </w:rPr>
              <w:t>Headcount information is set forth below:</w:t>
            </w:r>
          </w:p>
        </w:tc>
        <w:tc>
          <w:tcPr>
            <w:tcW w:w="20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0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0" w:type="dxa"/>
            <w:vAlign w:val="bottom"/>
            <w:vMerge w:val="restart"/>
          </w:tcPr>
          <w:p>
            <w:pPr>
              <w:jc w:val="right"/>
              <w:ind w:right="73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Company reported net income attributable to Lazard Group of $466 million, as compared to net income of $443 million in 2015. The changes in the Company’s operating results during these periods are described below.</w:t>
      </w:r>
    </w:p>
    <w:p>
      <w:pPr>
        <w:spacing w:after="0" w:line="17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Net revenue decreased $20 million, or 1%, with operating revenue decreasing $36 million, or 2%, as compared to 2015. Fee revenue from investment banking and other advisory activities increased $22 million, or 2%, primarily due to an increase in Restructuring revenue, which generally reflected a higher level of activity in the U.S. energy sector in 2016. This increase was partially offset by a decrease in M&amp;A and Other Advisory fees, which primarily reflected a lower level of closings, and a decrease in the average transaction fee with respect to completed transactions involving fees greater than $1 million, as compared to 2015. Asset Management fees, including incentive fees, decreased $38 million, or 4%, as compared to 2015, due primarily to a decrease in average AUM, a change in the mix of AUM and a decrease in incentive fees. In the aggregate, interest income, other revenue and interest expense decreased $4 million, or 13%, as compared to 2015, primarily due to a $24 million gain in 2015 on the disposal of the Company’s Australian private equity business (which relates primarily to the realization of carried interest at fair value), partially offset by, in 2016, (i) the gain on the acquisition of MBA Lazard (which resulted from the increase in the fair value of the Company’s investment in MBA Lazard prior to the acquisition) and (ii) higher gains attributable to investments held in connection with LFI.</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$19 million, or 1%, as compared to 2015, primarily due to higher amortization expense.</w:t>
      </w:r>
    </w:p>
    <w:p>
      <w:pPr>
        <w:spacing w:after="0" w:line="225"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$1.324 billion, an increase of $5 million as compared to $1.319 billion in 2015. The ratio of adjusted compensation and benefits expense to operating revenue was 56.5% for 2016, as compared to 55.4% for 2015. Awarded compensation and benefits expense in 2016 was $1.307 billion, a decrease of $22 million, or 2%, when compared to $1.329 billion in 2015. The ratio of awarded compensation and benefits expense to operating revenue was 55.8% for each of 2016 and 2015. The year-end deferred incentive compensation awarded for 2016 was $342 million, representing a $6 million, or 2%, increase compared to 2015.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92" w:lineRule="exact"/>
        <w:rPr>
          <w:sz w:val="20"/>
          <w:szCs w:val="20"/>
          <w:color w:val="auto"/>
        </w:rPr>
      </w:pPr>
    </w:p>
    <w:p>
      <w:pPr>
        <w:jc w:val="both"/>
        <w:ind w:right="100" w:firstLine="598"/>
        <w:spacing w:after="0" w:line="259" w:lineRule="auto"/>
        <w:rPr>
          <w:sz w:val="20"/>
          <w:szCs w:val="20"/>
          <w:color w:val="auto"/>
        </w:rPr>
      </w:pPr>
      <w:r>
        <w:rPr>
          <w:rFonts w:ascii="Arial" w:cs="Arial" w:eastAsia="Arial" w:hAnsi="Arial"/>
          <w:sz w:val="18"/>
          <w:szCs w:val="18"/>
          <w:color w:val="auto"/>
        </w:rPr>
        <w:t>Non-compensation expense decreased $57 million, or 12%, as compared to 2015, primarily due to charges of $3 million and $60 million related to the redemption of the Company’s 2017 Notes in 2016 and 2015, respectively. Adjusted non-compensation expense, which excludes such charges, as well as non-compensation costs relating to noncontrolling interests, remained substantially unchanged as compared to 2015. The ratio of adjusted non-compensation expense to operating revenue was 18.4%, as compared to 18.1% in 2015.</w:t>
      </w:r>
    </w:p>
    <w:p>
      <w:pPr>
        <w:spacing w:after="0" w:line="18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Amortization and other acquisition-related costs increased $27 million as compared to 2015, primarily due to the change in fair value of the contingent consideration associated with the Edgewater business acquisition.</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Operating income decreased $9 million or 2% as compared to 2015. In 2016, operating income included (i) a charge relating to the redemption of the remaining balance of the Company’s 2017 Notes and (ii) amortization and other acquisition-related costs. In 2015, operating income included a charge relating to the redemption of a significant portion of the Company’s 2017 Notes.</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Earnings from operations decreased $40 million, or 6%, as compared to 2015. In 2016, earnings from operations excluded (i) a charge relating to the redemption of the remaining balance of the Company’s 2017 Notes and (ii) amortization and other acquisition-related costs. In 2015, earnings from operations excluded the charge related to the redemption of a significant portion of the Company’s 2017 Notes. Earnings from operations as a percentage of operating revenue was 25.2%, as compared to 26.5% in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5" w:name="page46"/>
    <w:bookmarkEnd w:id="45"/>
    <w:p>
      <w:pPr>
        <w:ind w:right="40" w:firstLine="598"/>
        <w:spacing w:after="0" w:line="277" w:lineRule="auto"/>
        <w:rPr>
          <w:sz w:val="20"/>
          <w:szCs w:val="20"/>
          <w:color w:val="auto"/>
        </w:rPr>
      </w:pPr>
      <w:r>
        <w:rPr>
          <w:rFonts w:ascii="Arial" w:cs="Arial" w:eastAsia="Arial" w:hAnsi="Arial"/>
          <w:sz w:val="18"/>
          <w:szCs w:val="18"/>
          <w:color w:val="auto"/>
        </w:rPr>
        <w:t>The provision for income taxes reflects an effective tax rate of 9.5%, as compared to 15.4% for 2015. See Note 16 of Notes to Consolidated Financial Statements.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Company reported net income attributable to Lazard Group of $443 million, as compared to net income of $457 million in 2014. The changes in the Company’s operating results during these years are described below.</w:t>
      </w:r>
    </w:p>
    <w:p>
      <w:pPr>
        <w:spacing w:after="0" w:line="170"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Net revenue increased $50 million, or 2%, with operating revenue increasing $34 million, or 1%, as compared to 2014. Fee revenue from investment banking and other advisory activities increased $75 million, or 6%, primarily due to increases in M&amp;A and Other Advisory fees. The increase in M&amp;A and Other Advisory fee revenue was primarily due to an increase in the average transaction fee with respect to completed transactions involving fees greater than $1 million as compared to 2014. Asset management fees, including incentive fees, decreased $44 million, or 4%, as compared to 2014, due to a decrease in management fees from slightly lower average AUM, a slight change in the mix of assets and a decrease in incentive fees relating to traditional investment products. In the aggregate, interest income, other revenue and interest expense increased $19 million as compared to 2014, primarily due to a $24 million gain on the disposal of the Company’s Australian private equity business (which primarily related to the realization of carried interest at fair value), partially offset by lower investment gains from LFI. Interest expense was lower due to the refinancing of the 2017 Notes.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$6 million as compared to 2014, primarily driven by an increase in operating revenue.</w:t>
      </w:r>
    </w:p>
    <w:p>
      <w:pPr>
        <w:spacing w:after="0" w:line="225"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years, as described above) was $1.319 billion, an increase of $17 million, or 1%, as compared to $1.302 billion in 2014. The ratio of adjusted compensation and benefits expense to operating revenue was 55.4% for 2015, as compared to 55.5% for 2014. Awarded compensation and benefits expense in 2015 was $1.329 billion, an increase of $24 million, or 2%, when compared to $1.305 billion in 2014. The ratio of awarded compensation and benefits expense to operating revenue was 55.8% for 2015 as compared to 55.6% for the 2014 period. The year-end deferred incentive compensation awarded for 2015 was $336 million, representing an $11 million, or 3%, increase compared to 2014.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7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Non-compensation expense increased $54 million, or 12%, as compared to 2014, primarily due to a charge of $60 million related to the redemption of a significant portion of the Company’s 2017 Notes. Adjusted non-compensation expense, which excludes such charge, as well as non-compensation costs relating to noncontrolling interests, decreased $6 million, or 1%, as compared to 2014. The ratio of adjusted non-compensation expense to operating revenue was 18.1%, as compared to 18.7% in 2014.</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of intangible assets remained substantially unchanged as compared to 2014.</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Operating income, which included the charge relating to the redemption of a significant portion of the Company’s 2017 Notes decreased $10 million or 2% as compared to 2014.</w:t>
      </w:r>
    </w:p>
    <w:p>
      <w:pPr>
        <w:spacing w:after="0" w:line="170"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Earnings from operations, which excluded the charge related to the redemption of a significant portion of the Company’s 2017 Notes increased $23 million, or 4%, as compared to 2014, and, as a percentage of operating revenue, was 26.5%, as compared to 25.9% in 2014.</w:t>
      </w:r>
    </w:p>
    <w:p>
      <w:pPr>
        <w:spacing w:after="0" w:line="147"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The provision for income taxes reflected an effective tax rate of 15.4%, as compared to 14.4% for 2014. The increase in the effective tax rate in 2015 as compared to 2014 primarily reflects the change in geographic mix of earnings. See Note 16 of Notes to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94"/>
              <w:spacing w:after="0" w:line="155"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M&amp;A and Other Advisory</w:t>
            </w:r>
          </w:p>
        </w:tc>
        <w:tc>
          <w:tcPr>
            <w:tcW w:w="10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1,030,891</w:t>
            </w:r>
          </w:p>
        </w:tc>
        <w:tc>
          <w:tcPr>
            <w:tcW w:w="18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1,104,146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1,010,830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Raising</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69,631</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81,143</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Strategic Advisory</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1,099,322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1,173,777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1,091,973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201,722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105,851</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114,761</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1,279,628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1,206,734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1,011,495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1,005,837</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977,681</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289,549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229,053</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600"/>
              <w:spacing w:after="0"/>
              <w:rPr>
                <w:sz w:val="20"/>
                <w:szCs w:val="20"/>
                <w:color w:val="auto"/>
              </w:rPr>
            </w:pPr>
            <w:r>
              <w:rPr>
                <w:rFonts w:ascii="Arial" w:cs="Arial" w:eastAsia="Arial" w:hAnsi="Arial"/>
                <w:sz w:val="18"/>
                <w:szCs w:val="18"/>
                <w:color w:val="auto"/>
              </w:rPr>
              <w:t>Certain Lazard fee and transaction statistics are set forth below:</w:t>
            </w: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94"/>
              <w:spacing w:after="0" w:line="155"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M&amp;A and Other Advisory</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top 10 clients (a)</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Number of M&amp;A transactions completed with</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values greater than $500 million (b)</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individual client constituted more than 10% of our Financial Advisory segment net revenue in the years ended December 31, 2016, 2015 or 2014.</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Dealogic as of January 6, 2017.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180" w:firstLine="598"/>
        <w:spacing w:after="0" w:line="286" w:lineRule="auto"/>
        <w:rPr>
          <w:sz w:val="20"/>
          <w:szCs w:val="20"/>
          <w:color w:val="auto"/>
        </w:rPr>
      </w:pPr>
      <w:r>
        <w:rPr>
          <w:rFonts w:ascii="Arial" w:cs="Arial" w:eastAsia="Arial" w:hAnsi="Arial"/>
          <w:sz w:val="17"/>
          <w:szCs w:val="17"/>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23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Financial Advisory net revenue increased $21 million, or 2%, as compared to 2015. Total Strategic Advisory net revenue, representing fees from our M&amp;A and Other Advisory and Capital Raising businesses, decreased $75 million, or 6%, and Restructuring revenue increased $96 million, or 91%, as compared to 2015.</w:t>
      </w:r>
    </w:p>
    <w:p>
      <w:pPr>
        <w:spacing w:after="0" w:line="18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M&amp;A and Other Advisory revenue decreased $73 million, or 7%, and Capital Raising revenue decreased $1 million, or 2%, as compared to 2015. The decrease in M&amp;A and Other Advisory fee revenue primarily reflected a lower level of closings, and a decrease in the average transaction fee with respect to completed transactions involving fees greater than $1 million, as compared to 2015. Clients which in the aggregate represented a significant portion of our M&amp;A and Other Advisory revenue in 2016 included Anheuser-Busch InBev, ARM Holdings, Columbia Pipeline Group, Pepco, Starwood Hotels &amp; Resorts, Tyco and Xerox.</w:t>
      </w:r>
    </w:p>
    <w:p>
      <w:pPr>
        <w:spacing w:after="0" w:line="188"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Restructuring revenue in 2016 primarily reflected a higher level of activity in the U.S. energy sector in 2016. Clients which in the aggregate represented a significant portion of our Restructuring revenue in 2016 included Pacific Exploration &amp; Production, Peabody Energy, Seventy Seven Energy, The Official Committee of Unsecured Creditors of Energy Future Holdings and Vantage Drilling.</w:t>
      </w:r>
    </w:p>
    <w:p>
      <w:pPr>
        <w:spacing w:after="0" w:line="181" w:lineRule="exact"/>
        <w:rPr>
          <w:sz w:val="20"/>
          <w:szCs w:val="20"/>
          <w:color w:val="auto"/>
        </w:rPr>
      </w:pPr>
    </w:p>
    <w:p>
      <w:pPr>
        <w:ind w:right="1000" w:firstLine="598"/>
        <w:spacing w:after="0" w:line="277" w:lineRule="auto"/>
        <w:rPr>
          <w:sz w:val="20"/>
          <w:szCs w:val="20"/>
          <w:color w:val="auto"/>
        </w:rPr>
      </w:pPr>
      <w:r>
        <w:rPr>
          <w:rFonts w:ascii="Arial" w:cs="Arial" w:eastAsia="Arial" w:hAnsi="Arial"/>
          <w:sz w:val="18"/>
          <w:szCs w:val="18"/>
          <w:color w:val="auto"/>
        </w:rPr>
        <w:t>Operating expenses increased $6 million, or 1%, as compared to 2015, primarily due to an increase in amortization of deferred incentive compensation and, in 2016, amortization and other acquisition-related costs.</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Financial Advisory operating income was $290 million, an increase of $16 million, or 6%, as compared to operating income of $274 million in 2015 and, as a percentage of net revenue, was 22.3%, as compared to 21.4% in 2015.</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Financial Advisory net revenue increased $73 million, or 6%, as compared to 2014. Total Strategic Advisory net revenue, representing fees from our M&amp;A and Other Advisory and Capital Raising businesses, increased $82 million, or 7%, and Restructuring revenue decreased $9 million, or 8%, as compared to 2014.</w:t>
      </w:r>
    </w:p>
    <w:p>
      <w:pPr>
        <w:spacing w:after="0" w:line="181"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M&amp;A and Other Advisory revenue increased $93 million, or 9%, while Capital Raising revenue decreased $12 million, or 14%, as compared to 2014. The increase in M&amp;A and Other Advisory revenue was primarily due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t>an increase in the average transaction fee with respect to completed transactions involving fees greater than $1 million as compared to 2014. Our major clients, which in the aggregate represented a significant portion of our M&amp;A and Other Advisory revenue in 2015, included AT&amp;T, D.E. Master Blenders 1753, General Electric Company, GlaxoSmithKline, Heinz, Pfizer, Reynolds American, RockTenn, Rockwood, Toll Holdings, UCB and Ukraine Ministry of Finance.</w:t>
      </w:r>
    </w:p>
    <w:p>
      <w:pPr>
        <w:spacing w:after="0" w:line="18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Restructuring revenue in 2015 was generally in line with the continued industry-wide low level of corporate restructuring activity. Our major clients, which in the aggregate represented a significant portion of our Restructuring revenue in 2015, included Chassix, Dendreon, Hercules Offshore, Millennium Health and RadioShack.</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Operating expenses increased $28 million, or 3%, as compared to 2014, primarily due to an increase in compensation and benefits expense.</w:t>
      </w:r>
    </w:p>
    <w:p>
      <w:pPr>
        <w:spacing w:after="0" w:line="23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Financial Advisory operating income was $274 million, an increase of $45 million, or 20%, as compared to operating income of $229 million in 2014 and, as a percentage of net revenue, was 21.4%, as compared to 19.0%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43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5"/>
              </w:rPr>
              <w:t>2015 (a)</w:t>
            </w:r>
          </w:p>
        </w:tc>
        <w:tc>
          <w:tcPr>
            <w:tcW w:w="2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 (a)</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48,459</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30,567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186,380</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Certain prior period amounts have been reclassified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150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86"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Total AUM at December 31, 2016 was $198 billion, an increase of $12 billion, or 6%, as compared to total AUM of $186 billion at December 31, 2015, due to market appreciation and net inflows, partially offset by adverse foreign exchange movements. Average AUM for the year ended December 31, 2016 decreased $1 billion, or 1%, as compared to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160" w:firstLine="598"/>
        <w:spacing w:after="0" w:line="302" w:lineRule="auto"/>
        <w:rPr>
          <w:sz w:val="20"/>
          <w:szCs w:val="20"/>
          <w:color w:val="auto"/>
        </w:rPr>
      </w:pPr>
      <w:r>
        <w:rPr>
          <w:rFonts w:ascii="Arial" w:cs="Arial" w:eastAsia="Arial" w:hAnsi="Arial"/>
          <w:sz w:val="16"/>
          <w:szCs w:val="16"/>
          <w:color w:val="auto"/>
        </w:rPr>
        <w:t>As of December 31,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December 31, 2016, approximately 12% of our AUM was managed on behalf of individual client relationships, which are principally with family offices and individuals, compared to approximately 11% at December 31, 2015.</w:t>
      </w:r>
    </w:p>
    <w:p>
      <w:pPr>
        <w:spacing w:after="0" w:line="154"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2016, AUM with foreign currency exposure represented approximately 70% of our total AUM, as compared to 72% at December 31, 2015.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is a summary of changes in AUM by asset class for the years ended December 31, 2016,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(30,931)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13,568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Multi-Regional, Emerging Markets and Global equity platforms, and outflows in the Fixed Income asset class were primarily attributable to the Emerging Markets and Multi-Regional platforms.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2015</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(31,660)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(1,399)</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2014</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154,062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(25,419)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10,465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(9,263)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(2,939)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48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0" w:name="page51"/>
    <w:bookmarkEnd w:id="50"/>
    <w:p>
      <w:pPr>
        <w:ind w:right="620" w:firstLine="395"/>
        <w:spacing w:after="0" w:line="277" w:lineRule="auto"/>
        <w:rPr>
          <w:sz w:val="20"/>
          <w:szCs w:val="20"/>
          <w:color w:val="auto"/>
        </w:rPr>
      </w:pPr>
      <w:r>
        <w:rPr>
          <w:rFonts w:ascii="Arial" w:cs="Arial" w:eastAsia="Arial" w:hAnsi="Arial"/>
          <w:sz w:val="18"/>
          <w:szCs w:val="18"/>
          <w:color w:val="auto"/>
        </w:rPr>
        <w:t>As of February 16, 2017, AUM was $209.0 billion, an $11.1 billion increase since December 31, 2016. The increase in AUM was due to market appreciation of $7.7 billion, net inflows of $0.8 billion and foreign exchange appreciation of $2.6 billion.</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Average AUM for the years ended December 31, 2016, 2015 and 2014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158,747</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159,216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160,455</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194,808</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195,987</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966,797</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1,000,018</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1,018,772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Incentive Fees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68,929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1,051,316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1,134,595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281,579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374,307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385,250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top ten clients accounted for 21%, 21% and 24% of our total AUM at December 31, 2016, 2015 and 2014,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Asset Management net revenue decreased $60 million, or 5%, as compared to 2015. Management fees decreased $33 million, or 3%, as compared to 2015, primarily due to lower average AUM and a change in the mix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40"/>
        <w:spacing w:after="0" w:line="264" w:lineRule="auto"/>
        <w:rPr>
          <w:sz w:val="20"/>
          <w:szCs w:val="20"/>
          <w:color w:val="auto"/>
        </w:rPr>
      </w:pPr>
      <w:r>
        <w:rPr>
          <w:rFonts w:ascii="Arial" w:cs="Arial" w:eastAsia="Arial" w:hAnsi="Arial"/>
          <w:sz w:val="18"/>
          <w:szCs w:val="18"/>
          <w:color w:val="auto"/>
        </w:rPr>
        <w:t>of AUM. Incentive fees decreased $9 million, or 38%, as compared to 2015. Other revenue decreased $17 million, or 20%, as compared to 2015, principally due to a $24 million gain in 2015 on the disposal of the Company’s Australian private equity business (which relates primarily to the realization of carried interest at fair value).</w:t>
      </w:r>
    </w:p>
    <w:p>
      <w:pPr>
        <w:spacing w:after="0" w:line="18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Operating expenses increased $33 million, or 4%, as compared to 2015, primarily due to the change in the fair value of the contingent consideration associated with the Edgewater business acquisition.</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$282 million, a decrease of $93 million, or 25%, as compared to operating income of $374 million in 2015 and, as a percentage of net revenue, was 26.8%, as compared to 33.7% in 2015.</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Asset Management net revenue decreased $23 million, or 2%, as compared to 2014. Management fees decreased $19 million, or 2%, as compared to 2014, primarily due to slightly lower average AUM and a slight change in the mix of assets. Incentive fees decreased $27 million, or 52%, as compared to 2014, primarily due to incentive fees related to traditional investment products. Other revenue increased $22 million, or 34%, as compared to 2014, primarily due to a $24 million gain on disposal of the Company’s Australian private equity business (which related primarily to the realization of carried interest at fair value).</w:t>
      </w:r>
    </w:p>
    <w:p>
      <w:pPr>
        <w:spacing w:after="0" w:line="188" w:lineRule="exact"/>
        <w:rPr>
          <w:sz w:val="20"/>
          <w:szCs w:val="20"/>
          <w:color w:val="auto"/>
        </w:rPr>
      </w:pPr>
    </w:p>
    <w:p>
      <w:pPr>
        <w:ind w:right="140" w:firstLine="598"/>
        <w:spacing w:after="0" w:line="342" w:lineRule="auto"/>
        <w:rPr>
          <w:sz w:val="20"/>
          <w:szCs w:val="20"/>
          <w:color w:val="auto"/>
        </w:rPr>
      </w:pPr>
      <w:r>
        <w:rPr>
          <w:rFonts w:ascii="Arial" w:cs="Arial" w:eastAsia="Arial" w:hAnsi="Arial"/>
          <w:sz w:val="16"/>
          <w:szCs w:val="16"/>
          <w:color w:val="auto"/>
        </w:rPr>
        <w:t>Operating expenses decreased $13 million, or 2%, as compared to 2014, primarily due to decreases in (i) compensation and benefits expense related to a decrease in discretionary compensation and (ii) non-compensation expense related to fund administration and outsourced services.</w:t>
      </w:r>
    </w:p>
    <w:p>
      <w:pPr>
        <w:spacing w:after="0" w:line="124"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$374 million, a decrease of $11 million as compared to operating income of $385 million in 2014 and, as a percentage of net revenue, was 33.7%, as compared to 34.0%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(52,896)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(54,695)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(68,200)</w:t>
            </w:r>
          </w:p>
        </w:tc>
      </w:tr>
      <w:tr>
        <w:trPr>
          <w:trHeight w:val="223"/>
        </w:trPr>
        <w:tc>
          <w:tcPr>
            <w:tcW w:w="43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(51,165)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 (Expense)</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17,905</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(40,593)</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2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10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(117,253)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260" w:hanging="59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(i) in 2016, $3,148 relating to the redemption of the remaining portion of the Company’s 2017 Notes and (ii) in 2015, $60,219 relating to the redemption of a significant portion of the Company’s 2017 Notes.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decreased $2 million, or 4%, as compared to 2015</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Other revenue increased $16 million as compared to 2015, primarily due to the gain on the acquisition of MBA Lazard (which resulted from the increase in the fair value of the Company’s investment in MBA Lazard prior to the acquisition) as well as gains attributable to investments held in connection with LFI.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ind w:right="80" w:firstLine="598"/>
        <w:spacing w:after="0" w:line="259" w:lineRule="auto"/>
        <w:rPr>
          <w:sz w:val="20"/>
          <w:szCs w:val="20"/>
          <w:color w:val="auto"/>
        </w:rPr>
      </w:pPr>
      <w:r>
        <w:rPr>
          <w:rFonts w:ascii="Arial" w:cs="Arial" w:eastAsia="Arial" w:hAnsi="Arial"/>
          <w:sz w:val="18"/>
          <w:szCs w:val="18"/>
          <w:color w:val="auto"/>
        </w:rPr>
        <w:t>Operating expenses decreased $50 million as compared to 2015. Operating expenses included, in 2016, a charge of $3 million relating to the redemption of the remaining portion of the Company’s 2017 Notes, and, in 2015, a charge of $60 million related to the redemption of a significant portion of the Company’s 2017 Notes. Excluding the impact of such charges, operating expenses increased $7 million compared to 2015, primarily due to an increase in amortization of deferred incentive compensation, including an increase in amortization pertaining to LFI.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December 31, 2014</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Net interest expense decreased $7 million, or 13%, as compared to 2014, primarily due to the redemption of $450 million of the 2017 Notes and the issuance of $400 million aggregate principal amount of 3.75% senior notes due 2025 (the “2025 Notes”).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revenue decreased $7 million, or 40%, as compared to 2014, primarily due to investment losses recorded in connection with LFI.</w:t>
      </w:r>
    </w:p>
    <w:p>
      <w:pPr>
        <w:spacing w:after="0" w:line="225"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Operating expenses increased $44 million as compared to 2014, including in 2015, a charge of $60 million related to the redemption of a significant portion of the Company’s 2017 Notes. Excluding the impact of such charge, operating expenses decreased $16 million, or 49%, compared to 2014, primarily due to decreased compensation and benefits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 in 2016, by the issuance of the 2027 Notes and the redemption of the remaining balance of the 2017 Notes, and (ii) in 2015,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78"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2014, the Company made cash payments, including severance payments, associated with certain staff reductions.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1"/>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w w:val="94"/>
              </w:rPr>
              <w:t>Adjustments to reconcile net income to net cash provided by operating activities (a)</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(229.3)</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Financing activities (c)</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(a)</w:t>
            </w:r>
          </w:p>
        </w:tc>
        <w:tc>
          <w:tcPr>
            <w:tcW w:w="4980" w:type="dxa"/>
            <w:vAlign w:val="bottom"/>
          </w:tcPr>
          <w:p>
            <w:pPr>
              <w:ind w:left="120"/>
              <w:spacing w:after="0"/>
              <w:rPr>
                <w:sz w:val="20"/>
                <w:szCs w:val="20"/>
                <w:color w:val="auto"/>
              </w:rPr>
            </w:pPr>
            <w:r>
              <w:rPr>
                <w:rFonts w:ascii="Arial" w:cs="Arial" w:eastAsia="Arial" w:hAnsi="Arial"/>
                <w:sz w:val="18"/>
                <w:szCs w:val="18"/>
                <w:color w:val="auto"/>
              </w:rPr>
              <w:t>Consists of the following:</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acquisition of portion of business already owned</w:t>
            </w: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Gain on disposal of subsidiaries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80" w:type="dxa"/>
            <w:vAlign w:val="bottom"/>
          </w:tcPr>
          <w:p>
            <w:pPr>
              <w:spacing w:after="0"/>
              <w:rPr>
                <w:sz w:val="20"/>
                <w:szCs w:val="20"/>
                <w:color w:val="auto"/>
              </w:rPr>
            </w:pPr>
            <w:r>
              <w:rPr>
                <w:rFonts w:ascii="Arial" w:cs="Arial" w:eastAsia="Arial" w:hAnsi="Arial"/>
                <w:sz w:val="18"/>
                <w:szCs w:val="18"/>
                <w:color w:val="auto"/>
              </w:rPr>
              <w:t>Total</w:t>
            </w:r>
          </w:p>
        </w:tc>
        <w:tc>
          <w:tcPr>
            <w:tcW w:w="4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600" w:right="200" w:hanging="592"/>
        <w:spacing w:after="0" w:line="25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primarily of purchases of shares of Lazard Ltd Class A common stock, tax withholdings related to the settlement of vested restricted stock units (“RSUs”), vested restricted stock awards and vested performance-based restricted stock units (“PRSUs”), and distributions to members and noncontrolling interest holders and activity relating to borrowings (including, in 2016 and 2015, the redemption of the Company’s 2017 Notes and issuance of the 2027 Notes and the 2025 Notes).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year ended December 31, 2016, as reflected on the consolidated statements of financial condition, “deposits and other customer payables” decreased as compared to December 31, 2015. In the same period, interest-bearing deposits recorded in “investments” also decreased, this being partially offset by an increase in “deposits with banks and short-term investments”.</w:t>
      </w:r>
    </w:p>
    <w:p>
      <w:pPr>
        <w:spacing w:after="0" w:line="193"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Lazard’s consolidated financial statements are presented in U.S. Dollars. Many of Lazard’s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4" w:name="page55"/>
    <w:bookmarkEnd w:id="54"/>
    <w:p>
      <w:pPr>
        <w:ind w:right="200"/>
        <w:spacing w:after="0" w:line="277" w:lineRule="auto"/>
        <w:rPr>
          <w:sz w:val="20"/>
          <w:szCs w:val="20"/>
          <w:color w:val="auto"/>
        </w:rPr>
      </w:pPr>
      <w:r>
        <w:rPr>
          <w:rFonts w:ascii="Arial" w:cs="Arial" w:eastAsia="Arial" w:hAnsi="Arial"/>
          <w:sz w:val="18"/>
          <w:szCs w:val="18"/>
          <w:color w:val="auto"/>
        </w:rPr>
        <w:t>reported as a component of members’ equity. Foreign currency remeasurement gains and losses on transactions in non-functional currencies are included on the consolidated statements of operations.</w:t>
      </w:r>
    </w:p>
    <w:p>
      <w:pPr>
        <w:spacing w:after="0" w:line="170"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December 31, 2016, Lazard Group had approximately $1.1 billion of cash, with such amount including approximately $464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jc w:val="both"/>
        <w:ind w:right="32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2016, Lazard had approximately $179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$21 million (at December 31, 2016 exchange rates).</w:t>
      </w:r>
    </w:p>
    <w:p>
      <w:pPr>
        <w:spacing w:after="0" w:line="187" w:lineRule="exact"/>
        <w:rPr>
          <w:sz w:val="20"/>
          <w:szCs w:val="20"/>
          <w:color w:val="auto"/>
        </w:rPr>
      </w:pPr>
    </w:p>
    <w:p>
      <w:pPr>
        <w:ind w:right="380" w:firstLine="59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The table below sets forth our corporate indebtedness as of December 31, 2016 and 2015. The agreements with respect to this indebtedness are discussed in more detail in our consolidated financial statements and related notes included elsewhere in this Form 10-K. The table, as of December 31, 2015, reflects the retrospective application of new disclosure guidance on debt issuance costs. See Note 3 of 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2017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293"/>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5" w:name="page56"/>
    <w:bookmarkEnd w:id="55"/>
    <w:p>
      <w:pPr>
        <w:jc w:val="both"/>
        <w:ind w:right="100" w:firstLine="598"/>
        <w:spacing w:after="0" w:line="264" w:lineRule="auto"/>
        <w:rPr>
          <w:sz w:val="20"/>
          <w:szCs w:val="20"/>
          <w:color w:val="auto"/>
        </w:rPr>
      </w:pPr>
      <w:r>
        <w:rPr>
          <w:rFonts w:ascii="Arial" w:cs="Arial" w:eastAsia="Arial" w:hAnsi="Arial"/>
          <w:sz w:val="18"/>
          <w:szCs w:val="18"/>
          <w:color w:val="auto"/>
        </w:rPr>
        <w:t>During November 2016, Lazard Group completed an offering of the 2027 Notes. Lazard Group used a portion of the net proceeds of the 2027 Notes to redeem or otherwise retire the remaining $98 million of 2017 Notes, which, including the recognition of unamortized issuance costs, resulted in a loss on debt extinguishment in connection with the redemption of such 2017 Notes of approximately $3 million.</w:t>
      </w:r>
    </w:p>
    <w:p>
      <w:pPr>
        <w:spacing w:after="0" w:line="181" w:lineRule="exact"/>
        <w:rPr>
          <w:sz w:val="20"/>
          <w:szCs w:val="20"/>
          <w:color w:val="auto"/>
        </w:rPr>
      </w:pPr>
    </w:p>
    <w:p>
      <w:pPr>
        <w:jc w:val="both"/>
        <w:ind w:right="40" w:firstLine="598"/>
        <w:spacing w:after="0" w:line="286" w:lineRule="auto"/>
        <w:rPr>
          <w:sz w:val="20"/>
          <w:szCs w:val="20"/>
          <w:color w:val="auto"/>
        </w:rPr>
      </w:pPr>
      <w:r>
        <w:rPr>
          <w:rFonts w:ascii="Arial" w:cs="Arial" w:eastAsia="Arial" w:hAnsi="Arial"/>
          <w:sz w:val="17"/>
          <w:szCs w:val="17"/>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2016, Lazard Group was in compliance with such ratios, with its Consolidated Leverage Ratio being 1.32 to 1.00 and its Consolidated Interest Coverage Ratio being 19.68 to 1.00. In any event, no amounts were outstanding under the Amended and Restated Credit Agreement as of December 31, 2016.</w:t>
      </w:r>
    </w:p>
    <w:p>
      <w:pPr>
        <w:spacing w:after="0" w:line="192"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At December 31, 2016, total members’ equity was $736 million, as compared to $703 million and $494 million at December 31, 2015 and 2014, respectively, including $679 million, $650 million and $432 million attributable to Lazard Group on the respective dates. The net activity in members’ equity during the years ended December 31, 2016 and 2015 is reflected in the table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12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4"/>
          </w:tcPr>
          <w:p>
            <w:pPr>
              <w:jc w:val="right"/>
              <w:ind w:right="545"/>
              <w:spacing w:after="0"/>
              <w:rPr>
                <w:sz w:val="20"/>
                <w:szCs w:val="20"/>
                <w:color w:val="auto"/>
              </w:rPr>
            </w:pPr>
            <w:r>
              <w:rPr>
                <w:rFonts w:ascii="Arial" w:cs="Arial" w:eastAsia="Arial" w:hAnsi="Arial"/>
                <w:sz w:val="16"/>
                <w:szCs w:val="16"/>
                <w:b w:val="1"/>
                <w:bCs w:val="1"/>
                <w:color w:val="auto"/>
              </w:rPr>
              <w:t>($ in millions)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500" w:type="dxa"/>
            <w:vAlign w:val="bottom"/>
            <w:gridSpan w:val="3"/>
          </w:tcPr>
          <w:p>
            <w:pPr>
              <w:ind w:left="580"/>
              <w:spacing w:after="0"/>
              <w:rPr>
                <w:sz w:val="20"/>
                <w:szCs w:val="20"/>
                <w:color w:val="auto"/>
              </w:rPr>
            </w:pPr>
            <w:r>
              <w:rPr>
                <w:rFonts w:ascii="Arial" w:cs="Arial" w:eastAsia="Arial" w:hAnsi="Arial"/>
                <w:sz w:val="18"/>
                <w:szCs w:val="18"/>
                <w:color w:val="auto"/>
              </w:rPr>
              <w:t>Members’ Equity - Beginning of Year</w:t>
            </w:r>
          </w:p>
        </w:tc>
        <w:tc>
          <w:tcPr>
            <w:tcW w:w="212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20"/>
                <w:szCs w:val="20"/>
                <w:color w:val="auto"/>
              </w:rPr>
            </w:pPr>
          </w:p>
        </w:tc>
        <w:tc>
          <w:tcPr>
            <w:tcW w:w="106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 (decrease) due to:</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58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 of Lazard Ltd Class A common stock</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r>
      <w:tr>
        <w:trPr>
          <w:trHeight w:val="230"/>
        </w:trPr>
        <w:tc>
          <w:tcPr>
            <w:tcW w:w="58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30"/>
        </w:trPr>
        <w:tc>
          <w:tcPr>
            <w:tcW w:w="58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Distribution to members and noncontrolling interests, net</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w:t>
            </w:r>
          </w:p>
        </w:tc>
      </w:tr>
      <w:tr>
        <w:trPr>
          <w:trHeight w:val="215"/>
        </w:trPr>
        <w:tc>
          <w:tcPr>
            <w:tcW w:w="580" w:type="dxa"/>
            <w:vAlign w:val="bottom"/>
          </w:tcPr>
          <w:p>
            <w:pPr>
              <w:spacing w:after="0"/>
              <w:rPr>
                <w:sz w:val="18"/>
                <w:szCs w:val="18"/>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Lazard Ltd Class A common stock issuable related to business</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920" w:type="dxa"/>
            <w:vAlign w:val="bottom"/>
            <w:gridSpan w:val="2"/>
          </w:tcPr>
          <w:p>
            <w:pPr>
              <w:ind w:left="380"/>
              <w:spacing w:after="0"/>
              <w:rPr>
                <w:sz w:val="20"/>
                <w:szCs w:val="20"/>
                <w:color w:val="auto"/>
              </w:rPr>
            </w:pPr>
            <w:r>
              <w:rPr>
                <w:rFonts w:ascii="Arial" w:cs="Arial" w:eastAsia="Arial" w:hAnsi="Arial"/>
                <w:sz w:val="18"/>
                <w:szCs w:val="18"/>
                <w:color w:val="auto"/>
              </w:rPr>
              <w:t>acquisitions</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Contribution from member</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auto"/>
              </w:rPr>
              <w:t>Other - net</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80" w:type="dxa"/>
            <w:vAlign w:val="bottom"/>
          </w:tcPr>
          <w:p>
            <w:pPr>
              <w:spacing w:after="0"/>
              <w:rPr>
                <w:sz w:val="19"/>
                <w:szCs w:val="19"/>
                <w:color w:val="auto"/>
              </w:rPr>
            </w:pPr>
          </w:p>
        </w:tc>
        <w:tc>
          <w:tcPr>
            <w:tcW w:w="5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Members’ Equity - End of year</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2014</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4,114,206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firstLine="598"/>
        <w:spacing w:after="0" w:line="259" w:lineRule="auto"/>
        <w:rPr>
          <w:sz w:val="20"/>
          <w:szCs w:val="20"/>
          <w:color w:val="auto"/>
        </w:rPr>
      </w:pPr>
      <w:r>
        <w:rPr>
          <w:rFonts w:ascii="Arial" w:cs="Arial" w:eastAsia="Arial" w:hAnsi="Arial"/>
          <w:sz w:val="18"/>
          <w:szCs w:val="18"/>
          <w:color w:val="auto"/>
        </w:rPr>
        <w:t>On November 1, 2016, the Board of Directors of Lazard authorized the repurchase of up to $236 million of additional shares of Lazard Ltd Class A common stock, which authorization will expire on December 31, 2018. As of December 31, 2016, a total of $355 million of share repurchase authorization remained available under Lazard Ltd’s share repurchase program, $119 million of which will expire on December 31, 2017 and $236 million of which will expire on December 31, 2018.</w:t>
      </w:r>
    </w:p>
    <w:p>
      <w:pPr>
        <w:spacing w:after="0" w:line="187"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During the year ended December 31, 2016, Lazard Ltd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360" w:firstLine="598"/>
        <w:spacing w:after="0" w:line="277" w:lineRule="auto"/>
        <w:rPr>
          <w:sz w:val="20"/>
          <w:szCs w:val="20"/>
          <w:color w:val="auto"/>
        </w:rPr>
      </w:pPr>
      <w:r>
        <w:rPr>
          <w:rFonts w:ascii="Arial" w:cs="Arial" w:eastAsia="Arial" w:hAnsi="Arial"/>
          <w:sz w:val="18"/>
          <w:szCs w:val="18"/>
          <w:color w:val="auto"/>
        </w:rPr>
        <w:t>See Notes 13 and 14 of Notes to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18 of Notes to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1,524,076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$45,643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828,121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2,368,737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137,646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232,912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1,301,179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23" w:lineRule="exact"/>
        <w:rPr>
          <w:rFonts w:ascii="Arial" w:cs="Arial" w:eastAsia="Arial" w:hAnsi="Arial"/>
          <w:sz w:val="18"/>
          <w:szCs w:val="18"/>
          <w:color w:val="auto"/>
        </w:rPr>
      </w:pPr>
    </w:p>
    <w:p>
      <w:pPr>
        <w:jc w:val="both"/>
        <w:ind w:left="600" w:right="60" w:hanging="592"/>
        <w:spacing w:after="0" w:line="265"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$6,886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ind w:left="600" w:right="20" w:hanging="592"/>
        <w:spacing w:after="0" w:line="302"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12, 14, 15 and 16 of Notes to Consolidated Financial Statements regarding information in connection with commitments, incentive plans, employee benefit plans and income taxes,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9" w:name="page60"/>
    <w:bookmarkEnd w:id="59"/>
    <w:p>
      <w:pPr>
        <w:ind w:right="480"/>
        <w:spacing w:after="0" w:line="277" w:lineRule="auto"/>
        <w:rPr>
          <w:sz w:val="20"/>
          <w:szCs w:val="20"/>
          <w:color w:val="auto"/>
        </w:rPr>
      </w:pPr>
      <w:r>
        <w:rPr>
          <w:rFonts w:ascii="Arial" w:cs="Arial" w:eastAsia="Arial" w:hAnsi="Arial"/>
          <w:sz w:val="18"/>
          <w:szCs w:val="18"/>
          <w:color w:val="auto"/>
        </w:rPr>
        <w:t>judgment is required in determining our provision for income taxes, our deferred tax assets and liabilities, any valuation allowance recorded against our deferred tax assets and our unrecognized tax benefits.</w:t>
      </w:r>
    </w:p>
    <w:p>
      <w:pPr>
        <w:spacing w:after="0" w:line="170"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$138 million with such amount partially offset by a valuation allowance of approximately $55 million (as described below).</w:t>
      </w:r>
    </w:p>
    <w:p>
      <w:pPr>
        <w:spacing w:after="0" w:line="187"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$55 million of deferred tax assets held by these entities as of December 31, 2016.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0" w:name="page61"/>
    <w:bookmarkEnd w:id="60"/>
    <w:p>
      <w:pPr>
        <w:ind w:right="12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 and Note 16 of Notes to Consolidated Financial Statements for additional information related to income taxes.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87"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40" w:type="dxa"/>
            <w:vAlign w:val="bottom"/>
            <w:gridSpan w:val="2"/>
            <w:vMerge w:val="restart"/>
          </w:tcPr>
          <w:p>
            <w:pPr>
              <w:ind w:left="1140"/>
              <w:spacing w:after="0"/>
              <w:rPr>
                <w:sz w:val="20"/>
                <w:szCs w:val="20"/>
                <w:color w:val="auto"/>
              </w:rPr>
            </w:pPr>
            <w:r>
              <w:rPr>
                <w:rFonts w:ascii="Arial" w:cs="Arial" w:eastAsia="Arial" w:hAnsi="Arial"/>
                <w:sz w:val="18"/>
                <w:szCs w:val="18"/>
                <w:color w:val="auto"/>
              </w:rPr>
              <w:t>Seed investments by asset class:</w:t>
            </w:r>
          </w:p>
        </w:tc>
        <w:tc>
          <w:tcPr>
            <w:tcW w:w="2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40" w:type="dxa"/>
            <w:vAlign w:val="bottom"/>
            <w:gridSpan w:val="2"/>
            <w:vMerge w:val="continue"/>
          </w:tcPr>
          <w:p>
            <w:pPr>
              <w:spacing w:after="0"/>
              <w:rPr>
                <w:sz w:val="17"/>
                <w:szCs w:val="17"/>
                <w:color w:val="auto"/>
              </w:rPr>
            </w:pPr>
          </w:p>
        </w:tc>
        <w:tc>
          <w:tcPr>
            <w:tcW w:w="2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 (a)</w:t>
            </w:r>
          </w:p>
        </w:tc>
        <w:tc>
          <w:tcPr>
            <w:tcW w:w="26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99,669</w:t>
            </w:r>
          </w:p>
        </w:tc>
        <w:tc>
          <w:tcPr>
            <w:tcW w:w="6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Fixed income</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16,406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Alternative investments</w:t>
            </w:r>
          </w:p>
        </w:tc>
        <w:tc>
          <w:tcPr>
            <w:tcW w:w="2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18,172</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Total seed investments</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134,247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146,144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investments owned:</w:t>
            </w:r>
          </w:p>
        </w:tc>
        <w:tc>
          <w:tcPr>
            <w:tcW w:w="2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Private equity (b)</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96,089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83,729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 (c)</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Fixed income and other</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investments owned</w:t>
            </w:r>
          </w:p>
        </w:tc>
        <w:tc>
          <w:tcPr>
            <w:tcW w:w="2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119,453</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160,486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Subtotal</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253,700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306,630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Add:</w:t>
            </w:r>
          </w:p>
        </w:tc>
        <w:tc>
          <w:tcPr>
            <w:tcW w:w="2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Equity method (d)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 equity consolidated, not owned (e)</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26,332</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LFI (f)</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179,168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198,675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60" w:type="dxa"/>
            <w:vAlign w:val="bottom"/>
            <w:vMerge w:val="restart"/>
          </w:tcPr>
          <w:p>
            <w:pPr>
              <w:jc w:val="right"/>
              <w:ind w:right="1510"/>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1" w:name="page62"/>
    <w:bookmarkEnd w:id="61"/>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5060" cy="8890"/>
                    </a:xfrm>
                    <a:prstGeom prst="rect">
                      <a:avLst/>
                    </a:prstGeom>
                    <a:noFill/>
                  </pic:spPr>
                </pic:pic>
              </a:graphicData>
            </a:graphic>
          </wp:anchor>
        </w:drawing>
        <w:t>At December 31, 2016 and 2015, seed investments in directly owned equity securities were invested as follows:</w:t>
      </w:r>
    </w:p>
    <w:p>
      <w:pPr>
        <w:spacing w:after="0" w:line="31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r>
      <w:tr>
        <w:trPr>
          <w:trHeight w:val="223"/>
        </w:trPr>
        <w:tc>
          <w:tcPr>
            <w:tcW w:w="5360" w:type="dxa"/>
            <w:vAlign w:val="bottom"/>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right="20" w:hanging="592"/>
        <w:spacing w:after="0" w:line="274"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$34 million and $30 million as of December 31, 2016 and 2015, respectively.</w:t>
      </w:r>
    </w:p>
    <w:p>
      <w:pPr>
        <w:ind w:left="600" w:right="20" w:hanging="592"/>
        <w:spacing w:after="0" w:line="250"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1" w:lineRule="exact"/>
        <w:rPr>
          <w:rFonts w:ascii="Arial" w:cs="Arial" w:eastAsia="Arial" w:hAnsi="Arial"/>
          <w:sz w:val="18"/>
          <w:szCs w:val="18"/>
          <w:color w:val="auto"/>
        </w:rPr>
      </w:pPr>
    </w:p>
    <w:p>
      <w:pPr>
        <w:ind w:left="600" w:hanging="59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 w:lineRule="exact"/>
        <w:rPr>
          <w:rFonts w:ascii="Arial" w:cs="Arial" w:eastAsia="Arial" w:hAnsi="Arial"/>
          <w:sz w:val="18"/>
          <w:szCs w:val="18"/>
          <w:color w:val="auto"/>
        </w:rPr>
      </w:pPr>
    </w:p>
    <w:p>
      <w:pPr>
        <w:ind w:left="600" w:right="320" w:hanging="592"/>
        <w:spacing w:after="0" w:line="250"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 w:lineRule="exact"/>
        <w:rPr>
          <w:rFonts w:ascii="Arial" w:cs="Arial" w:eastAsia="Arial" w:hAnsi="Arial"/>
          <w:sz w:val="18"/>
          <w:szCs w:val="18"/>
          <w:color w:val="auto"/>
        </w:rPr>
      </w:pPr>
    </w:p>
    <w:p>
      <w:pPr>
        <w:ind w:left="600" w:right="100" w:hanging="592"/>
        <w:spacing w:after="0" w:line="25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9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At December 31, 2016 and 2015, total investments with a fair value of $459 million and $467 million, respectively, included $130 million and $123 million, respectively, or 28% and 26%, respectively, of investments that were classified using NAV or its equivalent as a practical expedient. See Notes 5 and 6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of December 31, 2016 and 2015, the Company held seed investments of approximately $134 million and $146 million, respectively. Seed investments held in entities in which the Company maintained a controlling interest were $41 million in six entities as of December 31, 2016, as compared to $49 million in eleven entities as of December 31, 2015.</w:t>
      </w:r>
    </w:p>
    <w:p>
      <w:pPr>
        <w:spacing w:after="0" w:line="181"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During the year ended December 31, 2016, the Company did not consolidate or deconsolidate any seed investment entities. As such, 100% of the recorded balance of seed investments as of December 31, 2016 represented the Company’s economic interest in the seed investments. See “—Consolidation of Variable Interest Entities” below for more information on the Company’s policy regarding the consolidation of seed investment entities.</w:t>
      </w:r>
    </w:p>
    <w:p>
      <w:pPr>
        <w:spacing w:after="0" w:line="147"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62" w:name="page63"/>
    <w:bookmarkEnd w:id="62"/>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400" w:hanging="598"/>
        <w:spacing w:after="0" w:line="312" w:lineRule="auto"/>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right="60" w:hanging="598"/>
        <w:spacing w:after="0" w:line="25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8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right="180"/>
        <w:spacing w:after="0" w:line="277" w:lineRule="auto"/>
        <w:rPr>
          <w:sz w:val="20"/>
          <w:szCs w:val="20"/>
          <w:color w:val="auto"/>
        </w:rPr>
      </w:pPr>
      <w:r>
        <w:rPr>
          <w:rFonts w:ascii="Arial" w:cs="Arial" w:eastAsia="Arial" w:hAnsi="Arial"/>
          <w:sz w:val="18"/>
          <w:szCs w:val="18"/>
          <w:color w:val="auto"/>
        </w:rPr>
        <w:t>partner. To the extent material, we consolidate seed investment entities in which we own a controlling interest, and we would deconsolidate any such entity when we no longer have a controlling interest in such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Equity Market Price Risk—At December 31, 2016 and 2015, the Company’s exposure to equity market price risk in its investment portfolio, which primarily relates to investments in equity securities, equity funds and hedge funds, was approximately $110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$1.8 million in the carrying value of such investments as of December 31, 2016 and 2015, respectively, including the effect of the hedging transactions.</w:t>
      </w:r>
    </w:p>
    <w:p>
      <w:pPr>
        <w:spacing w:after="0" w:line="1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Interest Rate/Credit Spread Risk—At December 31, 2016 and 2015, the Company’s exposure to interest rate and credit spread risk in its investment portfolio related to investments in debt securities or funds which invest primarily in debt securities was $53 million and $38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$0.1 million in the carrying value of such investments as of December 31, 2016 and 2015, respectively, including the effect of the hedging transactions.</w:t>
      </w:r>
    </w:p>
    <w:p>
      <w:pPr>
        <w:spacing w:after="0" w:line="158"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Foreign Exchange Rate Risk—At both December 31, 2016 and 2015, the Company’s exposure to foreign exchange rate risk in its investment portfolio, which primarily relates to investments in foreign currency denominated equity and debt securities, was $64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$1.7 million and $1.0 million in the carrying value of such investments as of December 31, 2016 and 2015, respectively, including the effect of the hedging transactions.</w:t>
      </w:r>
    </w:p>
    <w:p>
      <w:pPr>
        <w:spacing w:after="0" w:line="158"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2016 and 2015, the Company’s exposure to changes in fair value of such investments was approximately $96 million and $84 million, respectively. The Company estimates that a hypothetical 10% adverse change in fair value would result in a decrease of approximately $9.6 million and $8.4 million in the carrying value of such investments as of December 31, 2016 and 2015,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4" w:name="page65"/>
    <w:bookmarkEnd w:id="64"/>
    <w:p>
      <w:pPr>
        <w:ind w:right="280"/>
        <w:spacing w:after="0" w:line="271" w:lineRule="auto"/>
        <w:rPr>
          <w:sz w:val="20"/>
          <w:szCs w:val="20"/>
          <w:color w:val="auto"/>
        </w:rPr>
      </w:pPr>
      <w:r>
        <w:rPr>
          <w:rFonts w:ascii="Arial" w:cs="Arial" w:eastAsia="Arial" w:hAnsi="Arial"/>
          <w:sz w:val="17"/>
          <w:szCs w:val="17"/>
          <w:color w:val="auto"/>
        </w:rPr>
        <w:t>client’s creditworthiness, among other things, and specifically provide for exposures where we determine the receivables are impaired. At December 31, 2016, total receivables amounted to $667 million, net of an allowance for doubtful accounts of $16 million. As of that date, Financial Advisory and Asset Management fees, receivables from Lazard Ltd subsidiaries, and customers and other receivables comprised 85%, 11% and 4% of total receivables, respectively. At December 31, 2015, total receivables amounted to $606 million, net of an allowance for doubtful accounts of $13 million. As of that date, Financial Advisory and Asset Management fees, receivables from Lazard Ltd subsidiaries, and customers and other receivables comprised 70%, 18% and 12% of total receivables, respectively. At December 31, 2016 and 2015, the Company had receivables past due or deemed uncollectible of approximately $22 million and $20 million, respectively. See also “Critical Accounting Policies and Estimates—Revenue Recognition” above and Note 4 of Notes to Consolidated Financial Statements for additional information regarding receivables.</w:t>
      </w:r>
    </w:p>
    <w:p>
      <w:pPr>
        <w:spacing w:after="0" w:line="179"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2016 and 2015, customer receivables included $51 million and $38 million of LFB loans, respectively,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December 31, 2016 and 2015, respectively, and derivative liabilities, excluding the derivative liability arising from the Company’s obligation pertaining to LFI and other similar deferred compensation arrangements, amounted to $12 million and $2 million at such respective dates.</w:t>
      </w:r>
    </w:p>
    <w:p>
      <w:pPr>
        <w:spacing w:after="0" w:line="173"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$170 million and $194 million at December 31, 2016 and 2015,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80"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2016, Lazard estimates that its annual operating income relating to cash and cash equivalents would increase by approximately $11 million in the event interest rates were to increase by 1% and decrease by approximately $11 million if rates were to decrease by 1%.</w:t>
      </w:r>
    </w:p>
    <w:p>
      <w:pPr>
        <w:spacing w:after="0" w:line="147" w:lineRule="exact"/>
        <w:rPr>
          <w:sz w:val="20"/>
          <w:szCs w:val="20"/>
          <w:color w:val="auto"/>
        </w:rPr>
      </w:pPr>
    </w:p>
    <w:p>
      <w:pPr>
        <w:jc w:val="both"/>
        <w:ind w:right="40" w:firstLine="598"/>
        <w:spacing w:after="0" w:line="288" w:lineRule="auto"/>
        <w:rPr>
          <w:sz w:val="20"/>
          <w:szCs w:val="20"/>
          <w:color w:val="auto"/>
        </w:rPr>
      </w:pPr>
      <w:r>
        <w:rPr>
          <w:rFonts w:ascii="Arial" w:cs="Arial" w:eastAsia="Arial" w:hAnsi="Arial"/>
          <w:sz w:val="16"/>
          <w:szCs w:val="16"/>
          <w:color w:val="auto"/>
        </w:rPr>
        <w:t>As of December 31, 2016, the Company’s cash and cash equivalents totaled approximately $1.1 billion.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80" w:firstLine="8"/>
        <w:spacing w:after="0" w:line="323" w:lineRule="auto"/>
        <w:tabs>
          <w:tab w:leader="none" w:pos="3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00" w:type="dxa"/>
            <w:vAlign w:val="bottom"/>
            <w:gridSpan w:val="16"/>
          </w:tcPr>
          <w:p>
            <w:pPr>
              <w:ind w:left="4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91"/>
        </w:trPr>
        <w:tc>
          <w:tcPr>
            <w:tcW w:w="44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Report On Internal Control Over Financial Reporting</w:t>
              </w:r>
            </w:hyperlink>
          </w:p>
        </w:tc>
        <w:tc>
          <w:tcPr>
            <w:tcW w:w="546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Reports of Independent Registered Public Accounting Firm</w:t>
              </w:r>
            </w:hyperlink>
          </w:p>
        </w:tc>
        <w:tc>
          <w:tcPr>
            <w:tcW w:w="6120" w:type="dxa"/>
            <w:vAlign w:val="bottom"/>
            <w:gridSpan w:val="1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Financial Condition as of December 31,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18"/>
        </w:trPr>
        <w:tc>
          <w:tcPr>
            <w:tcW w:w="44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2016, 2015 and 2014</w:t>
              </w:r>
            </w:hyperlink>
          </w:p>
        </w:tc>
        <w:tc>
          <w:tcPr>
            <w:tcW w:w="860" w:type="dxa"/>
            <w:vAlign w:val="bottom"/>
            <w:tcBorders>
              <w:top w:val="single" w:sz="8" w:color="0000EE"/>
            </w:tcBorders>
            <w:gridSpan w:val="2"/>
          </w:tcPr>
          <w:p>
            <w:pPr>
              <w:spacing w:after="0"/>
              <w:rPr>
                <w:sz w:val="24"/>
                <w:szCs w:val="24"/>
                <w:color w:val="auto"/>
              </w:rPr>
            </w:pPr>
          </w:p>
        </w:tc>
        <w:tc>
          <w:tcPr>
            <w:tcW w:w="264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Changes in Members’ Equity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318"/>
        </w:trPr>
        <w:tc>
          <w:tcPr>
            <w:tcW w:w="4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Notes to Consolidated Financial Statements</w:t>
              </w:r>
            </w:hyperlink>
          </w:p>
        </w:tc>
        <w:tc>
          <w:tcPr>
            <w:tcW w:w="5020" w:type="dxa"/>
            <w:vAlign w:val="bottom"/>
            <w:tcBorders>
              <w:top w:val="single" w:sz="8" w:color="0000EE"/>
            </w:tcBorders>
            <w:gridSpan w:val="11"/>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318"/>
        </w:trPr>
        <w:tc>
          <w:tcPr>
            <w:tcW w:w="282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124">
              <w:r>
                <w:rPr>
                  <w:rFonts w:ascii="Arial" w:cs="Arial" w:eastAsia="Arial" w:hAnsi="Arial"/>
                  <w:sz w:val="18"/>
                  <w:szCs w:val="18"/>
                  <w:b w:val="1"/>
                  <w:bCs w:val="1"/>
                  <w:color w:val="0000EE"/>
                  <w:w w:val="91"/>
                </w:rPr>
                <w:t>Supplemental Financial Information</w:t>
              </w:r>
            </w:hyperlink>
          </w:p>
        </w:tc>
        <w:tc>
          <w:tcPr>
            <w:tcW w:w="8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Quarterly Results</w:t>
              </w:r>
            </w:hyperlink>
          </w:p>
        </w:tc>
        <w:tc>
          <w:tcPr>
            <w:tcW w:w="914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358"/>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4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Condensed Statements of Financial Condition as of December 31, 2016 and 2015</w:t>
              </w:r>
            </w:hyperlink>
          </w:p>
        </w:tc>
        <w:tc>
          <w:tcPr>
            <w:tcW w:w="454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3">
              <w:r>
                <w:rPr>
                  <w:rFonts w:ascii="Arial" w:cs="Arial" w:eastAsia="Arial" w:hAnsi="Arial"/>
                  <w:sz w:val="18"/>
                  <w:szCs w:val="18"/>
                  <w:color w:val="0000EE"/>
                  <w:w w:val="88"/>
                </w:rPr>
                <w:t>Condensed Statements of Operations for the years ended December 31, 2016, 2015 and 2014</w:t>
              </w:r>
            </w:hyperlink>
          </w:p>
        </w:tc>
        <w:tc>
          <w:tcPr>
            <w:tcW w:w="37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Condensed Statements of Comprehensive Income for the years ended December 31, 2016, 2015 and 2014</w:t>
              </w:r>
            </w:hyperlink>
          </w:p>
        </w:tc>
        <w:tc>
          <w:tcPr>
            <w:tcW w:w="278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Condensed Statements of Cash Flows for the years ended December 31, 2016, 2015 and 2014</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Notes to Condensed Financial Statements</w:t>
            </w:r>
          </w:p>
        </w:tc>
        <w:tc>
          <w:tcPr>
            <w:tcW w:w="366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gridSpan w:val="3"/>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2016.</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2016, as stated in their report which appears under “Report of Independent Registered Public Accounting Firm.”</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8" w:name="page69"/>
    <w:bookmarkEnd w:id="6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 Lazard Group LLC:</w:t>
      </w:r>
    </w:p>
    <w:p>
      <w:pPr>
        <w:spacing w:after="0" w:line="225" w:lineRule="exact"/>
        <w:rPr>
          <w:sz w:val="20"/>
          <w:szCs w:val="20"/>
          <w:color w:val="auto"/>
        </w:rPr>
      </w:pPr>
    </w:p>
    <w:p>
      <w:pPr>
        <w:ind w:right="440" w:firstLine="598"/>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2016 of the Company, and our report dated February 27, 2017, expressed an unqualified opinion on those consolidated financial statements and financial statement schedule.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 Lazard Group LLC:</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have audited the accompanying consolidated statements of financial condition of Lazard Group LLC and subsidiaries (the “Company”) as of December 31, 2016 and 2015, and the related consolidated statements of operations, comprehensive income, cash flows, and changes in members’ equity for each of the three years in the period ended December 31, 2016.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7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Lazard Group LLC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27, 2017, expressed an unqualified opinion on the Company’s internal control over financial reporting.</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0" w:name="page71"/>
    <w:bookmarkEnd w:id="7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1,131,440</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1,025,844</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29,030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34,948</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$16,386 and $12,882</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Fees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564,291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423,817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108,817</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666,984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606,030</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459,422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530,712</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$285,997</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$265,505 at December 31, 2016 and 2015,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120" w:type="dxa"/>
            <w:vAlign w:val="bottom"/>
            <w:shd w:val="clear" w:color="auto" w:fill="CFF0FC"/>
          </w:tcPr>
          <w:p>
            <w:pPr>
              <w:spacing w:after="0"/>
              <w:rPr>
                <w:sz w:val="20"/>
                <w:szCs w:val="20"/>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of $59,618 and $57,561 at December 31, 2016 and 2015,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358,982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326,976</w:t>
            </w:r>
          </w:p>
        </w:tc>
        <w:tc>
          <w:tcPr>
            <w:tcW w:w="120" w:type="dxa"/>
            <w:vAlign w:val="bottom"/>
          </w:tcPr>
          <w:p>
            <w:pPr>
              <w:spacing w:after="0"/>
              <w:rPr>
                <w:sz w:val="20"/>
                <w:szCs w:val="20"/>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214,823</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3,389,054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Deposits and other customer payables</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472,283</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1,188,600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Lazard Ltd subsidiaries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2,779,844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w w:val="93"/>
              </w:rPr>
              <w:t>Members' equity (net of 6,697,790 and 3,322,385 shares of Lazard Ltd Class A common stock, at a</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cost of $244,518 and $161,288 at December 31, 2016 and 2015, respectively)</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949,669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(270,775)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(189,758)</w:t>
            </w:r>
          </w:p>
        </w:tc>
        <w:tc>
          <w:tcPr>
            <w:tcW w:w="0" w:type="dxa"/>
            <w:vAlign w:val="bottom"/>
          </w:tcPr>
          <w:p>
            <w:pPr>
              <w:spacing w:after="0"/>
              <w:rPr>
                <w:sz w:val="1"/>
                <w:szCs w:val="1"/>
                <w:color w:val="auto"/>
              </w:rPr>
            </w:pPr>
          </w:p>
        </w:tc>
      </w:tr>
      <w:tr>
        <w:trPr>
          <w:trHeight w:val="223"/>
        </w:trPr>
        <w:tc>
          <w:tcPr>
            <w:tcW w:w="7660" w:type="dxa"/>
            <w:vAlign w:val="bottom"/>
          </w:tcPr>
          <w:p>
            <w:pPr>
              <w:ind w:left="540"/>
              <w:spacing w:after="0"/>
              <w:rPr>
                <w:sz w:val="20"/>
                <w:szCs w:val="20"/>
                <w:color w:val="auto"/>
              </w:rPr>
            </w:pPr>
            <w:r>
              <w:rPr>
                <w:rFonts w:ascii="Arial" w:cs="Arial" w:eastAsia="Arial" w:hAnsi="Arial"/>
                <w:sz w:val="18"/>
                <w:szCs w:val="18"/>
                <w:color w:val="auto"/>
              </w:rPr>
              <w:t>Total Lazard Group LLC Members' Equity</w:t>
            </w: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3,389,054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1,298,364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1,276,096</w:t>
            </w:r>
          </w:p>
        </w:tc>
        <w:tc>
          <w:tcPr>
            <w:tcW w:w="1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1,201,424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998,887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1,036,821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1,080,842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75,567</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2,383,601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2,405,161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2,368,941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2,329,871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2,350,276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2,300,736</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1,338,819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1,319,620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1,313,550</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109,841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88,029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91,119</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44,495</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40,674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98,923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39,202</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1,807,878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1,819,431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1,759,761</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530,845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540,975</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77,815</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449,297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463,160</w:t>
            </w:r>
          </w:p>
        </w:tc>
        <w:tc>
          <w:tcPr>
            <w:tcW w:w="100" w:type="dxa"/>
            <w:vAlign w:val="bottom"/>
            <w:shd w:val="clear" w:color="auto" w:fill="CFF0FC"/>
          </w:tcPr>
          <w:p>
            <w:pPr>
              <w:spacing w:after="0"/>
              <w:rPr>
                <w:sz w:val="19"/>
                <w:szCs w:val="19"/>
                <w:color w:val="auto"/>
              </w:rPr>
            </w:pPr>
          </w:p>
        </w:tc>
      </w:tr>
      <w:tr>
        <w:trPr>
          <w:trHeight w:val="211"/>
        </w:trPr>
        <w:tc>
          <w:tcPr>
            <w:tcW w:w="562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FF0FC"/>
            </w:tcBorders>
          </w:tcPr>
          <w:p>
            <w:pPr>
              <w:spacing w:after="0"/>
              <w:rPr>
                <w:sz w:val="20"/>
                <w:szCs w:val="20"/>
                <w:color w:val="auto"/>
              </w:rPr>
            </w:pPr>
          </w:p>
        </w:tc>
      </w:tr>
      <w:tr>
        <w:trPr>
          <w:trHeight w:val="205"/>
        </w:trPr>
        <w:tc>
          <w:tcPr>
            <w:tcW w:w="56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 GROUP</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LLC</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442,738</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457,004</w:t>
            </w:r>
          </w:p>
        </w:tc>
        <w:tc>
          <w:tcPr>
            <w:tcW w:w="100" w:type="dxa"/>
            <w:vAlign w:val="bottom"/>
            <w:shd w:val="clear" w:color="auto" w:fill="CFF0FC"/>
          </w:tcPr>
          <w:p>
            <w:pPr>
              <w:spacing w:after="0"/>
              <w:rPr>
                <w:sz w:val="20"/>
                <w:szCs w:val="20"/>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463,160</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(44,062)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(43,861)</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2"/>
              </w:rPr>
              <w:t>Actuarial gain (loss) (net of tax expense (benefit) of $(2,754), $5,644 and $(9,045) for</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the years ended December 31, 2016, 2015 and 2014, respectively)</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(26,924)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(21,983)</w:t>
            </w:r>
          </w:p>
        </w:tc>
      </w:tr>
      <w:tr>
        <w:trPr>
          <w:trHeight w:val="215"/>
        </w:trPr>
        <w:tc>
          <w:tcPr>
            <w:tcW w:w="6780" w:type="dxa"/>
            <w:vAlign w:val="bottom"/>
          </w:tcPr>
          <w:p>
            <w:pPr>
              <w:ind w:left="500"/>
              <w:spacing w:after="0"/>
              <w:rPr>
                <w:sz w:val="20"/>
                <w:szCs w:val="20"/>
                <w:color w:val="auto"/>
              </w:rPr>
            </w:pPr>
            <w:r>
              <w:rPr>
                <w:rFonts w:ascii="Arial" w:cs="Arial" w:eastAsia="Arial" w:hAnsi="Arial"/>
                <w:sz w:val="18"/>
                <w:szCs w:val="18"/>
                <w:color w:val="auto"/>
                <w:w w:val="95"/>
              </w:rPr>
              <w:t>Adjustment for items reclassified to earnings (net of tax expense of $1,757, $1,507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w w:val="94"/>
              </w:rPr>
              <w:t>and $1,923 for the years ended December 31, 2016, 2015, and 2014, respectively)</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FF0FC"/>
            </w:tcBorders>
          </w:tcPr>
          <w:p>
            <w:pPr>
              <w:spacing w:after="0"/>
              <w:rPr>
                <w:sz w:val="20"/>
                <w:szCs w:val="20"/>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(61,095)</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422,827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402,065</w:t>
            </w:r>
          </w:p>
        </w:tc>
        <w:tc>
          <w:tcPr>
            <w:tcW w:w="120" w:type="dxa"/>
            <w:vAlign w:val="bottom"/>
          </w:tcPr>
          <w:p>
            <w:pPr>
              <w:spacing w:after="0"/>
              <w:rPr>
                <w:sz w:val="19"/>
                <w:szCs w:val="19"/>
                <w:color w:val="auto"/>
              </w:rPr>
            </w:pPr>
          </w:p>
        </w:tc>
      </w:tr>
      <w:tr>
        <w:trPr>
          <w:trHeight w:val="211"/>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6,153</w:t>
            </w:r>
          </w:p>
        </w:tc>
        <w:tc>
          <w:tcPr>
            <w:tcW w:w="120" w:type="dxa"/>
            <w:vAlign w:val="bottom"/>
            <w:shd w:val="clear" w:color="auto" w:fill="CFF0FC"/>
          </w:tcPr>
          <w:p>
            <w:pPr>
              <w:spacing w:after="0"/>
              <w:rPr>
                <w:sz w:val="20"/>
                <w:szCs w:val="20"/>
                <w:color w:val="auto"/>
              </w:rPr>
            </w:pPr>
          </w:p>
        </w:tc>
      </w:tr>
      <w:tr>
        <w:trPr>
          <w:trHeight w:val="205"/>
        </w:trPr>
        <w:tc>
          <w:tcPr>
            <w:tcW w:w="678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78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385,310</w:t>
            </w:r>
          </w:p>
        </w:tc>
        <w:tc>
          <w:tcPr>
            <w:tcW w:w="10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416,268</w:t>
            </w:r>
          </w:p>
        </w:tc>
        <w:tc>
          <w:tcPr>
            <w:tcW w:w="24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395,912</w:t>
            </w:r>
          </w:p>
        </w:tc>
        <w:tc>
          <w:tcPr>
            <w:tcW w:w="12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jc w:val="right"/>
              <w:ind w:right="655"/>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472,320</w:t>
            </w:r>
          </w:p>
        </w:tc>
        <w:tc>
          <w:tcPr>
            <w:tcW w:w="80" w:type="dxa"/>
            <w:vAlign w:val="bottom"/>
          </w:tcPr>
          <w:p>
            <w:pPr>
              <w:spacing w:after="0"/>
              <w:rPr>
                <w:sz w:val="12"/>
                <w:szCs w:val="12"/>
                <w:color w:val="auto"/>
              </w:rPr>
            </w:pPr>
          </w:p>
        </w:tc>
        <w:tc>
          <w:tcPr>
            <w:tcW w:w="4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449,297</w:t>
            </w:r>
          </w:p>
        </w:tc>
        <w:tc>
          <w:tcPr>
            <w:tcW w:w="30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463,160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20" w:type="dxa"/>
            <w:vAlign w:val="bottom"/>
            <w:shd w:val="clear" w:color="auto" w:fill="CFF0FC"/>
          </w:tcPr>
          <w:p>
            <w:pPr>
              <w:ind w:left="240"/>
              <w:spacing w:after="0" w:line="134" w:lineRule="exact"/>
              <w:rPr>
                <w:sz w:val="20"/>
                <w:szCs w:val="20"/>
                <w:color w:val="auto"/>
              </w:rPr>
            </w:pPr>
            <w:r>
              <w:rPr>
                <w:rFonts w:ascii="Arial" w:cs="Arial" w:eastAsia="Arial" w:hAnsi="Arial"/>
                <w:sz w:val="13"/>
                <w:szCs w:val="13"/>
                <w:color w:val="auto"/>
              </w:rPr>
              <w:t>Adjustments to reconcile net income to net cash provided by (used in)</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Depreciation and amortization of property</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33,268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32,785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34,463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Amortization of deferred expenses and share-based incentive compensation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340,903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319,744</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294,960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Amortization and other acquisition-related costs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32,539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5,821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6,387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Deferred tax provision (benefit)</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(5,225)</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(2,898)</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Loss on extinguishment of debt</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60,219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Gain on acquisition of portion of business already owned</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(12,668)</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Gain on disposal of subsidiaries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(24,388)</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(Increase) decrease in operating assets: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Deposits with banks and short-term investments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(44,278)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(207,373)</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20" w:type="dxa"/>
            <w:vAlign w:val="bottom"/>
            <w:shd w:val="clear" w:color="auto" w:fill="CFF0FC"/>
          </w:tcPr>
          <w:p>
            <w:pPr>
              <w:ind w:left="480"/>
              <w:spacing w:after="0" w:line="134" w:lineRule="exact"/>
              <w:rPr>
                <w:sz w:val="20"/>
                <w:szCs w:val="20"/>
                <w:color w:val="auto"/>
              </w:rPr>
            </w:pPr>
            <w:r>
              <w:rPr>
                <w:rFonts w:ascii="Arial" w:cs="Arial" w:eastAsia="Arial" w:hAnsi="Arial"/>
                <w:sz w:val="13"/>
                <w:szCs w:val="13"/>
                <w:color w:val="auto"/>
              </w:rPr>
              <w:t>Cash deposited with clearing organizations and other segregated</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580"/>
              <w:spacing w:after="0"/>
              <w:rPr>
                <w:sz w:val="20"/>
                <w:szCs w:val="20"/>
                <w:color w:val="auto"/>
              </w:rPr>
            </w:pPr>
            <w:r>
              <w:rPr>
                <w:rFonts w:ascii="Arial" w:cs="Arial" w:eastAsia="Arial" w:hAnsi="Arial"/>
                <w:sz w:val="13"/>
                <w:szCs w:val="13"/>
                <w:color w:val="auto"/>
              </w:rPr>
              <w:t>cash</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5,767</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Receivables-net</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(76,014)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(75,340)</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(57,618)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Investments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60,353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64,232</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(159,544)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Other assets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(53,391)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(109,321)</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(113,622)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Increase (decrease) in operating liabilities: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Deposits and other payables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(17,095)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204,886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Accrued compensation and benefits and other liabilities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(104,698)</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44,327</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184,704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FF0FC"/>
            </w:tcBorders>
          </w:tcPr>
          <w:p>
            <w:pPr>
              <w:ind w:left="72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634,929</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768,900</w:t>
            </w:r>
          </w:p>
        </w:tc>
        <w:tc>
          <w:tcPr>
            <w:tcW w:w="3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722,364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40"/>
              <w:spacing w:after="0"/>
              <w:rPr>
                <w:sz w:val="20"/>
                <w:szCs w:val="20"/>
                <w:color w:val="auto"/>
              </w:rPr>
            </w:pPr>
            <w:r>
              <w:rPr>
                <w:rFonts w:ascii="Arial" w:cs="Arial" w:eastAsia="Arial" w:hAnsi="Arial"/>
                <w:sz w:val="13"/>
                <w:szCs w:val="13"/>
                <w:color w:val="auto"/>
              </w:rPr>
              <w:t>Additions to property</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(38,749)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(26,629)</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(22,184)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Disposals of property</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1,096</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677</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FF0FC"/>
            </w:tcBorders>
          </w:tcPr>
          <w:p>
            <w:pPr>
              <w:ind w:left="720"/>
              <w:spacing w:after="0" w:line="143" w:lineRule="exact"/>
              <w:rPr>
                <w:sz w:val="20"/>
                <w:szCs w:val="20"/>
                <w:color w:val="auto"/>
              </w:rPr>
            </w:pPr>
            <w:r>
              <w:rPr>
                <w:rFonts w:ascii="Arial" w:cs="Arial" w:eastAsia="Arial" w:hAnsi="Arial"/>
                <w:sz w:val="13"/>
                <w:szCs w:val="13"/>
                <w:color w:val="auto"/>
              </w:rPr>
              <w:t>Net cash used in investing activities</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(37,653)</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(25,952)</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(20,099)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40"/>
              <w:spacing w:after="0"/>
              <w:rPr>
                <w:sz w:val="20"/>
                <w:szCs w:val="20"/>
                <w:color w:val="auto"/>
              </w:rPr>
            </w:pPr>
            <w:r>
              <w:rPr>
                <w:rFonts w:ascii="Arial" w:cs="Arial" w:eastAsia="Arial" w:hAnsi="Arial"/>
                <w:sz w:val="13"/>
                <w:szCs w:val="13"/>
                <w:color w:val="auto"/>
              </w:rPr>
              <w:t>Proceeds from:</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Contributions from noncontrolling interests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Issuance of senior debt, net of expenses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296,757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396,272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Excess tax benefits from share-based incentive compensation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4,072</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13,300</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Other financing activities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for:</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Senior debt</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(101,441)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(509,098)</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Capital lease obligations</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(1,619)</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(1,826)</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Distributions to noncontrolling interests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(1,981)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(16,286)</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(11,546)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Purchase of Lazard Ltd Class A common stock</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(300,217)</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(215,642)</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(141,192)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Distribution to members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(301,262)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(129,787)</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(322,369)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Settlement of vested share-based incentive compensation</w:t>
            </w:r>
          </w:p>
        </w:tc>
        <w:tc>
          <w:tcPr>
            <w:tcW w:w="8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(56,078)</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(120,116)</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(85,442)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Other financing activities</w:t>
            </w:r>
          </w:p>
        </w:tc>
        <w:tc>
          <w:tcPr>
            <w:tcW w:w="8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(4,797)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(2,371)</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(5,840)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top w:val="single" w:sz="8" w:color="CFF0FC"/>
            </w:tcBorders>
            <w:shd w:val="clear" w:color="auto" w:fill="CFF0FC"/>
          </w:tcPr>
          <w:p>
            <w:pPr>
              <w:ind w:left="720"/>
              <w:spacing w:after="0" w:line="143" w:lineRule="exact"/>
              <w:rPr>
                <w:sz w:val="20"/>
                <w:szCs w:val="20"/>
                <w:color w:val="auto"/>
              </w:rPr>
            </w:pPr>
            <w:r>
              <w:rPr>
                <w:rFonts w:ascii="Arial" w:cs="Arial" w:eastAsia="Arial" w:hAnsi="Arial"/>
                <w:sz w:val="13"/>
                <w:szCs w:val="13"/>
                <w:color w:val="auto"/>
              </w:rPr>
              <w:t>Net cash used in financing activities</w:t>
            </w: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93"/>
              </w:rPr>
              <w:t>(441,989)</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(585,279)</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(561,879)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EFFECT OF EXCHANGE RATE CHANGES ON CASH</w:t>
            </w:r>
          </w:p>
        </w:tc>
        <w:tc>
          <w:tcPr>
            <w:tcW w:w="8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(49,691)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(49,037)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(55,451)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NET INCREASE IN CASH AND CASH EQUIVALENTS</w:t>
            </w:r>
          </w:p>
        </w:tc>
        <w:tc>
          <w:tcPr>
            <w:tcW w:w="8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105,596</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108,632</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84,935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CASH AND CASH EQUIVALENTS—January 1</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1,025,844</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917,212</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832,277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AND CASH EQUIVALENTS—December 31</w:t>
            </w:r>
          </w:p>
        </w:tc>
        <w:tc>
          <w:tcPr>
            <w:tcW w:w="800" w:type="dxa"/>
            <w:vAlign w:val="bottom"/>
            <w:tcBorders>
              <w:bottom w:val="single" w:sz="8" w:color="auto"/>
            </w:tcBorders>
            <w:shd w:val="clear" w:color="auto" w:fill="CFF0FC"/>
          </w:tcPr>
          <w:p>
            <w:pPr>
              <w:jc w:val="right"/>
              <w:ind w:right="655"/>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1,131,440</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7"/>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1,025,844</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917,212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72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SUPPLEMENTAL DISCLOSURES OF CASH FLOW</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INFORMATION:</w:t>
            </w: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Arial" w:cs="Arial" w:eastAsia="Arial" w:hAnsi="Arial"/>
                <w:sz w:val="13"/>
                <w:szCs w:val="13"/>
                <w:b w:val="1"/>
                <w:bCs w:val="1"/>
                <w:color w:val="auto"/>
              </w:rPr>
              <w:t>Cash paid during the year for:</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3"/>
                <w:szCs w:val="13"/>
                <w:color w:val="auto"/>
              </w:rPr>
              <w:t>Interest</w:t>
            </w:r>
          </w:p>
        </w:tc>
        <w:tc>
          <w:tcPr>
            <w:tcW w:w="800" w:type="dxa"/>
            <w:vAlign w:val="bottom"/>
            <w:tcBorders>
              <w:bottom w:val="single" w:sz="8" w:color="auto"/>
            </w:tcBorders>
            <w:shd w:val="clear" w:color="auto" w:fill="CFF0FC"/>
          </w:tcPr>
          <w:p>
            <w:pPr>
              <w:jc w:val="right"/>
              <w:ind w:right="655"/>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49,700</w:t>
            </w: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49,086</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66,049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280"/>
              <w:spacing w:after="0"/>
              <w:rPr>
                <w:sz w:val="20"/>
                <w:szCs w:val="20"/>
                <w:color w:val="auto"/>
              </w:rPr>
            </w:pPr>
            <w:r>
              <w:rPr>
                <w:rFonts w:ascii="Arial" w:cs="Arial" w:eastAsia="Arial" w:hAnsi="Arial"/>
                <w:sz w:val="13"/>
                <w:szCs w:val="13"/>
                <w:color w:val="auto"/>
              </w:rPr>
              <w:t>Income taxes, net of refunds</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vMerge w:val="continue"/>
          </w:tcPr>
          <w:p>
            <w:pPr>
              <w:spacing w:after="0"/>
              <w:rPr>
                <w:sz w:val="11"/>
                <w:szCs w:val="11"/>
                <w:color w:val="auto"/>
              </w:rPr>
            </w:pPr>
          </w:p>
        </w:tc>
        <w:tc>
          <w:tcPr>
            <w:tcW w:w="800" w:type="dxa"/>
            <w:vAlign w:val="bottom"/>
            <w:tcBorders>
              <w:top w:val="single" w:sz="8" w:color="auto"/>
              <w:bottom w:val="single" w:sz="8" w:color="auto"/>
            </w:tcBorders>
          </w:tcPr>
          <w:p>
            <w:pPr>
              <w:jc w:val="right"/>
              <w:ind w:right="655"/>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66,923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56,564</w:t>
            </w:r>
          </w:p>
        </w:tc>
        <w:tc>
          <w:tcPr>
            <w:tcW w:w="30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Lazard Group</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Members'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Income (Loss),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Members'</w:t>
            </w:r>
          </w:p>
        </w:tc>
        <w:tc>
          <w:tcPr>
            <w:tcW w:w="10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Members'</w:t>
            </w:r>
          </w:p>
        </w:tc>
      </w:tr>
      <w:tr>
        <w:trPr>
          <w:trHeight w:val="153"/>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Net of Tax</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2014</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571,668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(102,196)</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469,472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66,654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536,126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457,004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457,004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463,160</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Other comprehensive loss - net of tax</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(61,092)</w:t>
            </w: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(61,092)</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(61,095)</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206,195</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Distributions to members and noncontrolling interests, net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(322,369)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(322,369)</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(10,214)</w:t>
            </w: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(332,583)</w:t>
            </w: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Purchase of Lazard Ltd Class A common stock</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(232,220)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(232,220)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(232,220)</w:t>
            </w:r>
          </w:p>
        </w:tc>
      </w:tr>
      <w:tr>
        <w:trPr>
          <w:trHeight w:val="143"/>
        </w:trPr>
        <w:tc>
          <w:tcPr>
            <w:tcW w:w="5280" w:type="dxa"/>
            <w:vAlign w:val="bottom"/>
          </w:tcPr>
          <w:p>
            <w:pPr>
              <w:spacing w:after="0" w:line="143" w:lineRule="exact"/>
              <w:rPr>
                <w:sz w:val="20"/>
                <w:szCs w:val="20"/>
                <w:color w:val="auto"/>
              </w:rPr>
            </w:pPr>
            <w:r>
              <w:rPr>
                <w:rFonts w:ascii="Arial" w:cs="Arial" w:eastAsia="Arial" w:hAnsi="Arial"/>
                <w:sz w:val="14"/>
                <w:szCs w:val="14"/>
                <w:color w:val="auto"/>
              </w:rPr>
              <w:t>Delivery of Lazard Ltd Class A common stock in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ind w:left="120"/>
              <w:spacing w:after="0" w:line="149" w:lineRule="exact"/>
              <w:rPr>
                <w:sz w:val="20"/>
                <w:szCs w:val="20"/>
                <w:color w:val="auto"/>
              </w:rPr>
            </w:pPr>
            <w:r>
              <w:rPr>
                <w:rFonts w:ascii="Arial" w:cs="Arial" w:eastAsia="Arial" w:hAnsi="Arial"/>
                <w:sz w:val="14"/>
                <w:szCs w:val="14"/>
                <w:color w:val="auto"/>
              </w:rPr>
              <w:t>compensation and related tax benefit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80" w:type="dxa"/>
            <w:vAlign w:val="bottom"/>
          </w:tcPr>
          <w:p>
            <w:pPr>
              <w:ind w:left="120"/>
              <w:spacing w:after="0"/>
              <w:rPr>
                <w:sz w:val="20"/>
                <w:szCs w:val="20"/>
                <w:color w:val="auto"/>
              </w:rPr>
            </w:pPr>
            <w:r>
              <w:rPr>
                <w:rFonts w:ascii="Arial" w:cs="Arial" w:eastAsia="Arial" w:hAnsi="Arial"/>
                <w:sz w:val="14"/>
                <w:szCs w:val="14"/>
                <w:color w:val="auto"/>
              </w:rPr>
              <w:t>of $4,783</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(80,659)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(80,659)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(80,659)</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Delivery of Lazard Ltd Class A common stock</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4"/>
                <w:szCs w:val="14"/>
                <w:color w:val="auto"/>
              </w:rPr>
            </w:pPr>
          </w:p>
        </w:tc>
      </w:tr>
      <w:tr>
        <w:trPr>
          <w:trHeight w:val="143"/>
        </w:trPr>
        <w:tc>
          <w:tcPr>
            <w:tcW w:w="52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Lazard Ltd Class A common stock issuable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(5,640)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(5,640)</w:t>
            </w:r>
          </w:p>
        </w:tc>
      </w:tr>
      <w:tr>
        <w:trPr>
          <w:trHeight w:val="156"/>
        </w:trPr>
        <w:tc>
          <w:tcPr>
            <w:tcW w:w="5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2014 (*)</w:t>
            </w: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594,834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(163,288)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431,546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62,593</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494,139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December 31,2014. Also includes profit participation interests and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150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Lazard Group</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Members'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Income (Loss),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Members’</w:t>
            </w:r>
          </w:p>
        </w:tc>
        <w:tc>
          <w:tcPr>
            <w:tcW w:w="100" w:type="dxa"/>
            <w:vAlign w:val="bottom"/>
          </w:tcPr>
          <w:p>
            <w:pPr>
              <w:spacing w:after="0"/>
              <w:rPr>
                <w:sz w:val="12"/>
                <w:szCs w:val="12"/>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Members’</w:t>
            </w:r>
          </w:p>
        </w:tc>
      </w:tr>
      <w:tr>
        <w:trPr>
          <w:trHeight w:val="153"/>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Net of Tax</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2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2015</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594,834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(163,288)</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431,546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62,593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494,139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442,738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442,738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449,297</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ind w:left="260"/>
              <w:spacing w:after="0"/>
              <w:rPr>
                <w:sz w:val="20"/>
                <w:szCs w:val="20"/>
                <w:color w:val="auto"/>
              </w:rPr>
            </w:pPr>
            <w:r>
              <w:rPr>
                <w:rFonts w:ascii="Arial" w:cs="Arial" w:eastAsia="Arial" w:hAnsi="Arial"/>
                <w:sz w:val="14"/>
                <w:szCs w:val="14"/>
                <w:color w:val="auto"/>
              </w:rPr>
              <w:t>Other comprehensive loss - net of tax</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(26,470)</w:t>
            </w: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(26,470)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(26,470)</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Contribution from member</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Distribution to members and noncontrolling interests, net</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(129,787)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(129,787)</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(16,011)</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(145,798)</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Purchase of Lazard Ltd Class A common stock</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(215,642)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(215,642)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(215,642)</w:t>
            </w:r>
          </w:p>
        </w:tc>
      </w:tr>
      <w:tr>
        <w:trPr>
          <w:trHeight w:val="14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Delivery of Lazard Ltd Class A common stock in</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2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2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 related tax benefit</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$13,138</w:t>
            </w: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(106,978)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(106,978)</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(106,978)</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r>
      <w:tr>
        <w:trPr>
          <w:trHeight w:val="156"/>
        </w:trPr>
        <w:tc>
          <w:tcPr>
            <w:tcW w:w="52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2015 (*)</w:t>
            </w: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839,517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(189,758)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649,759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53,141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702,900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20" w:right="3180" w:hanging="5612"/>
        <w:spacing w:after="0" w:line="778"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December 31, 2015, in addition to profit participation interests, there were two managing member interests.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11150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Lazard Group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Total</w:t>
            </w: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9"/>
              </w:rPr>
              <w:t>Member's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Income (Loss),</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Members’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6"/>
              </w:rPr>
              <w:t>Noncontrolling</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Members’</w:t>
            </w:r>
          </w:p>
        </w:tc>
      </w:tr>
      <w:tr>
        <w:trPr>
          <w:trHeight w:val="153"/>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 of Tax</w:t>
            </w:r>
          </w:p>
        </w:tc>
        <w:tc>
          <w:tcPr>
            <w:tcW w:w="10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2016</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839,517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(189,758)</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649,759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53,141</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702,900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466,327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472,320</w:t>
            </w:r>
          </w:p>
        </w:tc>
        <w:tc>
          <w:tcPr>
            <w:tcW w:w="120" w:type="dxa"/>
            <w:vAlign w:val="bottom"/>
            <w:shd w:val="clear" w:color="auto" w:fill="CFF0FC"/>
          </w:tcPr>
          <w:p>
            <w:pPr>
              <w:spacing w:after="0"/>
              <w:rPr>
                <w:sz w:val="14"/>
                <w:szCs w:val="14"/>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4"/>
                <w:szCs w:val="14"/>
                <w:color w:val="auto"/>
              </w:rPr>
              <w:t>Other comprehensive loss - net of tax</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(81,017)</w:t>
            </w: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(81,017)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(81,017)</w:t>
            </w:r>
          </w:p>
        </w:tc>
      </w:tr>
      <w:tr>
        <w:trPr>
          <w:trHeight w:val="143"/>
        </w:trPr>
        <w:tc>
          <w:tcPr>
            <w:tcW w:w="5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261,462</w:t>
            </w:r>
          </w:p>
        </w:tc>
        <w:tc>
          <w:tcPr>
            <w:tcW w:w="120" w:type="dxa"/>
            <w:vAlign w:val="bottom"/>
            <w:shd w:val="clear" w:color="auto" w:fill="CFF0FC"/>
          </w:tcPr>
          <w:p>
            <w:pPr>
              <w:spacing w:after="0"/>
              <w:rPr>
                <w:sz w:val="14"/>
                <w:szCs w:val="14"/>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4"/>
                <w:szCs w:val="14"/>
                <w:color w:val="auto"/>
              </w:rPr>
              <w:t>Distribution to members and noncontrolling interests, net</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(301,262)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(301,262)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(1,888)</w:t>
            </w: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(303,150)</w:t>
            </w: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4"/>
                <w:szCs w:val="14"/>
                <w:color w:val="auto"/>
              </w:rPr>
              <w:t>Purchase of Lazard Ltd Class A common stock</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(300,217)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(300,217)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(300,217)</w:t>
            </w:r>
          </w:p>
        </w:tc>
      </w:tr>
      <w:tr>
        <w:trPr>
          <w:trHeight w:val="143"/>
        </w:trPr>
        <w:tc>
          <w:tcPr>
            <w:tcW w:w="5320" w:type="dxa"/>
            <w:vAlign w:val="bottom"/>
          </w:tcPr>
          <w:p>
            <w:pPr>
              <w:spacing w:after="0" w:line="143" w:lineRule="exact"/>
              <w:rPr>
                <w:sz w:val="20"/>
                <w:szCs w:val="20"/>
                <w:color w:val="auto"/>
              </w:rPr>
            </w:pPr>
            <w:r>
              <w:rPr>
                <w:rFonts w:ascii="Arial" w:cs="Arial" w:eastAsia="Arial" w:hAnsi="Arial"/>
                <w:sz w:val="14"/>
                <w:szCs w:val="14"/>
                <w:color w:val="auto"/>
              </w:rPr>
              <w:t>Delivery of Lazard Ltd Class A common stock in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32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320" w:type="dxa"/>
            <w:vAlign w:val="bottom"/>
          </w:tcPr>
          <w:p>
            <w:pPr>
              <w:ind w:left="120"/>
              <w:spacing w:after="0" w:line="149" w:lineRule="exact"/>
              <w:rPr>
                <w:sz w:val="20"/>
                <w:szCs w:val="20"/>
                <w:color w:val="auto"/>
              </w:rPr>
            </w:pPr>
            <w:r>
              <w:rPr>
                <w:rFonts w:ascii="Arial" w:cs="Arial" w:eastAsia="Arial" w:hAnsi="Arial"/>
                <w:sz w:val="14"/>
                <w:szCs w:val="14"/>
                <w:color w:val="auto"/>
              </w:rPr>
              <w:t>compensation and related tax expense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5320" w:type="dxa"/>
            <w:vAlign w:val="bottom"/>
          </w:tcPr>
          <w:p>
            <w:pPr>
              <w:ind w:left="120"/>
              <w:spacing w:after="0"/>
              <w:rPr>
                <w:sz w:val="20"/>
                <w:szCs w:val="20"/>
                <w:color w:val="auto"/>
              </w:rPr>
            </w:pPr>
            <w:r>
              <w:rPr>
                <w:rFonts w:ascii="Arial" w:cs="Arial" w:eastAsia="Arial" w:hAnsi="Arial"/>
                <w:sz w:val="14"/>
                <w:szCs w:val="14"/>
                <w:color w:val="auto"/>
              </w:rPr>
              <w:t>of $220</w:t>
            </w:r>
          </w:p>
        </w:tc>
        <w:tc>
          <w:tcPr>
            <w:tcW w:w="1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(56,298)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(56,298)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(56,298)</w:t>
            </w:r>
          </w:p>
        </w:tc>
      </w:tr>
      <w:tr>
        <w:trPr>
          <w:trHeight w:val="143"/>
        </w:trPr>
        <w:tc>
          <w:tcPr>
            <w:tcW w:w="5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5320" w:type="dxa"/>
            <w:vAlign w:val="bottom"/>
          </w:tcPr>
          <w:p>
            <w:pPr>
              <w:ind w:left="260"/>
              <w:spacing w:after="0" w:line="143" w:lineRule="exact"/>
              <w:rPr>
                <w:sz w:val="20"/>
                <w:szCs w:val="20"/>
                <w:color w:val="auto"/>
              </w:rPr>
            </w:pPr>
            <w:r>
              <w:rPr>
                <w:rFonts w:ascii="Arial" w:cs="Arial" w:eastAsia="Arial" w:hAnsi="Arial"/>
                <w:sz w:val="14"/>
                <w:szCs w:val="14"/>
                <w:color w:val="auto"/>
              </w:rPr>
              <w:t>Delivery of Lazard Ltd Class A common stock</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5320" w:type="dxa"/>
            <w:vAlign w:val="bottom"/>
          </w:tcPr>
          <w:p>
            <w:pPr>
              <w:ind w:left="360"/>
              <w:spacing w:after="0"/>
              <w:rPr>
                <w:sz w:val="20"/>
                <w:szCs w:val="20"/>
                <w:color w:val="auto"/>
              </w:rPr>
            </w:pPr>
            <w:r>
              <w:rPr>
                <w:rFonts w:ascii="Arial" w:cs="Arial" w:eastAsia="Arial" w:hAnsi="Arial"/>
                <w:sz w:val="14"/>
                <w:szCs w:val="14"/>
                <w:color w:val="auto"/>
              </w:rPr>
              <w:t>and related tax benefit of $3</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3,390</w:t>
            </w:r>
          </w:p>
        </w:tc>
        <w:tc>
          <w:tcPr>
            <w:tcW w:w="120" w:type="dxa"/>
            <w:vAlign w:val="bottom"/>
          </w:tcPr>
          <w:p>
            <w:pPr>
              <w:spacing w:after="0"/>
              <w:rPr>
                <w:sz w:val="14"/>
                <w:szCs w:val="14"/>
                <w:color w:val="auto"/>
              </w:rPr>
            </w:pPr>
          </w:p>
        </w:tc>
      </w:tr>
      <w:tr>
        <w:trPr>
          <w:trHeight w:val="143"/>
        </w:trPr>
        <w:tc>
          <w:tcPr>
            <w:tcW w:w="53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Lazard Ltd Class A common stock issuable</w:t>
            </w: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3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31,139</w:t>
            </w:r>
          </w:p>
        </w:tc>
        <w:tc>
          <w:tcPr>
            <w:tcW w:w="120" w:type="dxa"/>
            <w:vAlign w:val="bottom"/>
            <w:shd w:val="clear" w:color="auto" w:fill="CFF0FC"/>
          </w:tcPr>
          <w:p>
            <w:pPr>
              <w:spacing w:after="0"/>
              <w:rPr>
                <w:sz w:val="14"/>
                <w:szCs w:val="14"/>
                <w:color w:val="auto"/>
              </w:rPr>
            </w:pPr>
          </w:p>
        </w:tc>
      </w:tr>
      <w:tr>
        <w:trPr>
          <w:trHeight w:val="162"/>
        </w:trPr>
        <w:tc>
          <w:tcPr>
            <w:tcW w:w="5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5,611</w:t>
            </w:r>
          </w:p>
        </w:tc>
        <w:tc>
          <w:tcPr>
            <w:tcW w:w="120" w:type="dxa"/>
            <w:vAlign w:val="bottom"/>
            <w:tcBorders>
              <w:bottom w:val="single" w:sz="8" w:color="CFF0FC"/>
            </w:tcBorders>
          </w:tcPr>
          <w:p>
            <w:pPr>
              <w:spacing w:after="0"/>
              <w:rPr>
                <w:sz w:val="14"/>
                <w:szCs w:val="14"/>
                <w:color w:val="auto"/>
              </w:rPr>
            </w:pPr>
          </w:p>
        </w:tc>
      </w:tr>
      <w:tr>
        <w:trPr>
          <w:trHeight w:val="156"/>
        </w:trPr>
        <w:tc>
          <w:tcPr>
            <w:tcW w:w="53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2016 (*)</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949,669</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(270,775)</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678,894</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57,246</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736,140</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040" w:right="3180" w:hanging="4032"/>
        <w:spacing w:after="0" w:line="906" w:lineRule="auto"/>
        <w:tabs>
          <w:tab w:leader="none" w:pos="26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At December 31, 2016, in addition to profit participation interests, there were two managing member interests. 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11150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54" w:lineRule="exact"/>
        <w:rPr>
          <w:sz w:val="20"/>
          <w:szCs w:val="20"/>
          <w:color w:val="auto"/>
        </w:rPr>
      </w:pPr>
    </w:p>
    <w:p>
      <w:pPr>
        <w:ind w:left="600" w:hanging="592"/>
        <w:spacing w:after="0"/>
        <w:tabs>
          <w:tab w:leader="none" w:pos="60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77" w:lineRule="exact"/>
        <w:rPr>
          <w:sz w:val="20"/>
          <w:szCs w:val="20"/>
          <w:color w:val="auto"/>
        </w:rPr>
      </w:pPr>
    </w:p>
    <w:p>
      <w:pPr>
        <w:ind w:right="140" w:firstLine="560"/>
        <w:spacing w:after="0" w:line="264"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Lazard Ltd indirectly held 100% of all outstanding Lazard Group common membership interests as of December 31, 2016 and 2015.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1200" w:right="40" w:hanging="598"/>
        <w:spacing w:after="0" w:line="264"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ind w:left="1200" w:right="460" w:hanging="598"/>
        <w:spacing w:after="0" w:line="264"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firstLine="59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w:t>
      </w:r>
    </w:p>
    <w:p>
      <w:pPr>
        <w:spacing w:after="0" w:line="38" w:lineRule="exact"/>
        <w:rPr>
          <w:sz w:val="20"/>
          <w:szCs w:val="20"/>
          <w:color w:val="auto"/>
        </w:rPr>
      </w:pPr>
    </w:p>
    <w:p>
      <w:pPr>
        <w:ind w:left="880" w:hanging="440"/>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23" w:lineRule="exact"/>
        <w:rPr>
          <w:rFonts w:ascii="Arial" w:cs="Arial" w:eastAsia="Arial" w:hAnsi="Arial"/>
          <w:sz w:val="18"/>
          <w:szCs w:val="18"/>
          <w:color w:val="auto"/>
        </w:rPr>
      </w:pPr>
    </w:p>
    <w:p>
      <w:pPr>
        <w:ind w:left="880" w:right="300" w:hanging="440"/>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520" w:firstLine="648"/>
        <w:spacing w:after="0" w:line="258"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which it records a proportionate share of the entity’s net earnings, or (ii) elects the option to measure at fair value. Intercompany transactions and balances have been eliminated.</w:t>
      </w:r>
    </w:p>
    <w:p>
      <w:pPr>
        <w:spacing w:after="0" w:line="184" w:lineRule="exact"/>
        <w:rPr>
          <w:sz w:val="20"/>
          <w:szCs w:val="20"/>
          <w:color w:val="auto"/>
        </w:rPr>
      </w:pPr>
    </w:p>
    <w:p>
      <w:pPr>
        <w:ind w:right="300" w:firstLine="598"/>
        <w:spacing w:after="0" w:line="276" w:lineRule="auto"/>
        <w:rPr>
          <w:sz w:val="20"/>
          <w:szCs w:val="20"/>
          <w:color w:val="auto"/>
        </w:rPr>
      </w:pPr>
      <w:r>
        <w:rPr>
          <w:rFonts w:ascii="Arial" w:cs="Arial" w:eastAsia="Arial" w:hAnsi="Arial"/>
          <w:sz w:val="17"/>
          <w:szCs w:val="17"/>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as a result of the adoption of the new guidance on classification of debt issuance costs and the impact of such guidance on the consolidated statements of financial condition.</w:t>
      </w:r>
    </w:p>
    <w:p>
      <w:pPr>
        <w:spacing w:after="0" w:line="360"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amounted to $(1,465), $1,467 and $296, respectively, for the years ended December 31, 2016, 2015 and 2014,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hanging="598"/>
        <w:spacing w:after="0" w:line="277"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0" w:name="page81"/>
    <w:bookmarkEnd w:id="8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40" w:lineRule="exact"/>
        <w:rPr>
          <w:sz w:val="20"/>
          <w:szCs w:val="20"/>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4 for additional information regarding receivables.</w:t>
      </w:r>
    </w:p>
    <w:p>
      <w:pPr>
        <w:spacing w:after="0" w:line="225"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5 and 6 for additional information regarding the Company’s investments.</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or, in the case of property under capital leases, the present value of the future minimum lease payments, 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accumulated depreciation and amortization. Buildings represent owned property and amounts recorded pursuant to capital leases (see Notes 8 and 12),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$33,268, $32,785 and $34,463 for the years ended December 31, 2016, 2015 and 2014,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9"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b w:val="1"/>
          <w:bCs w:val="1"/>
          <w:i w:val="1"/>
          <w:iCs w:val="1"/>
          <w:color w:val="auto"/>
        </w:rPr>
        <w:t>Goodwill and Other Intangible Assets—</w:t>
      </w:r>
      <w:r>
        <w:rPr>
          <w:rFonts w:ascii="Arial" w:cs="Arial" w:eastAsia="Arial" w:hAnsi="Arial"/>
          <w:sz w:val="17"/>
          <w:szCs w:val="17"/>
          <w:color w:val="auto"/>
        </w:rPr>
        <w:t>As goodwill has an indefinite life, it is required to be tested for impairment annually or more frequently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completed its annual goodwill review as of November 1, 2016, and determined that no impairment existed.</w:t>
      </w:r>
    </w:p>
    <w:p>
      <w:pPr>
        <w:spacing w:after="0" w:line="225"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9 with respect to goodwill and other intangible assets.</w:t>
      </w:r>
    </w:p>
    <w:p>
      <w:pPr>
        <w:spacing w:after="0" w:line="22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ind w:right="160" w:firstLine="598"/>
        <w:spacing w:after="0" w:line="272" w:lineRule="auto"/>
        <w:rPr>
          <w:sz w:val="20"/>
          <w:szCs w:val="20"/>
          <w:color w:val="auto"/>
        </w:rPr>
      </w:pPr>
      <w:r>
        <w:rPr>
          <w:rFonts w:ascii="Arial" w:cs="Arial" w:eastAsia="Arial" w:hAnsi="Arial"/>
          <w:sz w:val="17"/>
          <w:szCs w:val="17"/>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consolidated statements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2" w:lineRule="auto"/>
        <w:rPr>
          <w:sz w:val="20"/>
          <w:szCs w:val="20"/>
          <w:color w:val="auto"/>
        </w:rPr>
      </w:pPr>
      <w:r>
        <w:rPr>
          <w:rFonts w:ascii="Arial" w:cs="Arial" w:eastAsia="Arial" w:hAnsi="Arial"/>
          <w:sz w:val="17"/>
          <w:szCs w:val="17"/>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Deposits and Other Customer Payables—</w:t>
      </w:r>
      <w:r>
        <w:rPr>
          <w:rFonts w:ascii="Arial" w:cs="Arial" w:eastAsia="Arial" w:hAnsi="Arial"/>
          <w:sz w:val="17"/>
          <w:szCs w:val="17"/>
          <w:color w:val="auto"/>
        </w:rPr>
        <w:t>Principally relates to LFB customer-related demand deposits, both interest-bearing and non-interest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bearing.</w:t>
      </w:r>
    </w:p>
    <w:p>
      <w:pPr>
        <w:spacing w:after="0" w:line="21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jc w:val="both"/>
        <w:ind w:right="80" w:firstLine="479"/>
        <w:spacing w:after="0" w:line="312" w:lineRule="auto"/>
        <w:rPr>
          <w:sz w:val="20"/>
          <w:szCs w:val="20"/>
          <w:color w:val="auto"/>
        </w:rPr>
      </w:pPr>
      <w:r>
        <w:rPr>
          <w:rFonts w:ascii="Arial" w:cs="Arial" w:eastAsia="Arial" w:hAnsi="Arial"/>
          <w:sz w:val="16"/>
          <w:szCs w:val="16"/>
          <w:b w:val="1"/>
          <w:bCs w:val="1"/>
          <w:i w:val="1"/>
          <w:iCs w:val="1"/>
          <w:color w:val="auto"/>
        </w:rPr>
        <w:t>Contingent Consideration Liabilities—</w:t>
      </w:r>
      <w:r>
        <w:rPr>
          <w:rFonts w:ascii="Arial" w:cs="Arial" w:eastAsia="Arial" w:hAnsi="Arial"/>
          <w:sz w:val="16"/>
          <w:szCs w:val="16"/>
          <w:color w:val="auto"/>
        </w:rPr>
        <w:t>The contingent consideration liabilities of businesses acquired in a business combination are initially recorded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estimated fair value and any change in the fair value is recognized in “amortization and other acquisition-related costs” in the consolidated statements of operations. The contingent consideration liability is included in “other liabilities” on the consolidated statements of financial condition.</w:t>
      </w:r>
    </w:p>
    <w:p>
      <w:pPr>
        <w:spacing w:after="0" w:line="147" w:lineRule="exact"/>
        <w:rPr>
          <w:sz w:val="20"/>
          <w:szCs w:val="20"/>
          <w:color w:val="auto"/>
        </w:rPr>
      </w:pPr>
    </w:p>
    <w:p>
      <w:pPr>
        <w:ind w:right="240" w:firstLine="598"/>
        <w:spacing w:after="0" w:line="302"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Investment Banking and Other Advisory Fees—</w:t>
      </w:r>
      <w:r>
        <w:rPr>
          <w:rFonts w:ascii="Arial" w:cs="Arial" w:eastAsia="Arial" w:hAnsi="Arial"/>
          <w:sz w:val="16"/>
          <w:szCs w:val="16"/>
          <w:color w:val="auto"/>
        </w:rPr>
        <w:t>Fees for M&amp;A and Other Advisory services and Restructuring advisory services are recorded when</w:t>
      </w:r>
    </w:p>
    <w:p>
      <w:pPr>
        <w:spacing w:after="0" w:line="46"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there is persuasive evidence of an arrangement with a client, (ii) fees are fixed or determinable, (iii) the agreed-upon services have been completed and</w:t>
      </w:r>
    </w:p>
    <w:p>
      <w:pPr>
        <w:spacing w:after="0" w:line="32"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delivered to the client or the transaction or events contemplated in the engagement letter are determined to be substantially completed, which is generally the date the related transactions are consummated and (iv) collection is reasonably assured.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2016, 2015 and 2014 are $16,998, $19,358 and $20,407, respectively.</w:t>
      </w:r>
    </w:p>
    <w:p>
      <w:pPr>
        <w:spacing w:after="0" w:line="19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Asset Management Fees—</w:t>
      </w:r>
      <w:r>
        <w:rPr>
          <w:rFonts w:ascii="Arial" w:cs="Arial" w:eastAsia="Arial" w:hAnsi="Arial"/>
          <w:sz w:val="18"/>
          <w:szCs w:val="18"/>
          <w:color w:val="auto"/>
        </w:rPr>
        <w:t>Asset Management fees are derived from fees for investment management and advisory services provided to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8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or thresholds. The Company records incentive fees on traditional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3" w:name="page84"/>
    <w:bookmarkEnd w:id="8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8"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b w:val="1"/>
          <w:bCs w:val="1"/>
          <w:i w:val="1"/>
          <w:iCs w:val="1"/>
          <w:color w:val="auto"/>
        </w:rPr>
        <w:t>Soft Dollar Arrangements—</w:t>
      </w:r>
      <w:r>
        <w:rPr>
          <w:rFonts w:ascii="Arial" w:cs="Arial" w:eastAsia="Arial" w:hAnsi="Arial"/>
          <w:sz w:val="18"/>
          <w:szCs w:val="18"/>
          <w:color w:val="auto"/>
        </w:rPr>
        <w:t>The Company’s Asset Management business obtains research and other services through “soft dollar”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For the year ended December 31, 2016, the Company obtained research and other services through soft dollar arrangements valued at approximately $23,000. If the use of soft dollars is limited or prohibited in the future by regulation, we may have to bear the costs of such research and other services.</w:t>
      </w:r>
    </w:p>
    <w:p>
      <w:pPr>
        <w:spacing w:after="0" w:line="19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color w:val="auto"/>
        </w:rPr>
        <w:t>Charges associated with management-approved cost saving plans or staff reductions can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Although a portion of Lazard Group’s income is subject to U.S. federal income taxes, Lazard Group primarily operates in the U.S.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for income taxes”. See Note 16 for additional information relating to income taxes.</w:t>
      </w:r>
    </w:p>
    <w:p>
      <w:pPr>
        <w:spacing w:after="0" w:line="200" w:lineRule="exact"/>
        <w:rPr>
          <w:sz w:val="20"/>
          <w:szCs w:val="20"/>
          <w:color w:val="auto"/>
        </w:rPr>
      </w:pPr>
    </w:p>
    <w:p>
      <w:pPr>
        <w:spacing w:after="0" w:line="227"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i w:val="1"/>
          <w:iCs w:val="1"/>
          <w:color w:val="auto"/>
        </w:rPr>
        <w:t>Fair Value Measurement</w:t>
      </w:r>
      <w:r>
        <w:rPr>
          <w:rFonts w:ascii="Arial" w:cs="Arial" w:eastAsia="Arial" w:hAnsi="Arial"/>
          <w:sz w:val="17"/>
          <w:szCs w:val="17"/>
          <w:color w:val="auto"/>
        </w:rPr>
        <w:t>—In May 2015, the FASB issued updated guidance for the classification and disclosure of certain investments using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 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7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recognized debt liability in the balance sheet as a direct deduction from the carrying amount of that debt liability, consistent with debt discounts. The new guidance is effective for financial statements issued for fiscal years beginning after December 15, 2015 and is to be applied on a retrospective basis. The adoption of this guidance by the Company in the first quarter of 2016 resulted in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5" w:name="page86"/>
    <w:bookmarkEnd w:id="8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as of December 31, 2015 of $8,992 from “other assets” to “senior debt” on our consolidated financial statements and related disclosures.</w:t>
      </w:r>
    </w:p>
    <w:p>
      <w:pPr>
        <w:spacing w:after="0" w:line="237"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—In February 2015, the FASB issued updated guidance for the consolidation of certain legal entities.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The Company adopted this guidance using the modified retrospective method with an effective date of January 1, 2016. The adoption of this guidance did not have a material impact on our consolidated financial statements or related disclosures. In October 2016, the FASB issued updated consolidation guidance specific to interests held through related parties that are under common control. The new guidance requires an entity to consider those interests on a proportionate basis. The Company adopted this</w:t>
      </w:r>
    </w:p>
    <w:p>
      <w:pPr>
        <w:spacing w:after="0" w:line="5" w:lineRule="exact"/>
        <w:rPr>
          <w:sz w:val="20"/>
          <w:szCs w:val="20"/>
          <w:color w:val="auto"/>
        </w:rPr>
      </w:pPr>
    </w:p>
    <w:p>
      <w:pPr>
        <w:ind w:right="3140"/>
        <w:spacing w:after="0" w:line="255" w:lineRule="auto"/>
        <w:rPr>
          <w:sz w:val="20"/>
          <w:szCs w:val="20"/>
          <w:color w:val="auto"/>
        </w:rPr>
      </w:pPr>
      <w:r>
        <w:rPr>
          <w:rFonts w:ascii="Arial" w:cs="Arial" w:eastAsia="Arial" w:hAnsi="Arial"/>
          <w:sz w:val="18"/>
          <w:szCs w:val="18"/>
          <w:color w:val="auto"/>
        </w:rPr>
        <w:t>guidance retrospectively with an effective date of January 1, 2016, as it is required to coincide with the adoption of the February 2015 guidance. The adoption of this guidance did not have a material impact on our consolidated financial statements or related disclosures.</w:t>
      </w:r>
    </w:p>
    <w:p>
      <w:pPr>
        <w:spacing w:after="0" w:line="190"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i w:val="1"/>
          <w:iCs w:val="1"/>
          <w:color w:val="auto"/>
        </w:rPr>
        <w:t>Intangibles—Goodwill and Other—Internal-Use Software: Customers Accounting for Fees Paid in a Cloud Computing Arrangement</w:t>
      </w:r>
      <w:r>
        <w:rPr>
          <w:rFonts w:ascii="Arial" w:cs="Arial" w:eastAsia="Arial" w:hAnsi="Arial"/>
          <w:sz w:val="17"/>
          <w:szCs w:val="17"/>
          <w:color w:val="auto"/>
        </w:rPr>
        <w:t>—In April 2015,</w:t>
      </w:r>
      <w:r>
        <w:rPr>
          <w:rFonts w:ascii="Arial" w:cs="Arial" w:eastAsia="Arial" w:hAnsi="Arial"/>
          <w:sz w:val="17"/>
          <w:szCs w:val="17"/>
          <w:i w:val="1"/>
          <w:iCs w:val="1"/>
          <w:color w:val="auto"/>
        </w:rPr>
        <w:t xml:space="preserve"> </w:t>
      </w:r>
      <w:r>
        <w:rPr>
          <w:rFonts w:ascii="Arial" w:cs="Arial" w:eastAsia="Arial" w:hAnsi="Arial"/>
          <w:sz w:val="17"/>
          <w:szCs w:val="17"/>
          <w:color w:val="auto"/>
        </w:rPr>
        <w:t>the FASB issued updated guidance providing clarification on whether a cloud computing arrangement that contains a software license should be accounted for as internal-use software. The new guidance is effective for annual and interim periods beginning after December 15, 2015. The adoption of this guidance by the Company in the first quarter of 2016 did not have a material impact on our consolidated financial statements.</w:t>
      </w:r>
    </w:p>
    <w:p>
      <w:pPr>
        <w:spacing w:after="0" w:line="17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—In March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The Company expects that the prospective impact of this new guidance will result in an increase or a decrease to the provision for income taxes for the delivery of stock under share-based payment arrangements, which will likely cause volatility in the effective tax rate and could be material to the consolidated statements of operations and the classification of cash flows in future periods. Additionally, upon adoption of the new guidance, the Company expects that deferred tax assets of $17,035 will be recorded for previously unrecognized excess tax benefits outstanding in the period ended December 31, 2016, with an offsetting adjustment to retained earnings.</w:t>
      </w:r>
    </w:p>
    <w:p>
      <w:pPr>
        <w:spacing w:after="0" w:line="18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Financial Accounting Standards Board (the “FASB”) issued comprehensive new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consolidated statements of operations. On July 9, 2015, the FASB approved the deferral of the effective date of the new revenue guidance by one year to annual reporting periods beginning after December 15, 2017, with early adoption being permitted for annual periods beginning after December 15, 2016. The guidance may be adopted using a full retrospective approach or a modified cumulative effect approach. During 2016, the FASB issued additional clarifications for certain aspects of the new revenue recognition guidance. The Company currently expects to adopt the revenue recognition guidance in the first quarter of 2018. The Company’s implementation efforts include the identification of revenue within the scope of the guidance and the evaluation of revenue contracts. The Company also continues to evaluate both the timing of revenue recognition and the presentation of certain contract costs.</w:t>
      </w:r>
    </w:p>
    <w:p>
      <w:pPr>
        <w:spacing w:after="0" w:line="17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24"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65" w:lineRule="exact"/>
        <w:rPr>
          <w:sz w:val="20"/>
          <w:szCs w:val="20"/>
          <w:color w:val="auto"/>
        </w:rPr>
      </w:pPr>
    </w:p>
    <w:p>
      <w:pPr>
        <w:ind w:right="60" w:firstLine="598"/>
        <w:spacing w:after="0" w:line="289" w:lineRule="auto"/>
        <w:rPr>
          <w:sz w:val="20"/>
          <w:szCs w:val="20"/>
          <w:color w:val="auto"/>
        </w:rPr>
      </w:pPr>
      <w:r>
        <w:rPr>
          <w:rFonts w:ascii="Arial" w:cs="Arial" w:eastAsia="Arial" w:hAnsi="Arial"/>
          <w:sz w:val="17"/>
          <w:szCs w:val="17"/>
          <w:i w:val="1"/>
          <w:iCs w:val="1"/>
          <w:color w:val="auto"/>
        </w:rPr>
        <w:t>Intangibles</w:t>
      </w:r>
      <w:r>
        <w:rPr>
          <w:rFonts w:ascii="Arial" w:cs="Arial" w:eastAsia="Arial" w:hAnsi="Arial"/>
          <w:sz w:val="20"/>
          <w:szCs w:val="20"/>
          <w:color w:val="3C3C3D"/>
        </w:rPr>
        <w:t>—</w:t>
      </w:r>
      <w:r>
        <w:rPr>
          <w:rFonts w:ascii="Arial" w:cs="Arial" w:eastAsia="Arial" w:hAnsi="Arial"/>
          <w:sz w:val="17"/>
          <w:szCs w:val="17"/>
          <w:i w:val="1"/>
          <w:iCs w:val="1"/>
          <w:color w:val="auto"/>
        </w:rPr>
        <w:t>Goodwill and Other: Simplifying the Test for Goodwill Impairment</w:t>
      </w:r>
      <w:r>
        <w:rPr>
          <w:rFonts w:ascii="Arial" w:cs="Arial" w:eastAsia="Arial" w:hAnsi="Arial"/>
          <w:sz w:val="20"/>
          <w:szCs w:val="20"/>
          <w:color w:val="3C3C3D"/>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49"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2016, 2015 and 2014 was as follows:</w:t>
      </w:r>
    </w:p>
    <w:p>
      <w:pPr>
        <w:spacing w:after="0" w:line="200" w:lineRule="exact"/>
        <w:rPr>
          <w:sz w:val="20"/>
          <w:szCs w:val="20"/>
          <w:color w:val="auto"/>
        </w:rPr>
      </w:pP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28,777</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(6,551)</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(13,783)</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(17,483)</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consolidated statements of operations.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2016 and 2015, the Company had receivables past due or deemed uncollectible of $22,212 and $19,923, respectively.</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Of the Company’s fee receivables at December 31, 2016 and 2015, $76,133 and $81,774, respectively, represented interest-bearing financing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receivables. In addition, at December 31, 2016 and 2015, the Company had interest-bearing receivables from Lazard Ltd subsidiaries of $20,365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$106,567, respectively. Based upon our historical loss experience, the credit quality of the counterparties, and the lack of past due or uncollectible amounts,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 was no allowance for doubtful accounts required at those dates related to such receivables.</w:t>
      </w:r>
    </w:p>
    <w:p>
      <w:pPr>
        <w:spacing w:after="0" w:line="21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$570,486 and $417,689 at December 31, 2016 and 2015, respectively, approximates fair value.</w:t>
      </w:r>
    </w:p>
    <w:p>
      <w:pPr>
        <w:spacing w:after="0" w:line="200" w:lineRule="exact"/>
        <w:rPr>
          <w:sz w:val="20"/>
          <w:szCs w:val="20"/>
          <w:color w:val="auto"/>
        </w:rPr>
      </w:pPr>
    </w:p>
    <w:p>
      <w:pPr>
        <w:spacing w:after="0" w:line="227"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2016 and 2015:</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88" w:name="page89"/>
    <w:bookmarkEnd w:id="8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458,744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4,482</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$13,080, $37,869 and $128,219, respectively, at December 31, 2016 and $10,996, $31,598 and $156,081, respectively, at December 31, 2015,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consolidated statements of operations for the year ended December 31, 2015.</w:t>
      </w:r>
    </w:p>
    <w:p>
      <w:pPr>
        <w:spacing w:after="0" w:line="166"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During the years ended December 31, 2016, 2015 and 2014, the Company reported in “revenue-other” on its consolidated statements of operations net unrealized investment gains and losses pertaining to “trading” securities still held as of the reporting date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11,816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The fair value of the contingent consideration liability is classified as Level 3 and the estimated fair value of the liability is remeasured at each reporting period. The inputs used to derive the fair value of the contingent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consideration include the application of probabilities when assessing certain performance thresholds for the relevant periods. Any change in the fair value is recognized in “amortization and other acquisition-related costs” in the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consolidated statements of financial condition. See Note 12.</w:t>
      </w:r>
    </w:p>
    <w:p>
      <w:pPr>
        <w:spacing w:after="0" w:line="188"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The fair value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The following tables present, as of December 31, 2016 and 2015,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342,902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50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363"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2016,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 (a)</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30,481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(30,067)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30,481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December 31, 2015 (b)</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Realized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Gains /Losses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Included In</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Sales/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Earnings (a)</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8"/>
              </w:rPr>
              <w:t>Year Ended December 31, 2014 (b)</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jc w:val="center"/>
              <w:ind w:left="139"/>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Dispositions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FF0FC"/>
          </w:tcPr>
          <w:p>
            <w:pPr>
              <w:jc w:val="right"/>
              <w:ind w:right="64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60"/>
              <w:spacing w:after="0"/>
              <w:rPr>
                <w:sz w:val="20"/>
                <w:szCs w:val="20"/>
                <w:color w:val="auto"/>
              </w:rPr>
            </w:pPr>
            <w:r>
              <w:rPr>
                <w:rFonts w:ascii="Arial" w:cs="Arial" w:eastAsia="Arial" w:hAnsi="Arial"/>
                <w:sz w:val="18"/>
                <w:szCs w:val="18"/>
                <w:color w:val="auto"/>
                <w:w w:val="74"/>
              </w:rPr>
              <w:t>(43)</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0" w:right="100" w:hanging="592"/>
        <w:spacing w:after="0" w:line="254"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years ended December 31, 2016, 2015 and 2014 include net unrealized gains of $243, $14 and $19, respectively. Earnings recorded in “amortization and other acquisition-related costs” for the contingent consideration liability for the year ended December 31, 2016 include unrealized losses of $414 and realized losses of $30,067 due to the change in the fair value of contingent consideration associated with the Edgewater business acquisition.</w:t>
      </w:r>
    </w:p>
    <w:p>
      <w:pPr>
        <w:ind w:left="600" w:right="60" w:hanging="592"/>
        <w:spacing w:after="0" w:line="277"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tables for the years ended December 31, 2015 and 2014 reflect the retrospective application of new disclosure guidance adopted by the Company for investments using NAV or its equivalent as a practical expedient when measuring fair value. See Note 3.</w:t>
      </w:r>
    </w:p>
    <w:p>
      <w:pPr>
        <w:spacing w:after="0" w:line="184"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2016 and 2015.</w:t>
      </w:r>
    </w:p>
    <w:p>
      <w:pPr>
        <w:spacing w:after="0" w:line="170"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2016 and 2015 that are not measured at fair value in the Company’s consolidated statement of financial condition, and excludes certain financial instruments such as equity method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6"/>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center"/>
              <w:ind w:left="799"/>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Carrying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1,131,440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1,131,440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1,131,440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472,283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472,283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472,283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gridSpan w:val="6"/>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center"/>
              <w:ind w:left="799"/>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1,025,844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1,025,844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1,025,844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cash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506,665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506,665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506,665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993,999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993,999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225"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2016 and 2015,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2016</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gridSpan w:val="7"/>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Estimated Liquidation Period of</w:t>
            </w:r>
          </w:p>
        </w:tc>
        <w:tc>
          <w:tcPr>
            <w:tcW w:w="2180" w:type="dxa"/>
            <w:vAlign w:val="bottom"/>
            <w:gridSpan w:val="3"/>
          </w:tcPr>
          <w:p>
            <w:pPr>
              <w:jc w:val="right"/>
              <w:ind w:right="685"/>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jc w:val="center"/>
              <w:ind w:left="728"/>
              <w:spacing w:after="0"/>
              <w:rPr>
                <w:sz w:val="20"/>
                <w:szCs w:val="20"/>
                <w:color w:val="auto"/>
              </w:rPr>
            </w:pPr>
            <w:r>
              <w:rPr>
                <w:rFonts w:ascii="Arial" w:cs="Arial" w:eastAsia="Arial" w:hAnsi="Arial"/>
                <w:sz w:val="14"/>
                <w:szCs w:val="14"/>
                <w:b w:val="1"/>
                <w:bCs w:val="1"/>
                <w:color w:val="auto"/>
                <w:w w:val="86"/>
              </w:rPr>
              <w:t>Investments Not Redeemable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2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92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Years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5"/>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6,190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90,824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9,183</w:t>
            </w:r>
          </w:p>
        </w:tc>
        <w:tc>
          <w:tcPr>
            <w:tcW w:w="400" w:type="dxa"/>
            <w:vAlign w:val="bottom"/>
          </w:tcPr>
          <w:p>
            <w:pPr>
              <w:ind w:left="100"/>
              <w:spacing w:after="0"/>
              <w:rPr>
                <w:sz w:val="20"/>
                <w:szCs w:val="20"/>
                <w:color w:val="auto"/>
              </w:rPr>
            </w:pPr>
            <w:r>
              <w:rPr>
                <w:rFonts w:ascii="Arial" w:cs="Arial" w:eastAsia="Arial" w:hAnsi="Arial"/>
                <w:sz w:val="15"/>
                <w:szCs w:val="15"/>
                <w:color w:val="auto"/>
              </w:rPr>
              <w:t>(f)</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100%</w:t>
            </w: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12%</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Mezzanine debt</w:t>
            </w:r>
          </w:p>
        </w:tc>
        <w:tc>
          <w:tcPr>
            <w:tcW w:w="1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31,597</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100%</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129,591</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9,183</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600" w:right="60" w:hanging="592"/>
        <w:spacing w:after="0" w:line="261"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Estimated Liquidation Period of</w:t>
            </w:r>
          </w:p>
        </w:tc>
        <w:tc>
          <w:tcPr>
            <w:tcW w:w="2200" w:type="dxa"/>
            <w:vAlign w:val="bottom"/>
            <w:gridSpan w:val="3"/>
          </w:tcPr>
          <w:p>
            <w:pPr>
              <w:jc w:val="right"/>
              <w:ind w:right="685"/>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0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00" w:type="dxa"/>
            <w:vAlign w:val="bottom"/>
          </w:tcPr>
          <w:p>
            <w:pPr>
              <w:jc w:val="right"/>
              <w:ind w:right="24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6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60" w:type="dxa"/>
            <w:vAlign w:val="bottom"/>
          </w:tcPr>
          <w:p>
            <w:pPr>
              <w:jc w:val="right"/>
              <w:ind w:right="65"/>
              <w:spacing w:after="0"/>
              <w:rPr>
                <w:sz w:val="20"/>
                <w:szCs w:val="20"/>
                <w:color w:val="auto"/>
              </w:rPr>
            </w:pPr>
            <w:r>
              <w:rPr>
                <w:rFonts w:ascii="Arial" w:cs="Arial" w:eastAsia="Arial" w:hAnsi="Arial"/>
                <w:sz w:val="14"/>
                <w:szCs w:val="14"/>
                <w:b w:val="1"/>
                <w:bCs w:val="1"/>
                <w:color w:val="auto"/>
                <w:w w:val="99"/>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20,410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1,590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6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6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Equity growth</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67,895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10,242</w:t>
            </w:r>
          </w:p>
        </w:tc>
        <w:tc>
          <w:tcPr>
            <w:tcW w:w="400" w:type="dxa"/>
            <w:vAlign w:val="bottom"/>
          </w:tcPr>
          <w:p>
            <w:pPr>
              <w:ind w:left="120"/>
              <w:spacing w:after="0"/>
              <w:rPr>
                <w:sz w:val="20"/>
                <w:szCs w:val="20"/>
                <w:color w:val="auto"/>
              </w:rPr>
            </w:pPr>
            <w:r>
              <w:rPr>
                <w:rFonts w:ascii="Arial" w:cs="Arial" w:eastAsia="Arial" w:hAnsi="Arial"/>
                <w:sz w:val="15"/>
                <w:szCs w:val="15"/>
                <w:color w:val="auto"/>
              </w:rPr>
              <w:t>(f)</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18%</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43%</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Mezzanine debt</w:t>
            </w:r>
          </w:p>
        </w:tc>
        <w:tc>
          <w:tcPr>
            <w:tcW w:w="1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32,324</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122,732</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10,242</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600" w:right="60" w:hanging="592"/>
        <w:spacing w:after="0" w:line="261"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2016,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175"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table below presents the fair values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14) on the accompanying consolidated statements of financial condition as of December 31,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1,993</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2,792</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170,388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182,223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260" w:hanging="592"/>
        <w:spacing w:after="0" w:line="259"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$357 and $9,400 as of December 31, 2016, respectively, and $460 and $958 as of December 31, 2015, respectively, for contracts with the same counterparty under legally enforceable master netting agreements. Such amounts are recorded “net” in “other assets”, with receivables for net cash collateral under such contracts of $16,996 and $9,636 as of December 31, 2016 and 2015, respectively.</w:t>
      </w:r>
    </w:p>
    <w:p>
      <w:pPr>
        <w:spacing w:after="0" w:line="187" w:lineRule="exact"/>
        <w:rPr>
          <w:sz w:val="20"/>
          <w:szCs w:val="20"/>
          <w:color w:val="auto"/>
        </w:rPr>
      </w:pPr>
    </w:p>
    <w:p>
      <w:pPr>
        <w:ind w:right="48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2016, 2015 and 2014,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0"/>
              </w:rPr>
              <w:t>(2,253)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98"/>
              </w:rPr>
              <w:t>(3,318)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(3,022)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0"/>
              </w:rPr>
              <w:t>(8,593)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40" w:type="dxa"/>
            <w:vAlign w:val="bottom"/>
            <w:vMerge w:val="restart"/>
          </w:tcPr>
          <w:p>
            <w:pPr>
              <w:jc w:val="right"/>
              <w:ind w:right="890"/>
              <w:spacing w:after="0"/>
              <w:rPr>
                <w:sz w:val="20"/>
                <w:szCs w:val="20"/>
                <w:color w:val="auto"/>
              </w:rPr>
            </w:pPr>
            <w:r>
              <w:rPr>
                <w:rFonts w:ascii="Arial" w:cs="Arial" w:eastAsia="Arial" w:hAnsi="Arial"/>
                <w:sz w:val="18"/>
                <w:szCs w:val="18"/>
                <w:color w:val="auto"/>
              </w:rPr>
              <w:t>94</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2016 and 2015, property consists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175,810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167,838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172,325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2016 and 2015 are presented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At December 31, 2016 and 2015, goodwill of $287,583 and $256,220,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2016, 2015 and 2014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345,453</w:t>
            </w:r>
          </w:p>
        </w:tc>
        <w:tc>
          <w:tcPr>
            <w:tcW w:w="8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Business acquisitions (see Note 12)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(14,641)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(13,283)</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Balance,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352,124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335,402</w:t>
            </w: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2016, 2015 and 2014 are attributable to the Company’s Financial Advisory segment.</w:t>
      </w:r>
    </w:p>
    <w:p>
      <w:pPr>
        <w:spacing w:after="0" w:line="170"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2016, 2015 and 2014, the Company determined that no impairment existed.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7" w:name="page98"/>
    <w:bookmarkEnd w:id="9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2016 and 2015,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Amortization expense of intangible assets, included in “amortization and other acquisition-related costs” in the consolidated statements of operations, for the years ended December 31, 2016, 2015 and 2014 was $2,057, $5,821 and $6,387, respectively. Estimated future amortization expense is as follows:</w:t>
      </w:r>
    </w:p>
    <w:p>
      <w:pPr>
        <w:spacing w:after="0" w:line="1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Approximately 31% of intangible asset amortization is attributable to a noncontrolling interest.</w:t>
      </w:r>
    </w:p>
    <w:p>
      <w:pPr>
        <w:spacing w:after="0" w:line="200" w:lineRule="exact"/>
        <w:rPr>
          <w:sz w:val="20"/>
          <w:szCs w:val="20"/>
          <w:color w:val="auto"/>
        </w:rPr>
      </w:pPr>
    </w:p>
    <w:p>
      <w:pPr>
        <w:spacing w:after="0" w:line="214"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tax receivables and other taxes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75,703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67,373</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57,282</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181,694</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2016 and 2015: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123,293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128,022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92,044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104,734</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84,287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83,566</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Abandoned leased space (principally in the U.K.)</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8,760</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44,429</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28,489</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502,289</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494,697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Annual</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92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Rate(b)</w:t>
            </w: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840" w:type="dxa"/>
            <w:vAlign w:val="bottom"/>
            <w:tcBorders>
              <w:top w:val="single" w:sz="8" w:color="CFF0FC"/>
            </w:tcBorders>
            <w:gridSpan w:val="2"/>
            <w:shd w:val="clear" w:color="auto" w:fill="CFF0FC"/>
          </w:tcPr>
          <w:p>
            <w:pPr>
              <w:jc w:val="center"/>
              <w:ind w:right="1420"/>
              <w:spacing w:after="0"/>
              <w:rPr>
                <w:sz w:val="20"/>
                <w:szCs w:val="20"/>
                <w:color w:val="auto"/>
              </w:rPr>
            </w:pPr>
            <w:r>
              <w:rPr>
                <w:rFonts w:ascii="Arial" w:cs="Arial" w:eastAsia="Arial" w:hAnsi="Arial"/>
                <w:sz w:val="18"/>
                <w:szCs w:val="18"/>
                <w:color w:val="auto"/>
                <w:w w:val="91"/>
              </w:rPr>
              <w:t>Lazard Group 2017</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600,000</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6/15/17</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jc w:val="center"/>
              <w:ind w:right="1420"/>
              <w:spacing w:after="0"/>
              <w:rPr>
                <w:sz w:val="20"/>
                <w:szCs w:val="20"/>
                <w:color w:val="auto"/>
              </w:rPr>
            </w:pPr>
            <w:r>
              <w:rPr>
                <w:rFonts w:ascii="Arial" w:cs="Arial" w:eastAsia="Arial" w:hAnsi="Arial"/>
                <w:sz w:val="18"/>
                <w:szCs w:val="18"/>
                <w:color w:val="auto"/>
                <w:w w:val="91"/>
              </w:rPr>
              <w:t>Lazard Group 2020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11/14/20</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496,431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495,509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shd w:val="clear" w:color="auto" w:fill="CFF0FC"/>
          </w:tcPr>
          <w:p>
            <w:pPr>
              <w:jc w:val="center"/>
              <w:ind w:right="1420"/>
              <w:spacing w:after="0"/>
              <w:rPr>
                <w:sz w:val="20"/>
                <w:szCs w:val="20"/>
                <w:color w:val="auto"/>
              </w:rPr>
            </w:pPr>
            <w:r>
              <w:rPr>
                <w:rFonts w:ascii="Arial" w:cs="Arial" w:eastAsia="Arial" w:hAnsi="Arial"/>
                <w:sz w:val="18"/>
                <w:szCs w:val="18"/>
                <w:color w:val="auto"/>
                <w:w w:val="91"/>
              </w:rPr>
              <w:t>Lazard Group 2025</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396,167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395,658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jc w:val="center"/>
              <w:ind w:right="1420"/>
              <w:spacing w:after="0"/>
              <w:rPr>
                <w:sz w:val="20"/>
                <w:szCs w:val="20"/>
                <w:color w:val="auto"/>
              </w:rPr>
            </w:pPr>
            <w:r>
              <w:rPr>
                <w:rFonts w:ascii="Arial" w:cs="Arial" w:eastAsia="Arial" w:hAnsi="Arial"/>
                <w:sz w:val="18"/>
                <w:szCs w:val="18"/>
                <w:color w:val="auto"/>
                <w:w w:val="91"/>
              </w:rPr>
              <w:t>Lazard Group 2027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FF0FC"/>
            </w:tcBorders>
            <w:gridSpan w:val="2"/>
          </w:tcPr>
          <w:p>
            <w:pPr>
              <w:jc w:val="center"/>
              <w:ind w:right="1380"/>
              <w:spacing w:after="0"/>
              <w:rPr>
                <w:sz w:val="20"/>
                <w:szCs w:val="20"/>
                <w:color w:val="auto"/>
              </w:rPr>
            </w:pPr>
            <w:r>
              <w:rPr>
                <w:rFonts w:ascii="Arial" w:cs="Arial" w:eastAsia="Arial" w:hAnsi="Arial"/>
                <w:sz w:val="18"/>
                <w:szCs w:val="18"/>
                <w:color w:val="auto"/>
                <w:w w:val="90"/>
              </w:rPr>
              <w:t>Senior Notes (a)</w:t>
            </w:r>
          </w:p>
        </w:tc>
        <w:tc>
          <w:tcPr>
            <w:tcW w:w="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296,002</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1,200,000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1,188,600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998,350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989,358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20" w:hanging="592"/>
        <w:spacing w:after="0" w:line="297" w:lineRule="auto"/>
        <w:tabs>
          <w:tab w:leader="none" w:pos="6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November 2016, Lazard Group completed an offering of $300,000 aggregate principal amount of 3.625% senior notes due 2027 (the “2027 Notes”). Interest on the 2027 Notes is payable semi-annually on March 1 and September 1 of each year, beginning March 1, 2017. Lazard Group used a portion of the net proceeds of the 2027 Notes to redeem or otherwise retire all $98,350 of the 6.85% senior notes due June 2017 (the “2017 Notes”), which, including the recognition of unamortized issuance costs, resulted in a loss on debt extinguishment of $3,148. Such loss on debt extinguishment was recorded in “operating expenses—other” on the consolidated statement of operations for the year ended December 31, 2016.</w:t>
      </w:r>
    </w:p>
    <w:p>
      <w:pPr>
        <w:spacing w:after="0" w:line="158" w:lineRule="exact"/>
        <w:rPr>
          <w:rFonts w:ascii="Arial" w:cs="Arial" w:eastAsia="Arial" w:hAnsi="Arial"/>
          <w:sz w:val="16"/>
          <w:szCs w:val="16"/>
          <w:color w:val="auto"/>
        </w:rPr>
      </w:pPr>
    </w:p>
    <w:p>
      <w:pPr>
        <w:ind w:left="620" w:right="120"/>
        <w:spacing w:after="0" w:line="276" w:lineRule="auto"/>
        <w:rPr>
          <w:rFonts w:ascii="Arial" w:cs="Arial" w:eastAsia="Arial" w:hAnsi="Arial"/>
          <w:sz w:val="16"/>
          <w:szCs w:val="16"/>
          <w:color w:val="auto"/>
        </w:rPr>
      </w:pPr>
      <w:r>
        <w:rPr>
          <w:rFonts w:ascii="Arial" w:cs="Arial" w:eastAsia="Arial" w:hAnsi="Arial"/>
          <w:sz w:val="17"/>
          <w:szCs w:val="17"/>
          <w:color w:val="auto"/>
        </w:rPr>
        <w:t>During February 2015, Lazard Group completed an offering of $400,000 aggregate principal amount of 3.75% senior notes due 2025 (the “2025 Notes”). Interest on the 2025 Notes is payable semi-annually on March 1 and September 1 of each year.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consolidated statement of operations for the year ended December 31, 2015.</w:t>
      </w:r>
    </w:p>
    <w:p>
      <w:pPr>
        <w:spacing w:after="0" w:line="280" w:lineRule="exact"/>
        <w:rPr>
          <w:rFonts w:ascii="Arial" w:cs="Arial" w:eastAsia="Arial" w:hAnsi="Arial"/>
          <w:sz w:val="16"/>
          <w:szCs w:val="16"/>
          <w:color w:val="auto"/>
        </w:rPr>
      </w:pPr>
    </w:p>
    <w:p>
      <w:pPr>
        <w:ind w:left="600" w:right="40" w:hanging="59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the 2025 Notes and the 2027 Notes are 4.43%, 3.87% and 3.76%,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as of December 31, 2015, reflects the retrospective application of new guidance adopted by the Company for debt issuance costs.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1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2016 and 2015, no amounts were outstanding under the Amended and Restated Credit Agreement or the prior revolving credit facility, respectively.</w:t>
      </w:r>
    </w:p>
    <w:p>
      <w:pPr>
        <w:spacing w:after="0" w:line="193"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2016, the Company was in compliance with such provisions. All of the Company’s senior debt obligations are unsecured.</w:t>
      </w:r>
    </w:p>
    <w:p>
      <w:pPr>
        <w:spacing w:after="0" w:line="14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2016 for each of the five years in the period ending December 31, 2021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Company’s senior debt at December 31, 2016 and 2015 is carried at historical amounts. See Note 6 for information regarding the fair value and fair value hierarchy category of the Company’s senior debt.</w:t>
      </w:r>
    </w:p>
    <w:p>
      <w:pPr>
        <w:spacing w:after="0" w:line="17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As of December 31, 2016, the Company had approximately $179,000 in unused lines of credit available to it, including the credit facility provided under the Amended and Restated Credit Agreement, and unused lines of credit available to LFB of approximately $21,000 (at December 31, 2016 exchange rates).</w:t>
      </w:r>
    </w:p>
    <w:p>
      <w:pPr>
        <w:spacing w:after="0" w:line="370"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24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2016, 2015 and 2014, aggregate rental expense relating to operating leases amounted to $76,640, $79,523 and $80,745, respectively, and is included in “occupancy and equipment” or “technology and information services” on the consolidated statements of operations, depending on the nature of the underlying asset. The Company also subleases office space under agreements which expire on various dates through 2022. Sublease income from such agreements was $7,858, $9,587 and $11,751 for the years ended December 31, 2016, 2015 and 2014, respectively, which includes sublease income of $1,281 and $3,097, respectively, from an affiliate of LMDC Holdings LLC (“LMDC Holdings”) for the years ended December 2015 and 2014.</w:t>
      </w:r>
    </w:p>
    <w:p>
      <w:pPr>
        <w:spacing w:after="0" w:line="165"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Capital lease obligations recorded under sale/leaseback transactions are payable through 2017 at a weighted average interest rate of approximately 6.1%. Such obligations are collateralized primarily by certain buildings with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book value of approximately $13,538 and $15,121 at December 31, 2016 and 2015, respectively. The net book value of all assets recorded under capital leases aggregated $13,628 and $15,273 at December 31, 2016 and 2015, respectively.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2016, minimum rental commitments under non-cancelable leases, net of sublease income, are approximately as follows:</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26"/>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70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Capital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30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3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0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amount representing interest</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capital lease commitments</w:t>
            </w: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Less sublease proceeds</w:t>
            </w: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45,643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lease payments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782,478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With respect to abandoned leased facilities in the U.K., at December 31, 2016 and 2015, the Company has recognized liabilities of $2,819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$6,155, respectively, which are included in “other liabilities” on the consolidated statements of financial condition. Payments toward the liabilities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the remaining term of the leases. Such liabilities are based on the discounted future commitment, net of expected sublease income.</w:t>
      </w:r>
    </w:p>
    <w:p>
      <w:pPr>
        <w:spacing w:after="0" w:line="21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2016, LFB had $3,340 of such indemnifications and held $3,259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b w:val="1"/>
          <w:bCs w:val="1"/>
          <w:i w:val="1"/>
          <w:iCs w:val="1"/>
          <w:color w:val="auto"/>
        </w:rPr>
        <w:t>Certain Business Transactions—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8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were subject to earnout criteria and payable over time. As of December 31, 2016 and 2015, 2,285,714 and 1,371,992 shares, respectively, have been earned and settled because applicable performance thresholds have been satisfied.</w:t>
      </w:r>
    </w:p>
    <w:p>
      <w:pPr>
        <w:spacing w:after="0" w:line="17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b w:val="1"/>
          <w:bCs w:val="1"/>
          <w:i w:val="1"/>
          <w:iCs w:val="1"/>
          <w:color w:val="auto"/>
        </w:rPr>
        <w:t>Other Business Acquisitions</w:t>
      </w:r>
      <w:r>
        <w:rPr>
          <w:rFonts w:ascii="Arial" w:cs="Arial" w:eastAsia="Arial" w:hAnsi="Arial"/>
          <w:sz w:val="17"/>
          <w:szCs w:val="17"/>
          <w:color w:val="auto"/>
        </w:rPr>
        <w:t>—For a business acquired in the fourth quarter of 2016, consideration consisted of (i) a one-time cash payment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60,817 shares of Class A common stock subject to non-compete provisions and (ii) up to 210,431 additional shares of Class A common stock that are subject to certain performance thresholds. As of December 31, 2016, none of the contingent additional shares had been earned.</w:t>
      </w:r>
    </w:p>
    <w:p>
      <w:pPr>
        <w:spacing w:after="0" w:line="166"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1" w:name="page102"/>
    <w:bookmarkEnd w:id="10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2013. During the second quarter of 2015, the achievement of certain performance thresholds related to the acquired business were satisfied, resulting in the issuance of 27,316 shares of Class A common stock.</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2016, LFB and LFNY had no such underwriting commitments.</w:t>
      </w:r>
    </w:p>
    <w:p>
      <w:pPr>
        <w:spacing w:after="0" w:line="18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600" w:hanging="592"/>
        <w:spacing w:after="0"/>
        <w:tabs>
          <w:tab w:leader="none" w:pos="60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293" w:lineRule="exact"/>
        <w:rPr>
          <w:sz w:val="20"/>
          <w:szCs w:val="20"/>
          <w:color w:val="auto"/>
        </w:rPr>
      </w:pPr>
    </w:p>
    <w:p>
      <w:pPr>
        <w:ind w:right="100" w:firstLine="560"/>
        <w:spacing w:after="0" w:line="297"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May 2014, also were held by LAZ-MD Holdings. Distributions in respect of Lazard Group’s common membership interests are allocated to the holders of such interests 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58" w:lineRule="exact"/>
        <w:rPr>
          <w:sz w:val="20"/>
          <w:szCs w:val="20"/>
          <w:color w:val="auto"/>
        </w:rPr>
      </w:pPr>
    </w:p>
    <w:p>
      <w:pPr>
        <w:ind w:right="680" w:firstLine="560"/>
        <w:spacing w:after="0" w:line="277" w:lineRule="auto"/>
        <w:rPr>
          <w:sz w:val="20"/>
          <w:szCs w:val="20"/>
          <w:color w:val="auto"/>
        </w:rPr>
      </w:pPr>
      <w:r>
        <w:rPr>
          <w:rFonts w:ascii="Arial" w:cs="Arial" w:eastAsia="Arial" w:hAnsi="Arial"/>
          <w:sz w:val="18"/>
          <w:szCs w:val="18"/>
          <w:color w:val="auto"/>
        </w:rPr>
        <w:t>During the years ended December 31, 2016, 2015 and 2014, Lazard Group distributed $301,262, $129,787 and $320,507, respectively, to the subsidiaries of Lazard Ltd and, in 2014, $1,862 to LAZ-MD Holdings.</w:t>
      </w:r>
    </w:p>
    <w:p>
      <w:pPr>
        <w:spacing w:after="0" w:line="116" w:lineRule="exact"/>
        <w:rPr>
          <w:sz w:val="20"/>
          <w:szCs w:val="20"/>
          <w:color w:val="auto"/>
        </w:rPr>
      </w:pPr>
    </w:p>
    <w:p>
      <w:pPr>
        <w:ind w:right="280" w:firstLine="560"/>
        <w:spacing w:after="0" w:line="277" w:lineRule="auto"/>
        <w:rPr>
          <w:sz w:val="20"/>
          <w:szCs w:val="20"/>
          <w:color w:val="auto"/>
        </w:rPr>
      </w:pPr>
      <w:r>
        <w:rPr>
          <w:rFonts w:ascii="Arial" w:cs="Arial" w:eastAsia="Arial" w:hAnsi="Arial"/>
          <w:sz w:val="18"/>
          <w:szCs w:val="18"/>
          <w:color w:val="auto"/>
        </w:rPr>
        <w:t>During the year ended December 31, 2015, Lazard Group received a capital contribution of $30,000 from a subsidiary of Lazard Ltd in a non-cash transaction through a reduction of an interest-bearing loan. See Note 17.</w:t>
      </w:r>
    </w:p>
    <w:p>
      <w:pPr>
        <w:spacing w:after="0" w:line="116" w:lineRule="exact"/>
        <w:rPr>
          <w:sz w:val="20"/>
          <w:szCs w:val="20"/>
          <w:color w:val="auto"/>
        </w:rPr>
      </w:pPr>
    </w:p>
    <w:p>
      <w:pPr>
        <w:ind w:right="400" w:firstLine="560"/>
        <w:spacing w:after="0" w:line="308" w:lineRule="auto"/>
        <w:rPr>
          <w:sz w:val="20"/>
          <w:szCs w:val="20"/>
          <w:color w:val="auto"/>
        </w:rPr>
      </w:pPr>
      <w:r>
        <w:rPr>
          <w:rFonts w:ascii="Arial" w:cs="Arial" w:eastAsia="Arial" w:hAnsi="Arial"/>
          <w:sz w:val="17"/>
          <w:szCs w:val="17"/>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3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year ended December 31, 2014, Lazard Ltd issued 710,009 shares of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common stock in connection with the exchanges of a like number of Lazard Group common membership interests (received from members of LAZ-MD Holdings in exchange for a like number of LAZ-MD Holdings exchangeable interests). See Note 1 for a discussion of the Final Exchange of LAZ-MD Interests.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2016, 2015 and 2014,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940" w:type="dxa"/>
            <w:vAlign w:val="bottom"/>
            <w:vMerge w:val="restart"/>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Repurchase</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April 2014</w:t>
            </w:r>
          </w:p>
        </w:tc>
        <w:tc>
          <w:tcPr>
            <w:tcW w:w="2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tcBorders>
              <w:top w:val="single" w:sz="8" w:color="CFF0FC"/>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113,182</w:t>
            </w:r>
          </w:p>
        </w:tc>
        <w:tc>
          <w:tcPr>
            <w:tcW w:w="4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40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2014</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4,114,206</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There were 6,697,790 and 3,322,385 shares of Class A common stock held by Lazard Group at December 31, 2016 and 2015, respectively. Such shares of Class A common stock are reported, at cost, as a reduction of members’ equity within the accompanying consolidated statements of financial condition.</w:t>
      </w:r>
    </w:p>
    <w:p>
      <w:pPr>
        <w:spacing w:after="0" w:line="181"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During 2016, 2015 and 2014,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the estimated amount of such tax. In addition, during the years ended December 31, 2016 and 2014, the Company purchased shares of Lazard Ltd Class A common stock from an executive officer. The aggregate value of such purchases in 2016, 2015 and 2014 was approximately $4,900, $17,700 and $6,800, respectively.</w:t>
      </w:r>
    </w:p>
    <w:p>
      <w:pPr>
        <w:spacing w:after="0" w:line="158"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During the year ended December 31, 2015, Lazard Group purchased 896,169 shares of Lazard Ltd Class A common stock from subsidiaries of Lazard Ltd for $45,081. There were no such purchases during the year ended December 31, 2016.</w:t>
      </w:r>
    </w:p>
    <w:p>
      <w:pPr>
        <w:spacing w:after="0" w:line="17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shares purchased by Lazard Ltd in the year ended December 31, 2014 included 1,000,000 shares purchased from Natixis S.A. on June 26, 2014 for $50,340 in connection with the sale by Natixis S.A. of its entire investment in Lazard Ltd’s Class A common stock. The purchase transaction closed on July 1, 2014.</w:t>
      </w:r>
    </w:p>
    <w:p>
      <w:pPr>
        <w:spacing w:after="0" w:line="18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As of December 31, 2016, a total of $355,125 of share repurchase authorization remained available under Lazard Ltd’s share repurchase program, $119,125 of which will expire on December 31, 2017 and $236,000 of which will expire on December 31, 2018.</w:t>
      </w:r>
    </w:p>
    <w:p>
      <w:pPr>
        <w:spacing w:after="0" w:line="170"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During the year ended December 31, 2016, Lazard Ltd had in place trading plans under Rule 10b5-1 of the Securities Exchange Act of 1934,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(26,924)</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(83,543)</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(83,543)</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2015:</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(44,062)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(32,779)</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(32,779)</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(137,431</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(102,195</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(102,196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(43,861)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(21,983)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(65,844)</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(65,841)</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(8,625)</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(163,290</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(163,288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2016, 2015 and 2014: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340" w:hanging="592"/>
        <w:spacing w:after="0" w:line="277"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“compensation and benefits” expense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150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2016, 2015 and 2014 and noncontrolling interests as of December 31, 2016 and 2015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3780" w:type="dxa"/>
            <w:vAlign w:val="bottom"/>
            <w:tcBorders>
              <w:top w:val="single" w:sz="8" w:color="CFF0FC"/>
            </w:tcBorders>
            <w:shd w:val="clear" w:color="auto" w:fill="CFF0FC"/>
          </w:tcPr>
          <w:p>
            <w:pPr>
              <w:spacing w:after="0"/>
              <w:rPr>
                <w:sz w:val="13"/>
                <w:szCs w:val="13"/>
                <w:color w:val="auto"/>
              </w:rPr>
            </w:pPr>
          </w:p>
        </w:tc>
        <w:tc>
          <w:tcPr>
            <w:tcW w:w="30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ind w:right="17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Edgewater</w:t>
            </w:r>
          </w:p>
        </w:tc>
        <w:tc>
          <w:tcPr>
            <w:tcW w:w="30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6,557</w:t>
            </w:r>
          </w:p>
        </w:tc>
        <w:tc>
          <w:tcPr>
            <w:tcW w:w="280" w:type="dxa"/>
            <w:vAlign w:val="bottom"/>
            <w:gridSpan w:val="2"/>
          </w:tcPr>
          <w:p>
            <w:pPr>
              <w:spacing w:after="0"/>
              <w:rPr>
                <w:sz w:val="19"/>
                <w:szCs w:val="19"/>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5,993</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years ended December 31, 2016, 2015 and 2014, is presented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 performance-based restricted stock units (“PRSUs”)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RSUs</w:t>
            </w:r>
          </w:p>
        </w:tc>
        <w:tc>
          <w:tcPr>
            <w:tcW w:w="2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171,188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166,395</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169,916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16,110</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260,602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225,995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205,325</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2016, 2015 and 2014, dividend participation rights required the issuance of 1,085,354, 693,714 and 375,954 RSUs, respectively.</w:t>
      </w:r>
    </w:p>
    <w:p>
      <w:pPr>
        <w:spacing w:after="0" w:line="181"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38,771, 23,961 and 26,360 DSUs granted in connection with annual compensation during the years ended December 31, 2016,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78"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2016, 2015 and 2014, 10,043, 2,482 and 8,433 DSUs, respectively, had been granted pursuant to such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16,630,009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375,954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3,825,737</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42.59</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34,793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(344,345)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(6,582,285)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37.80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13,529,116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286,227</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693,714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4,296,386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(469,776)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(7,756,068)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1,085,354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6,878,306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(239,432)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(4,540,394)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RSUs that vested during the years ended December 31, 2016, 2015 and 2014, the Company satisfied its minimum statutory tax withholding requirements in lieu of delivering 1,421,396, 2,249,935 and 1,896,930 shares of Class A common stock during such respective years. Accordingly, 3,118,998, 5,506,133 and 4,685,355 shares of Class A common stock held by the Company were delivered during the years ended December 31, 2016, 2015 and 2014, respectively.</w:t>
      </w:r>
    </w:p>
    <w:p>
      <w:pPr>
        <w:spacing w:after="0" w:line="18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As of December 31, 2016, estimated unrecognized RSU compensation expense was approximately $141,947, with such expense expected to be recognized over a weighted average period of approximately 0.8 years subsequent to December 31,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575,054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449,911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(13,336)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(281,802)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729,827</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576,886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(547,124)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(819,872)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2016, 2015 and 2014, the Company satisfied its minimum statutory tax withholding requirements in lieu of delivering 141,026, 108,833 and 43,905 shares of Class A common stock during such respective years. Accordingly, 678,846, 438,291 and 237,897 shares of Class A common stock held by the Company were delivered during the years ended December 31, 2016, 2015 and 2014, respectively.</w:t>
      </w:r>
    </w:p>
    <w:p>
      <w:pPr>
        <w:spacing w:after="0" w:line="18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any dividends paid on Class A common stock during the period, which will vest concurrently with the underlying restricted stock award. At December 31, 2016, estimated unrecognized restricted stock expense was approximately $32,154, with such expense to be recognized over a weighted average period of approximately 0.9 years subsequent to December 31, 2016.</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vested was equal to approximately 2.2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8" w:name="page109"/>
    <w:bookmarkEnd w:id="10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dividend equivalents are credited as RSUs that are not subject to the performance-based vesting criteria but are otherwise subject to the same restrictions as the underlying PRSUs to which they relate.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538,237</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2014</w:t>
            </w:r>
          </w:p>
        </w:tc>
        <w:tc>
          <w:tcPr>
            <w:tcW w:w="1260" w:type="dxa"/>
            <w:vAlign w:val="bottom"/>
          </w:tcPr>
          <w:p>
            <w:pPr>
              <w:jc w:val="right"/>
              <w:spacing w:after="0"/>
              <w:rPr>
                <w:sz w:val="20"/>
                <w:szCs w:val="20"/>
                <w:color w:val="auto"/>
              </w:rPr>
            </w:pPr>
            <w:r>
              <w:rPr>
                <w:rFonts w:ascii="Arial" w:cs="Arial" w:eastAsia="Arial" w:hAnsi="Arial"/>
                <w:sz w:val="18"/>
                <w:szCs w:val="18"/>
                <w:color w:val="auto"/>
              </w:rPr>
              <w:t>1,347,148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(a)</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(696,499)</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 w:lineRule="exact"/>
        <w:rPr>
          <w:rFonts w:ascii="Arial" w:cs="Arial" w:eastAsia="Arial" w:hAnsi="Arial"/>
          <w:sz w:val="18"/>
          <w:szCs w:val="18"/>
          <w:color w:val="auto"/>
        </w:rPr>
      </w:pPr>
    </w:p>
    <w:p>
      <w:pPr>
        <w:ind w:left="600" w:right="380" w:hanging="592"/>
        <w:spacing w:after="0" w:line="261"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84"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In connection with certain PRSUs that vested during the years ended December 31, 2016 and 2015, the Company satisfied its minimum statutory tax withholding requirements in lieu of issuing 64,169 and 32,086 shares of Class A common stock during such respective years. Accordingly, 352,852 and 664,413 shares of Class A common stock held by the Company were delivered during the years ended December 31, 2016 and 2015, respectively.</w:t>
      </w:r>
    </w:p>
    <w:p>
      <w:pPr>
        <w:spacing w:after="0" w:line="14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2016, the total estimated unrecognized compensation expense was approximately $12,588, and the Company expects to amortize such expense over a weighted-average period of approximately 0.7 years subsequent to December 31, 2016.</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9" w:name="page110"/>
    <w:bookmarkEnd w:id="10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2016 and 2015:</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(77,457)</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(73,340)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(96,223)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(4,099)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(82,736)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2016.</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2016, 2015 and 2014: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82,359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0" w:name="page111"/>
    <w:bookmarkEnd w:id="1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2017</w:t>
      </w:r>
    </w:p>
    <w:p>
      <w:pPr>
        <w:spacing w:after="0" w:line="117"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In February 2017, the Company granted approximately $342,000 of deferred incentive compensation awards (including PRSUs valued at the target payout level)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w:t>
      </w:r>
    </w:p>
    <w:p>
      <w:pPr>
        <w:spacing w:after="0" w:line="154"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The RSUs, restricted Class A common stock and LFI granted each provide for one-third vesting on or around March 1, 2019 and the remaining two-thirds vesting on or around March 2, 2020. The PRSUs granted provide for vesting on or around March 2, 2020,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362" w:lineRule="exact"/>
        <w:rPr>
          <w:sz w:val="20"/>
          <w:szCs w:val="20"/>
          <w:color w:val="auto"/>
        </w:rPr>
      </w:pPr>
    </w:p>
    <w:p>
      <w:pPr>
        <w:ind w:left="600" w:hanging="592"/>
        <w:spacing w:after="0"/>
        <w:tabs>
          <w:tab w:leader="none" w:pos="6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8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Medical Plan—</w:t>
      </w:r>
      <w:r>
        <w:rPr>
          <w:rFonts w:ascii="Arial" w:cs="Arial" w:eastAsia="Arial" w:hAnsi="Arial"/>
          <w:sz w:val="18"/>
          <w:szCs w:val="18"/>
          <w:color w:val="auto"/>
        </w:rPr>
        <w:t>The medical plan was previously amended such that effective January 1, 2005 the plan limited post-retirement medical coverage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former and current employees of the Company that were hired prior to January 1, 2005 and attained the age of 55 on or prior to December 31, 2005, and their dependents. Effective December 31, 2016, the Company will cease offering the medical plan.</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In October 2016, the Company paid participants in the medical plan $2,936 in the aggregate to settle in full the Company’s obligations under the medical plan. The settlement of such obligations resulted in the recognition of a gain of $1,788 that is recorded as a reduction to compensation and benefits expense in the consolidated statements of operations for the year ended December 31, 2016.</w:t>
      </w:r>
    </w:p>
    <w:p>
      <w:pPr>
        <w:spacing w:after="0" w:line="181"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does not expect to make a contribution to the U.S. and U.K. pension plans during the year ending December 31, 2017. The Company expects to contribute approximately $10,000 to the other non-U.S. pension plans during the year ending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1" w:name="page112"/>
    <w:bookmarkEnd w:id="1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694,187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764,169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4,750</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135,164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(22,395)</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(31,904)</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(33,253)</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(99,732)</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(40,464)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obligation at end of year</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718,821</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694,187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656,084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672,576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(29,384)</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(32,321)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(3,289)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(111,211)</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(33,345)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646,119</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656,084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Funded (deficit) at end of year</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(38,103)</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the consolidated statements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financial condition at December 31, 2016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2015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(73,524)</w:t>
            </w: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(58,888)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(4,750)</w:t>
            </w: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(38,103)</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AOCI (excluding tax</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benefits of $31,414 and $30,416 at December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31, 2016 and 2015, respectively)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Actuarial net loss (gain)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192,855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165,462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192,885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7"/>
              </w:rPr>
              <w:t>22,161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623,958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632,889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6"/>
              </w:rPr>
              <w:t>646,119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656,084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ind w:left="200"/>
              <w:spacing w:after="0"/>
              <w:rPr>
                <w:sz w:val="20"/>
                <w:szCs w:val="20"/>
                <w:color w:val="auto"/>
              </w:rPr>
            </w:pPr>
            <w:r>
              <w:rPr>
                <w:rFonts w:ascii="Arial" w:cs="Arial" w:eastAsia="Arial" w:hAnsi="Arial"/>
                <w:sz w:val="18"/>
                <w:szCs w:val="18"/>
                <w:color w:val="auto"/>
                <w:w w:val="87"/>
              </w:rPr>
              <w:t>33,868</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32,900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684,953</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661,287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718,821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694,187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7"/>
              </w:rPr>
              <w:t>33,868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684,953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661,287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718,821</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694,187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110</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2" w:name="page113"/>
    <w:bookmarkEnd w:id="1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64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2016,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Pension Plans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Medical Plan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For The Year Ended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(28,301)</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(32,607)</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Settlement gain</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119,287</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Benefits paid</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29,384</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32,321</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28,877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3,289</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$(998), $7,151</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$(7,119) during the years ended</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 2015 and 2014,</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9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51,626</w:t>
            </w:r>
          </w:p>
        </w:tc>
        <w:tc>
          <w:tcPr>
            <w:tcW w:w="60" w:type="dxa"/>
            <w:vAlign w:val="bottom"/>
          </w:tcPr>
          <w:p>
            <w:pPr>
              <w:spacing w:after="0"/>
              <w:rPr>
                <w:sz w:val="19"/>
                <w:szCs w:val="19"/>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to earnings</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620"/>
              <w:spacing w:after="0"/>
              <w:rPr>
                <w:sz w:val="20"/>
                <w:szCs w:val="20"/>
                <w:color w:val="auto"/>
              </w:rPr>
            </w:pPr>
            <w:r>
              <w:rPr>
                <w:rFonts w:ascii="Arial" w:cs="Arial" w:eastAsia="Arial" w:hAnsi="Arial"/>
                <w:sz w:val="18"/>
                <w:szCs w:val="18"/>
                <w:color w:val="auto"/>
              </w:rPr>
              <w:t>to earnings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(3,888)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(4,360)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Currency translation and other</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adjustments</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(20,309)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(11,582)</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(10,485)</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Total recognized in AOCI</w:t>
            </w:r>
          </w:p>
        </w:tc>
        <w:tc>
          <w:tcPr>
            <w:tcW w:w="7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23,396</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amount recognized in total periodic</w:t>
            </w:r>
          </w:p>
        </w:tc>
        <w:tc>
          <w:tcPr>
            <w:tcW w:w="7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cost and AOCI</w:t>
            </w:r>
          </w:p>
        </w:tc>
        <w:tc>
          <w:tcPr>
            <w:tcW w:w="9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25,086</w:t>
            </w:r>
          </w:p>
        </w:tc>
        <w:tc>
          <w:tcPr>
            <w:tcW w:w="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(18,403)</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2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2016 that are expected to be recognized as components of net periodic benefit cost (credit) for the year ending December 31,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Pension</w:t>
            </w:r>
          </w:p>
        </w:tc>
        <w:tc>
          <w:tcPr>
            <w:tcW w:w="2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Plans</w:t>
            </w:r>
          </w:p>
        </w:tc>
        <w:tc>
          <w:tcPr>
            <w:tcW w:w="20" w:type="dxa"/>
            <w:vAlign w:val="bottom"/>
          </w:tcPr>
          <w:p>
            <w:pPr>
              <w:spacing w:after="0"/>
              <w:rPr>
                <w:sz w:val="14"/>
                <w:szCs w:val="14"/>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57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61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3660" w:type="dxa"/>
            <w:vAlign w:val="bottom"/>
          </w:tcPr>
          <w:p>
            <w:pPr>
              <w:spacing w:after="0"/>
              <w:rPr>
                <w:sz w:val="24"/>
                <w:szCs w:val="24"/>
                <w:color w:val="auto"/>
              </w:rPr>
            </w:pPr>
          </w:p>
        </w:tc>
        <w:tc>
          <w:tcPr>
            <w:tcW w:w="5740" w:type="dxa"/>
            <w:vAlign w:val="bottom"/>
          </w:tcPr>
          <w:p>
            <w:pPr>
              <w:jc w:val="right"/>
              <w:ind w:right="3470"/>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3" w:name="page114"/>
    <w:bookmarkEnd w:id="1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are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Pension Plans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Medical Plan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3"/>
                <w:szCs w:val="13"/>
                <w:color w:val="auto"/>
              </w:rPr>
            </w:pPr>
          </w:p>
        </w:tc>
        <w:tc>
          <w:tcPr>
            <w:tcW w:w="8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209"/>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net periodic benefit cost: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5"/>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4.6%</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4.3%</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Healthcare cost trend rates used to determine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net periodic benefit cost: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Initial</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Ultimate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ultimate trend rate achieved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8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4"/>
                <w:szCs w:val="14"/>
                <w:b w:val="1"/>
                <w:bCs w:val="1"/>
                <w:color w:val="auto"/>
                <w:w w:val="98"/>
              </w:rPr>
              <w:t>1% Increase</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1% Decrease</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0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w:t>
            </w:r>
          </w:p>
        </w:tc>
        <w:tc>
          <w:tcPr>
            <w:tcW w:w="22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Obligation</w:t>
            </w:r>
          </w:p>
        </w:tc>
        <w:tc>
          <w:tcPr>
            <w:tcW w:w="298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661</w:t>
            </w:r>
          </w:p>
        </w:tc>
        <w:tc>
          <w:tcPr>
            <w:tcW w:w="9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r>
    </w:tbl>
    <w:p>
      <w:pPr>
        <w:spacing w:after="0" w:line="24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Pension</w:t>
            </w: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Plans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2022-2026</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143,220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4" w:name="page115"/>
    <w:bookmarkEnd w:id="1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2016 and 2015,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3"/>
              <w:spacing w:after="0"/>
              <w:rPr>
                <w:sz w:val="20"/>
                <w:szCs w:val="20"/>
                <w:color w:val="auto"/>
              </w:rPr>
            </w:pPr>
            <w:r>
              <w:rPr>
                <w:rFonts w:ascii="Arial" w:cs="Arial" w:eastAsia="Arial" w:hAnsi="Arial"/>
                <w:sz w:val="14"/>
                <w:szCs w:val="14"/>
                <w:b w:val="1"/>
                <w:bCs w:val="1"/>
                <w:color w:val="auto"/>
                <w:w w:val="90"/>
              </w:rPr>
              <w:t>As of December 31, 2016</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167,981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295,750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4"/>
                <w:szCs w:val="14"/>
                <w:b w:val="1"/>
                <w:bCs w:val="1"/>
                <w:color w:val="auto"/>
                <w:w w:val="90"/>
              </w:rPr>
              <w:t>As of December 31, 2015</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210,897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324,584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332,084</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20" w:hanging="592"/>
        <w:spacing w:after="0" w:line="308"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3 for additional information.</w:t>
      </w:r>
    </w:p>
    <w:p>
      <w:pPr>
        <w:spacing w:after="0" w:line="146"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6"/>
          <w:szCs w:val="16"/>
          <w:color w:val="auto"/>
        </w:rPr>
        <w:t>Included in equity funds are $97,933 and $70,444 as of December 31, 2016 and 2015, respectively, that are invested in funds managed by LAM.</w:t>
      </w:r>
    </w:p>
    <w:p>
      <w:pPr>
        <w:spacing w:after="0" w:line="24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Consistent with the plans’ investment strategies, at December 31, 2016 and 2015, the Company’s U.S. pension plan had 53% and 50%, respectively, of the plans’ assets invested in equity funds in Level 1 and measured at NAV or its equivalent as a practical expedient and 47% and 50%, respectively, invested in Level 1 debt funds. The Company’s non-U.S. pension plans at December 31, 2016 and 2015 had 31% and 37%, respectively, of the plans’ assets invested in equities and equity funds that are primarily Level 1 assets; 62% and 60%, respectively, of the plans’ assets invested in debt and debt funds that are Level 1 assets and measured at NAV or its equivalent as a practical expedient, and 7% and 3%, respectively, of the plans’ assets invested in cash, which is a Level 1 asset, or in alternative investment funds that are primarily measured at NAV.</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5" w:name="page116"/>
    <w:bookmarkEnd w:id="1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78"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$14,454, $12,493 and $11,904 for the years ended December 31, 2016, 2015 and 2014,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93" w:lineRule="exact"/>
        <w:rPr>
          <w:sz w:val="20"/>
          <w:szCs w:val="20"/>
          <w:color w:val="auto"/>
        </w:rPr>
      </w:pPr>
    </w:p>
    <w:p>
      <w:pPr>
        <w:jc w:val="both"/>
        <w:ind w:right="520" w:firstLine="598"/>
        <w:spacing w:after="0" w:line="286" w:lineRule="auto"/>
        <w:rPr>
          <w:sz w:val="20"/>
          <w:szCs w:val="20"/>
          <w:color w:val="auto"/>
        </w:rPr>
      </w:pPr>
      <w:r>
        <w:rPr>
          <w:rFonts w:ascii="Arial" w:cs="Arial" w:eastAsia="Arial" w:hAnsi="Arial"/>
          <w:sz w:val="17"/>
          <w:szCs w:val="17"/>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2016, 2015 and 2014,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4"/>
                <w:szCs w:val="14"/>
                <w:b w:val="1"/>
                <w:bCs w:val="1"/>
                <w:color w:val="auto"/>
                <w:w w:val="98"/>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(2,066)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3,917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75,718</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State and local (primarily UBT)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4,811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54,898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84,446</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114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(3,960)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1,186</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3"/>
          </w:tcPr>
          <w:p>
            <w:pPr>
              <w:ind w:left="1140"/>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49,673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81,548</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77,815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Rate benefit for U.S. Partnership operations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taxes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State and local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ind w:left="1140"/>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19 regarding “operating income (loss)” by geographic region.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117" w:name="page118"/>
    <w:bookmarkEnd w:id="1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18,755</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19,353</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99,714</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44,060</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138,090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170,453</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(55,194)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(89,100)</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82,896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28,371</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41,591</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basis adjustments recorded as of December 31, 2016 and 2015 are primarily the result of additional basis from acquisitions of interests.</w:t>
      </w:r>
    </w:p>
    <w:p>
      <w:pPr>
        <w:spacing w:after="0" w:line="183" w:lineRule="exact"/>
        <w:rPr>
          <w:sz w:val="20"/>
          <w:szCs w:val="20"/>
          <w:color w:val="auto"/>
        </w:rPr>
      </w:pPr>
    </w:p>
    <w:p>
      <w:pPr>
        <w:ind w:right="40" w:firstLine="560"/>
        <w:spacing w:after="0" w:line="273" w:lineRule="auto"/>
        <w:rPr>
          <w:sz w:val="20"/>
          <w:szCs w:val="20"/>
          <w:color w:val="auto"/>
        </w:rPr>
      </w:pPr>
      <w:r>
        <w:rPr>
          <w:rFonts w:ascii="Arial" w:cs="Arial" w:eastAsia="Arial" w:hAnsi="Arial"/>
          <w:sz w:val="17"/>
          <w:szCs w:val="17"/>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our deferred tax assets of $55,194 and $89,100 as of December 31, 2016 and December 31, 2015, respectively.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2016, 2015 and 2014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116,830</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Credited to provision for income taxes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(30,185)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(12,016)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(14,165)</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101,531</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1150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80" w:right="3120" w:hanging="5572"/>
        <w:spacing w:after="0" w:line="528" w:lineRule="auto"/>
        <w:tabs>
          <w:tab w:leader="none" w:pos="4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2016 includes acquisition-related deferred tax assets offset by a valuation allowance in the amount of $2,218.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$31,870 were recorded at December 31, 2016 primarily relating to:</w:t>
      </w:r>
    </w:p>
    <w:p>
      <w:pPr>
        <w:spacing w:after="0" w:line="62" w:lineRule="exact"/>
        <w:rPr>
          <w:sz w:val="20"/>
          <w:szCs w:val="20"/>
          <w:color w:val="auto"/>
        </w:rPr>
      </w:pPr>
    </w:p>
    <w:p>
      <w:pPr>
        <w:ind w:left="1200" w:hanging="598"/>
        <w:spacing w:after="0"/>
        <w:tabs>
          <w:tab w:leader="none" w:pos="12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indefinite-lived carryforwards (subject to various limitations) of approximately $16,546, in Australia, Hong Kong, Singapore and Spain;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carryforwards of approximately $4,852 in the U.S., which begin expiring in 2022.</w:t>
      </w:r>
    </w:p>
    <w:p>
      <w:pPr>
        <w:spacing w:after="0" w:line="225"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2016 and 2015 of $17,035 and $21,484, respectively, are not included in the deferred tax assets and liabilities table above. The impact of such excess tax deductions will be included in deferred tax assets upon adoption of new accounting guidance (see Note 3).</w:t>
      </w:r>
    </w:p>
    <w:p>
      <w:pPr>
        <w:spacing w:after="0" w:line="171"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2012.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to the ending amount of gross unrecognized tax benefits (excluding interest and penalties)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$13,083, $13,004 and $11,814, 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46,822</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39,173</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1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(7,192)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17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$15,392, $13,083 and $13,004,</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47,901</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46,822</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42,904</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117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9" w:name="page120"/>
    <w:bookmarkEnd w:id="1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$15,392,</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$13,083 and $13,004, respectively)</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44,327</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40,353</w:t>
            </w:r>
          </w:p>
        </w:tc>
        <w:tc>
          <w:tcPr>
            <w:tcW w:w="100" w:type="dxa"/>
            <w:vAlign w:val="bottom"/>
            <w:shd w:val="clear" w:color="auto" w:fill="CFF0FC"/>
          </w:tcPr>
          <w:p>
            <w:pPr>
              <w:spacing w:after="0"/>
              <w:rPr>
                <w:sz w:val="20"/>
                <w:szCs w:val="20"/>
                <w:color w:val="auto"/>
              </w:rPr>
            </w:pP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rPr>
              <w:t>Unrecognized tax benefits that, if recognized,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would not affect the effective tax rate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9,946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15,578</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15,555</w:t>
            </w:r>
          </w:p>
        </w:tc>
        <w:tc>
          <w:tcPr>
            <w:tcW w:w="100" w:type="dxa"/>
            <w:vAlign w:val="bottom"/>
          </w:tcPr>
          <w:p>
            <w:pPr>
              <w:spacing w:after="0"/>
              <w:rPr>
                <w:sz w:val="20"/>
                <w:szCs w:val="20"/>
                <w:color w:val="auto"/>
              </w:rPr>
            </w:pP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$3,143, $3,865 and</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$2,791, respectively)</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42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$17,000 of unrecognized tax benefits, including interest and penalties recorded at December 31, 2016, may be recognized within 12 months as a result of the lapse of the statute of limitations in various tax jurisdictions.</w:t>
      </w:r>
    </w:p>
    <w:p>
      <w:pPr>
        <w:spacing w:after="0" w:line="313"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171" w:lineRule="exact"/>
        <w:rPr>
          <w:sz w:val="20"/>
          <w:szCs w:val="20"/>
          <w:color w:val="auto"/>
        </w:rPr>
      </w:pPr>
    </w:p>
    <w:p>
      <w:pPr>
        <w:ind w:right="20" w:firstLine="560"/>
        <w:spacing w:after="0" w:line="276" w:lineRule="auto"/>
        <w:rPr>
          <w:sz w:val="20"/>
          <w:szCs w:val="20"/>
          <w:color w:val="auto"/>
        </w:rPr>
      </w:pPr>
      <w:r>
        <w:rPr>
          <w:rFonts w:ascii="Arial" w:cs="Arial" w:eastAsia="Arial" w:hAnsi="Arial"/>
          <w:sz w:val="17"/>
          <w:szCs w:val="17"/>
          <w:color w:val="auto"/>
        </w:rPr>
        <w:t>Lazard Group’s receivables from subsidiaries of Lazard Ltd at December 31, 2016 and 2015 included interest-bearing loans of $20,365 and $106,567, respectively, including accrued interest thereon. In 2014, $91,028 of interest-bearing loans were repaid in a non-cash transaction through a transfer of Class A common stock from a Lazard Ltd subsidiary to Lazard Group. The effect of this transaction is excluded from financing activities on the consolidated statement of cash flows for the year ended December 31, 2014. Interest income relating to interest-bearing loans with subsidiaries of Lazard Ltd amounted to $250, $373 and $5,816 for the years ended December 31, 2016, 2015 and 2014, respectively.</w:t>
      </w:r>
    </w:p>
    <w:p>
      <w:pPr>
        <w:spacing w:after="0" w:line="119" w:lineRule="exact"/>
        <w:rPr>
          <w:sz w:val="20"/>
          <w:szCs w:val="20"/>
          <w:color w:val="auto"/>
        </w:rPr>
      </w:pPr>
    </w:p>
    <w:p>
      <w:pPr>
        <w:ind w:right="100" w:firstLine="560"/>
        <w:spacing w:after="0" w:line="297" w:lineRule="auto"/>
        <w:rPr>
          <w:sz w:val="20"/>
          <w:szCs w:val="20"/>
          <w:color w:val="auto"/>
        </w:rPr>
      </w:pPr>
      <w:r>
        <w:rPr>
          <w:rFonts w:ascii="Arial" w:cs="Arial" w:eastAsia="Arial" w:hAnsi="Arial"/>
          <w:sz w:val="16"/>
          <w:szCs w:val="16"/>
          <w:color w:val="auto"/>
        </w:rPr>
        <w:t>As of December 2016 and 2015, Lazard Group’s payables to subsidiaries of Lazard Ltd included interest-bearing loans, including interest thereon, of approximately $60,500 and $102,000, respectively. In the fourth quarter of 2015, Lazard Group received a capital contribution of $30,000 from a subsidiary of Lazard Ltd in a non-cash transaction through the reduction of an interest-bearing loan. The effect of this transaction is excluded from financing activities on the consolidated statement of cash flows for the year ended December 31, 2015. Interest expense relating to interest-bearing loans with subsidiaries of Lazard Ltd amounted to $3,503, $3,917 and $5,657 for the years ended December 31, 2016, 2015 and 2014, respectively.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$516,667, 534,752 and $532,415 for the years ended December 31, 2016, 2015 and 2014, respectively, and are included in “asset management fees” on the consolidated statements of operations. Of such amounts, $49,944 and $42,002 remained as receivables at December 31, 2016 and 2015, respectively, and are included in “fees receivable” on the consolidated statements of financial condition.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 subsidiaries of Lazard Ltd and other related parties.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0" w:name="page121"/>
    <w:bookmarkEnd w:id="1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40" w:firstLine="59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2016, LFNY’s regulatory net capital was $182,571, which exceeded the minimum requirement by $176,352. LFNY’s aggregate indebtedness to net capital ratio was 0.51:1 as of December 31, 2016.</w:t>
      </w:r>
    </w:p>
    <w:p>
      <w:pPr>
        <w:spacing w:after="0" w:line="198"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2016, the aggregate regulatory net capital of the U.K. Subsidiaries was $125,426, which exceeded the minimum requirement by $109,581.</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December 31, 2016, the consolidated regulatory net capital of CFLF was $131,227, which exceeded the minimum requirement set for regulatory capital levels by $94,318.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2016, the regulatory net capital of the combined European regulated group was $159,102, which exceeded the minimum requirement set for regulatory capital levels by $84,949.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2016, for those subsidiaries with regulatory capital requirements, their aggregate net capital was $123,351, which exceeded the minimum required capital by $98,902.</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2016, each of these subsidiaries individually was in compliance with its regulatory capital requirements.</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600" w:hanging="592"/>
        <w:spacing w:after="0"/>
        <w:tabs>
          <w:tab w:leader="none" w:pos="60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2016, 2015 and 2014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60" w:hanging="598"/>
        <w:spacing w:after="0" w:line="308" w:lineRule="auto"/>
        <w:tabs>
          <w:tab w:leader="none" w:pos="12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the years ended December 31, 2016, 2015 and 2014, no individual client constituted more than 10% of the net revenue of any of the Company’s business segments.</w:t>
      </w:r>
    </w:p>
    <w:p>
      <w:pPr>
        <w:spacing w:after="0" w:line="170"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1,279,628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1,206,734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1,011,495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1,005,837</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977,681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289,549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883,384</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763,374</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1,051,316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1,111,105</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1,134,595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374,307</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645,653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640,034</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76,796</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(117,253)</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 (b)</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1,986,947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1,985,646</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1,789,813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2,329,871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2,350,276</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2,300,736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1,819,431</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1,759,761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530,845</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 (b)</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3,515,984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3,389,054</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3,163,773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80" w:right="3860" w:hanging="5572"/>
        <w:spacing w:after="0" w:line="528" w:lineRule="auto"/>
        <w:tabs>
          <w:tab w:leader="none" w:pos="6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27,027</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right="40" w:hanging="592"/>
        <w:spacing w:after="0" w:line="277"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December 31, 2015 and 2014, reflects the retrospective application of new guidance adopted by the Company on classification of debt issuance costs. See Note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gridSpan w:val="8"/>
          </w:tcPr>
          <w:p>
            <w:pPr>
              <w:ind w:left="42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1,369,939</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1,307,245</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1,308,509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311,028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350,841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151,892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2,329,871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2,350,276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2,300,736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580"/>
              <w:spacing w:after="0"/>
              <w:rPr>
                <w:sz w:val="20"/>
                <w:szCs w:val="20"/>
                <w:color w:val="auto"/>
              </w:rPr>
            </w:pPr>
            <w:r>
              <w:rPr>
                <w:rFonts w:ascii="Arial" w:cs="Arial" w:eastAsia="Arial" w:hAnsi="Arial"/>
                <w:sz w:val="18"/>
                <w:szCs w:val="18"/>
                <w:color w:val="auto"/>
              </w:rPr>
              <w:t>Operating Income (Loss):</w:t>
            </w: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2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331,616</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288,121</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521,993</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530,845</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540,975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United States (a)</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1,950,507</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1,711,971</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1,672,419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899,738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992,541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Western Europe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125,921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Rest of World</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(a)</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3,389,054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3,163,773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right="200" w:hanging="432"/>
        <w:spacing w:after="0" w:line="277" w:lineRule="auto"/>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2015 and 2014, reflects the retrospective application of new guidance adopted by the Company on classification of debt issuance costs. See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2016 and 2015.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2016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497,604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533,711</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2,329,871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399,557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420,377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1,807,878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98,047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113,334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160,979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86,312</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97,612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127,980</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160,416</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attributable to Lazard Group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127,897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2015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First (a)</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576,853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607,951</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572,852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2,350,276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446,815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422,884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453,490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1,819,431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80,611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161,136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149,968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139,130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69,153</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146,672</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122,981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110,491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 net income (loss) attributable to</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(2,445)</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attributable to Lazard Group</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62,460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145,629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112,936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See Note 11 for information regarding the debt refinancing.</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59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2016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ind w:right="40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4" w:name="page125"/>
    <w:bookmarkEnd w:id="124"/>
    <w:p>
      <w:pPr>
        <w:ind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79" w:right="439" w:bottom="1440" w:gutter="0" w:footer="0" w:header="0"/>
        </w:sectPr>
      </w:pPr>
    </w:p>
    <w:bookmarkStart w:id="125" w:name="page126"/>
    <w:bookmarkEnd w:id="125"/>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00" w:lineRule="exact"/>
        <w:rPr>
          <w:sz w:val="20"/>
          <w:szCs w:val="20"/>
          <w:color w:val="auto"/>
        </w:rPr>
      </w:pPr>
    </w:p>
    <w:p>
      <w:pPr>
        <w:spacing w:after="0" w:line="22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Registrant meets the conditions set forth in General Instruction (I)(l)(a) and (b) of Form 10-K and has omitted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For the fiscal years ended December 31, 2016 and 2015, fees for services provided by Deloitte &amp; Touche LLP, the member firms of Deloitte Touche Tohmatsu and their respective affiliates were as follows (in thousands of dollars):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3"/>
              </w:rPr>
              <w:t>Fees</w:t>
            </w:r>
          </w:p>
        </w:tc>
        <w:tc>
          <w:tcPr>
            <w:tcW w:w="716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for the audit of the Company's annual financial statements, the audit of the</w:t>
            </w: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effectiveness of the Company's internal controls over financial reporting and reviews</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of the financial statements included in the Company's quarterly reports Form 10-Q,</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including services in connection with statutory and regulatory filings or</w:t>
            </w: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engagements</w:t>
            </w:r>
          </w:p>
        </w:tc>
        <w:tc>
          <w:tcPr>
            <w:tcW w:w="166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8"/>
              </w:rPr>
              <w:t>7,553</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7,494</w:t>
            </w:r>
          </w:p>
        </w:tc>
      </w:tr>
      <w:tr>
        <w:trPr>
          <w:trHeight w:val="215"/>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including fees for audits of employee benefit plans, computer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and control-related attest services, agreed up-on procedures, regulatory and</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compliance reviews, fund audits and other accounting research services</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1,262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1,141</w:t>
            </w:r>
          </w:p>
        </w:tc>
      </w:tr>
      <w:tr>
        <w:trPr>
          <w:trHeight w:val="230"/>
        </w:trPr>
        <w:tc>
          <w:tcPr>
            <w:tcW w:w="20" w:type="dxa"/>
            <w:vAlign w:val="bottom"/>
          </w:tcPr>
          <w:p>
            <w:pPr>
              <w:spacing w:after="0"/>
              <w:rPr>
                <w:sz w:val="19"/>
                <w:szCs w:val="19"/>
                <w:color w:val="auto"/>
              </w:rPr>
            </w:pPr>
          </w:p>
        </w:tc>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advisory and compliance services not related to the audit</w:t>
            </w:r>
          </w:p>
        </w:tc>
        <w:tc>
          <w:tcPr>
            <w:tcW w:w="166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765</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647</w:t>
            </w:r>
          </w:p>
        </w:tc>
      </w:tr>
      <w:tr>
        <w:trPr>
          <w:trHeight w:val="234"/>
        </w:trPr>
        <w:tc>
          <w:tcPr>
            <w:tcW w:w="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All Other Fees(1)</w:t>
            </w:r>
          </w:p>
        </w:tc>
        <w:tc>
          <w:tcPr>
            <w:tcW w:w="16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150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7" w:lineRule="exact"/>
        <w:rPr>
          <w:sz w:val="20"/>
          <w:szCs w:val="20"/>
          <w:color w:val="auto"/>
        </w:rPr>
      </w:pPr>
    </w:p>
    <w:p>
      <w:pPr>
        <w:jc w:val="both"/>
        <w:ind w:left="340" w:right="346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fees for various services in 2016 and certain consulting services and cyber security awareness training that were provided to the Company during 2015 by affiliates of Deloitte &amp; Touche LLP that were unrelated to the audit, audit-related and tax services described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6" w:name="page127"/>
    <w:bookmarkEnd w:id="126"/>
    <w:p>
      <w:pPr>
        <w:ind w:firstLine="563"/>
        <w:spacing w:after="0" w:line="269" w:lineRule="auto"/>
        <w:rPr>
          <w:sz w:val="20"/>
          <w:szCs w:val="20"/>
          <w:color w:val="auto"/>
        </w:rPr>
      </w:pPr>
      <w:r>
        <w:rPr>
          <w:rFonts w:ascii="Arial" w:cs="Arial" w:eastAsia="Arial" w:hAnsi="Arial"/>
          <w:sz w:val="17"/>
          <w:szCs w:val="17"/>
          <w:color w:val="auto"/>
        </w:rPr>
        <w:t>The Audit Committee of the Board of Directors of Lazard Ltd (the “Audit Committee”) has adopted a policy regarding pre-approval of audit and non-audit services provided by Deloitte &amp; Touche LLP to the Company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Audit Committee, may grant approval for any such engagement if approval is required prior to the next scheduled meeting of the Audit Committee. All of the fees paid to Deloitte &amp; Touche LLP in 2016 were pre-approved in accordance with these procedures, and there were no services for which the de minimus exception permitted in certain circumstances under SEC rules was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25" w:right="27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58"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Ratio of Earnings to Fixed Charges has been included as Exhibit 12.1. All other schedules have been omitted because they are not applicable, not required or the information required is included in the Company’s consolidated financial statements or notes thereto.</w:t>
      </w:r>
    </w:p>
    <w:p>
      <w:pPr>
        <w:spacing w:after="0" w:line="74"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10620" w:type="dxa"/>
            <w:vAlign w:val="bottom"/>
          </w:tcPr>
          <w:p>
            <w:pPr>
              <w:ind w:left="520"/>
              <w:spacing w:after="0"/>
              <w:rPr>
                <w:sz w:val="20"/>
                <w:szCs w:val="20"/>
                <w:color w:val="auto"/>
              </w:rPr>
            </w:pPr>
            <w:r>
              <w:rPr>
                <w:rFonts w:ascii="Arial" w:cs="Arial" w:eastAsia="Arial" w:hAnsi="Arial"/>
                <w:sz w:val="18"/>
                <w:szCs w:val="18"/>
                <w:color w:val="auto"/>
                <w:w w:val="95"/>
              </w:rPr>
              <w:t>Certificate of Formation of the Registrant (incorporated by reference to Exhibit 3.1 to the Registrant’s Registration Statement (File No.</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333-126751)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620" w:type="dxa"/>
            <w:vAlign w:val="bottom"/>
          </w:tcPr>
          <w:p>
            <w:pPr>
              <w:ind w:left="520"/>
              <w:spacing w:after="0"/>
              <w:rPr>
                <w:sz w:val="20"/>
                <w:szCs w:val="20"/>
                <w:color w:val="auto"/>
              </w:rPr>
            </w:pPr>
            <w:r>
              <w:rPr>
                <w:rFonts w:ascii="Arial" w:cs="Arial" w:eastAsia="Arial" w:hAnsi="Arial"/>
                <w:sz w:val="18"/>
                <w:szCs w:val="18"/>
                <w:color w:val="auto"/>
                <w:w w:val="92"/>
              </w:rPr>
              <w:t>Certificate of Amendment of Certificate of Formation of the Registrant, changing name to Lazard Group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10620" w:type="dxa"/>
            <w:vAlign w:val="bottom"/>
          </w:tcPr>
          <w:p>
            <w:pPr>
              <w:ind w:left="520"/>
              <w:spacing w:after="0"/>
              <w:rPr>
                <w:sz w:val="20"/>
                <w:szCs w:val="20"/>
                <w:color w:val="auto"/>
              </w:rPr>
            </w:pPr>
            <w:r>
              <w:rPr>
                <w:rFonts w:ascii="Arial" w:cs="Arial" w:eastAsia="Arial" w:hAnsi="Arial"/>
                <w:sz w:val="18"/>
                <w:szCs w:val="18"/>
                <w:color w:val="auto"/>
                <w:w w:val="92"/>
              </w:rPr>
              <w:t>Amended and Restated Operating Agreement of the Registrant, dated as of October 26, 2015 (incorporated by reference to Exhibit 3.3 to</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the Registrant’s Quarterly Report (File No. 333-126751) on Form l0-Q filed on October 28, 2015).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3.4</w:t>
            </w:r>
          </w:p>
        </w:tc>
        <w:tc>
          <w:tcPr>
            <w:tcW w:w="10620" w:type="dxa"/>
            <w:vAlign w:val="bottom"/>
          </w:tcPr>
          <w:p>
            <w:pPr>
              <w:ind w:left="520"/>
              <w:spacing w:after="0"/>
              <w:rPr>
                <w:sz w:val="20"/>
                <w:szCs w:val="20"/>
                <w:color w:val="auto"/>
              </w:rPr>
            </w:pPr>
            <w:r>
              <w:rPr>
                <w:rFonts w:ascii="Arial" w:cs="Arial" w:eastAsia="Arial" w:hAnsi="Arial"/>
                <w:sz w:val="18"/>
                <w:szCs w:val="18"/>
                <w:color w:val="auto"/>
                <w:w w:val="96"/>
              </w:rPr>
              <w:t>Amendment No.1 to Amended and Restated Operating Agreement of the Registrant, dated as of October 27, 2016(incorporated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reference to Exhibit 3.4 to the Registrant’s Quarterly Report on Form 10-Q filed on October 28, 2016).</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0620" w:type="dxa"/>
            <w:vAlign w:val="bottom"/>
          </w:tcPr>
          <w:p>
            <w:pPr>
              <w:ind w:left="520"/>
              <w:spacing w:after="0"/>
              <w:rPr>
                <w:sz w:val="20"/>
                <w:szCs w:val="20"/>
                <w:color w:val="auto"/>
              </w:rPr>
            </w:pPr>
            <w:r>
              <w:rPr>
                <w:rFonts w:ascii="Arial" w:cs="Arial" w:eastAsia="Arial" w:hAnsi="Arial"/>
                <w:sz w:val="18"/>
                <w:szCs w:val="18"/>
                <w:color w:val="auto"/>
                <w:w w:val="92"/>
              </w:rPr>
              <w:t>Indenture, dated as of May 10, 2005, by and between the Registrant and The Bank of New York, as Trustee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10620" w:type="dxa"/>
            <w:vAlign w:val="bottom"/>
          </w:tcPr>
          <w:p>
            <w:pPr>
              <w:ind w:left="520"/>
              <w:spacing w:after="0"/>
              <w:rPr>
                <w:sz w:val="20"/>
                <w:szCs w:val="20"/>
                <w:color w:val="auto"/>
              </w:rPr>
            </w:pPr>
            <w:r>
              <w:rPr>
                <w:rFonts w:ascii="Arial" w:cs="Arial" w:eastAsia="Arial" w:hAnsi="Arial"/>
                <w:sz w:val="18"/>
                <w:szCs w:val="18"/>
                <w:color w:val="auto"/>
                <w:w w:val="91"/>
              </w:rPr>
              <w:t>Fourth Supplemental Indenture, dated as of June 21, 2007, between the Registrant and The Bank of New York, as trustee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4.3</w:t>
            </w:r>
          </w:p>
        </w:tc>
        <w:tc>
          <w:tcPr>
            <w:tcW w:w="10620" w:type="dxa"/>
            <w:vAlign w:val="bottom"/>
          </w:tcPr>
          <w:p>
            <w:pPr>
              <w:ind w:left="520"/>
              <w:spacing w:after="0"/>
              <w:rPr>
                <w:sz w:val="20"/>
                <w:szCs w:val="20"/>
                <w:color w:val="auto"/>
              </w:rPr>
            </w:pPr>
            <w:r>
              <w:rPr>
                <w:rFonts w:ascii="Arial" w:cs="Arial" w:eastAsia="Arial" w:hAnsi="Arial"/>
                <w:sz w:val="18"/>
                <w:szCs w:val="18"/>
                <w:color w:val="auto"/>
                <w:w w:val="95"/>
              </w:rPr>
              <w:t>Fifth Supplemental Indenture, dated as of November 14, 2013, between the Registrant and The Bank of New York Mellon, as trustee</w:t>
            </w:r>
          </w:p>
        </w:tc>
      </w:tr>
      <w:tr>
        <w:trPr>
          <w:trHeight w:val="216"/>
        </w:trPr>
        <w:tc>
          <w:tcPr>
            <w:tcW w:w="820" w:type="dxa"/>
            <w:vAlign w:val="bottom"/>
          </w:tcPr>
          <w:p>
            <w:pPr>
              <w:spacing w:after="0"/>
              <w:rPr>
                <w:sz w:val="18"/>
                <w:szCs w:val="18"/>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w w:val="95"/>
              </w:rPr>
              <w:t>(incorporated by reference to Exhibit 4.1 to the Registrant’s Current Report on Form 8-K (File No 333-126751) filed on November 14,</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2013).</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4.4</w:t>
            </w:r>
          </w:p>
        </w:tc>
        <w:tc>
          <w:tcPr>
            <w:tcW w:w="10620" w:type="dxa"/>
            <w:vAlign w:val="bottom"/>
          </w:tcPr>
          <w:p>
            <w:pPr>
              <w:ind w:left="520"/>
              <w:spacing w:after="0"/>
              <w:rPr>
                <w:sz w:val="20"/>
                <w:szCs w:val="20"/>
                <w:color w:val="auto"/>
              </w:rPr>
            </w:pPr>
            <w:r>
              <w:rPr>
                <w:rFonts w:ascii="Arial" w:cs="Arial" w:eastAsia="Arial" w:hAnsi="Arial"/>
                <w:sz w:val="18"/>
                <w:szCs w:val="18"/>
                <w:color w:val="auto"/>
                <w:w w:val="96"/>
              </w:rPr>
              <w:t>Sixth Supplemental Indenture, dated as of February 13, 2015, between the Registrant and The Bank of New York Mellon, as trustee</w:t>
            </w:r>
          </w:p>
        </w:tc>
      </w:tr>
      <w:tr>
        <w:trPr>
          <w:trHeight w:val="216"/>
        </w:trPr>
        <w:tc>
          <w:tcPr>
            <w:tcW w:w="820" w:type="dxa"/>
            <w:vAlign w:val="bottom"/>
          </w:tcPr>
          <w:p>
            <w:pPr>
              <w:spacing w:after="0"/>
              <w:rPr>
                <w:sz w:val="18"/>
                <w:szCs w:val="18"/>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w w:val="96"/>
              </w:rPr>
              <w:t>(incorporated by reference to Exhibit 4.1 of the Registrant’s Current Report on Form 8-K (File No. 333-126751) filed on February 13,</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38"/>
        </w:trPr>
        <w:tc>
          <w:tcPr>
            <w:tcW w:w="820" w:type="dxa"/>
            <w:vAlign w:val="bottom"/>
          </w:tcPr>
          <w:p>
            <w:pPr>
              <w:jc w:val="right"/>
              <w:ind w:right="410"/>
              <w:spacing w:after="0"/>
              <w:rPr>
                <w:sz w:val="20"/>
                <w:szCs w:val="20"/>
                <w:color w:val="auto"/>
              </w:rPr>
            </w:pPr>
            <w:r>
              <w:rPr>
                <w:rFonts w:ascii="Arial" w:cs="Arial" w:eastAsia="Arial" w:hAnsi="Arial"/>
                <w:sz w:val="18"/>
                <w:szCs w:val="18"/>
                <w:color w:val="auto"/>
              </w:rPr>
              <w:t>4.5</w:t>
            </w:r>
          </w:p>
        </w:tc>
        <w:tc>
          <w:tcPr>
            <w:tcW w:w="10620" w:type="dxa"/>
            <w:vAlign w:val="bottom"/>
          </w:tcPr>
          <w:p>
            <w:pPr>
              <w:ind w:left="520"/>
              <w:spacing w:after="0"/>
              <w:rPr>
                <w:sz w:val="20"/>
                <w:szCs w:val="20"/>
                <w:color w:val="auto"/>
              </w:rPr>
            </w:pPr>
            <w:r>
              <w:rPr>
                <w:rFonts w:ascii="Arial" w:cs="Arial" w:eastAsia="Arial" w:hAnsi="Arial"/>
                <w:sz w:val="18"/>
                <w:szCs w:val="18"/>
                <w:color w:val="auto"/>
              </w:rPr>
              <w:t>Form of Senior Note (included in Exhibits 4.2, 4.3 and 4.4).</w:t>
            </w:r>
          </w:p>
        </w:tc>
      </w:tr>
      <w:tr>
        <w:trPr>
          <w:trHeight w:val="323"/>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520"/>
              <w:spacing w:after="0"/>
              <w:rPr>
                <w:sz w:val="20"/>
                <w:szCs w:val="20"/>
                <w:color w:val="auto"/>
              </w:rPr>
            </w:pPr>
            <w:r>
              <w:rPr>
                <w:rFonts w:ascii="Arial" w:cs="Arial" w:eastAsia="Arial" w:hAnsi="Arial"/>
                <w:sz w:val="18"/>
                <w:szCs w:val="18"/>
                <w:color w:val="auto"/>
                <w:w w:val="96"/>
              </w:rPr>
              <w:t>Lease, dated as of January 27, 1994, by and between Rockefeller Center Properties and Lazard Frères &amp; Co. LLC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w w:val="96"/>
              </w:rPr>
              <w:t>reference to Exhibit 10.19 to Lazard Ltd’s Registration Statement (File No. 333-121407) on Form S-1/A filed on February 11, 2005).</w:t>
            </w:r>
          </w:p>
        </w:tc>
      </w:tr>
      <w:tr>
        <w:trPr>
          <w:trHeight w:val="554"/>
        </w:trPr>
        <w:tc>
          <w:tcPr>
            <w:tcW w:w="820" w:type="dxa"/>
            <w:vAlign w:val="bottom"/>
          </w:tcPr>
          <w:p>
            <w:pPr>
              <w:spacing w:after="0"/>
              <w:rPr>
                <w:sz w:val="24"/>
                <w:szCs w:val="24"/>
                <w:color w:val="auto"/>
              </w:rPr>
            </w:pPr>
          </w:p>
        </w:tc>
        <w:tc>
          <w:tcPr>
            <w:tcW w:w="10620" w:type="dxa"/>
            <w:vAlign w:val="bottom"/>
          </w:tcPr>
          <w:p>
            <w:pPr>
              <w:ind w:left="4760"/>
              <w:spacing w:after="0"/>
              <w:rPr>
                <w:sz w:val="20"/>
                <w:szCs w:val="20"/>
                <w:color w:val="auto"/>
              </w:rPr>
            </w:pPr>
            <w:r>
              <w:rPr>
                <w:rFonts w:ascii="Arial" w:cs="Arial" w:eastAsia="Arial" w:hAnsi="Arial"/>
                <w:sz w:val="18"/>
                <w:szCs w:val="18"/>
                <w:color w:val="auto"/>
              </w:rPr>
              <w:t>126</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Amendment dated as of February 16, 2011, by and among RCPI Landmark Properties, L.L.C. (as the successor in interest to Rockefeller</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Center Properties), RCPI 30 Rock 22234849, L.L.C. and Lazard Group LLC (as the successor in interest to Lazard Frères &amp; Co. LLC), to</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5"/>
              </w:rPr>
              <w:t>the Lease dated as of January 27, 1994, by and among Rockefeller Center Properties and Lazard Frères &amp; Co. LLC (incorporated by</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reference to Exhibit 10.15 to the Registrant’s Quarterly Report (File No. 333-126751) on Form 10-Q filed on April 29, 2011).</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420"/>
              <w:spacing w:after="0"/>
              <w:rPr>
                <w:sz w:val="20"/>
                <w:szCs w:val="20"/>
                <w:color w:val="auto"/>
              </w:rPr>
            </w:pPr>
            <w:r>
              <w:rPr>
                <w:rFonts w:ascii="Arial" w:cs="Arial" w:eastAsia="Arial" w:hAnsi="Arial"/>
                <w:sz w:val="18"/>
                <w:szCs w:val="18"/>
                <w:color w:val="auto"/>
                <w:w w:val="96"/>
              </w:rPr>
              <w:t>Occupational Lease, dated as of August 9, 2002, by and among Burford (Stratton) Nominee 1 Limited, Burford (Stratton) Nominee 2</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5"/>
              </w:rPr>
              <w:t>Limited, Burford (Stratton) Limited, Lazard &amp; Co., Limited and Lazard LLC (incorporated by reference to Exhibit 10.21 to Lazard Ltd’s</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Registration Statement (File No. 333-121407) on Form S-1/A filed on February 11, 2005).</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121407) on Form S-1/A filed on May 2, 2005).</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2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Lazard Ltd’s 2016 French Sub-plan (incorporated by reference to Annex B to Lazard Ltd’s Definitive Proxy Statement on Schedule 14A</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(File No. 001-32492) filed on March 10,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Amended and Restated Agreement relating to Retention and Noncompetition and Other Covenants, dated as of March 9, 2016, by and</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among the Registrant, Lazard Ltd and Kenneth M. Jacobs (incorporated by reference to Exhibit 10.7 to the Registrant’s Quarterly Report</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(File No. 333-126751) on Form 10-Q filed on April 27,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Amended and Restated Agreement relating to Retention and Noncompetition and Other Covenants, dated as of March 9, 2016, by and</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among the Registrant, Lazard Ltd and Ashish Bhutani (incorporated by reference to Exhibit 10.8 to the Registrant’s Quarterly Report (File</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No. 333-126751) on Form 10-Q filed on April 27,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Amended and Restated Agreement relating to Retention and Noncompetition and Other Covenants, dated as of March 9, 2016, by and</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4"/>
              </w:rPr>
              <w:t>among the Registrant, Lazard Ltd and Matthieu Bucaille (incorporated by reference to Exhibit 10.9 to the Registrant’s Quarterly Report</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(File No 333-126751) on Form 10-Q filed on April 27,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Amended and Restated Agreement relating to Retention and Noncompetition and Other Covenants, dated as of March 9, 2016, by and</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2"/>
              </w:rPr>
              <w:t>among the Registrant, Lazard Ltd and Scott D. Hoffman (incorporated by reference to Exhibit 10.10 to Registrant’s Quarterly Report (File</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No. 333-126751) on Form 10-Q filed on April 27,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20"/>
              <w:spacing w:after="0"/>
              <w:rPr>
                <w:sz w:val="20"/>
                <w:szCs w:val="20"/>
                <w:color w:val="auto"/>
              </w:rPr>
            </w:pPr>
            <w:r>
              <w:rPr>
                <w:rFonts w:ascii="Arial" w:cs="Arial" w:eastAsia="Arial" w:hAnsi="Arial"/>
                <w:sz w:val="18"/>
                <w:szCs w:val="18"/>
                <w:color w:val="auto"/>
                <w:w w:val="93"/>
              </w:rPr>
              <w:t>Amended and Restated Agreement relating to Retention and Noncompetition and Other Covenants, dated as of March 9, 2016, by and</w:t>
            </w:r>
          </w:p>
        </w:tc>
      </w:tr>
      <w:tr>
        <w:trPr>
          <w:trHeight w:val="216"/>
        </w:trPr>
        <w:tc>
          <w:tcPr>
            <w:tcW w:w="920" w:type="dxa"/>
            <w:vAlign w:val="bottom"/>
          </w:tcPr>
          <w:p>
            <w:pPr>
              <w:spacing w:after="0"/>
              <w:rPr>
                <w:sz w:val="18"/>
                <w:szCs w:val="18"/>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1"/>
              </w:rPr>
              <w:t>among the Registrant, Lazard Ltd and Alexander F. Stern (incorporated by reference to Exhibit 10.11 to Registrant’s Quarterly Report (File</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No 333-126751) on Form 10-Q filed on April 27, 2016).</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2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2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w w:val="94"/>
              </w:rPr>
              <w:t>(incorporated by reference to Exhibit 10.41 to Lazard Ltd’s Annual Report (File No. 001-32492) on Form 10-K filed on March 2, 2009).</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20"/>
              <w:spacing w:after="0"/>
              <w:rPr>
                <w:sz w:val="20"/>
                <w:szCs w:val="20"/>
                <w:color w:val="auto"/>
              </w:rPr>
            </w:pPr>
            <w:r>
              <w:rPr>
                <w:rFonts w:ascii="Arial" w:cs="Arial" w:eastAsia="Arial" w:hAnsi="Arial"/>
                <w:sz w:val="18"/>
                <w:szCs w:val="18"/>
                <w:color w:val="auto"/>
                <w:w w:val="91"/>
              </w:rPr>
              <w:t>Form of Agreement evidencing a grant of Deferred Cash Award to Executive Officers (incorporated by reference to Exhibit 10.42 to Lazard</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Ltd’s Annual Report (File No. 001-32492) on Form 10-K filed on March 2, 2009).</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20"/>
              <w:spacing w:after="0"/>
              <w:rPr>
                <w:sz w:val="20"/>
                <w:szCs w:val="20"/>
                <w:color w:val="auto"/>
              </w:rPr>
            </w:pPr>
            <w:r>
              <w:rPr>
                <w:rFonts w:ascii="Arial" w:cs="Arial" w:eastAsia="Arial" w:hAnsi="Arial"/>
                <w:sz w:val="18"/>
                <w:szCs w:val="18"/>
                <w:color w:val="auto"/>
                <w:w w:val="95"/>
              </w:rPr>
              <w:t>Directors Fee Deferral Unit Plan (incorporated by reference to Exhibit 10.39 to Lazard Ltd’s Quarterly Report (File No.001-32492) on</w:t>
            </w:r>
          </w:p>
        </w:tc>
      </w:tr>
      <w:tr>
        <w:trPr>
          <w:trHeight w:val="230"/>
        </w:trPr>
        <w:tc>
          <w:tcPr>
            <w:tcW w:w="920" w:type="dxa"/>
            <w:vAlign w:val="bottom"/>
          </w:tcPr>
          <w:p>
            <w:pPr>
              <w:spacing w:after="0"/>
              <w:rPr>
                <w:sz w:val="20"/>
                <w:szCs w:val="20"/>
                <w:color w:val="auto"/>
              </w:rPr>
            </w:pPr>
          </w:p>
        </w:tc>
        <w:tc>
          <w:tcPr>
            <w:tcW w:w="10520" w:type="dxa"/>
            <w:vAlign w:val="bottom"/>
          </w:tcPr>
          <w:p>
            <w:pPr>
              <w:ind w:left="420"/>
              <w:spacing w:after="0"/>
              <w:rPr>
                <w:sz w:val="20"/>
                <w:szCs w:val="20"/>
                <w:color w:val="auto"/>
              </w:rPr>
            </w:pPr>
            <w:r>
              <w:rPr>
                <w:rFonts w:ascii="Arial" w:cs="Arial" w:eastAsia="Arial" w:hAnsi="Arial"/>
                <w:sz w:val="18"/>
                <w:szCs w:val="18"/>
                <w:color w:val="auto"/>
              </w:rPr>
              <w:t>Form 10-Q filed on May 11, 2006).</w:t>
            </w:r>
          </w:p>
        </w:tc>
      </w:tr>
      <w:tr>
        <w:trPr>
          <w:trHeight w:val="554"/>
        </w:trPr>
        <w:tc>
          <w:tcPr>
            <w:tcW w:w="920" w:type="dxa"/>
            <w:vAlign w:val="bottom"/>
          </w:tcPr>
          <w:p>
            <w:pPr>
              <w:spacing w:after="0"/>
              <w:rPr>
                <w:sz w:val="24"/>
                <w:szCs w:val="24"/>
                <w:color w:val="auto"/>
              </w:rPr>
            </w:pPr>
          </w:p>
        </w:tc>
        <w:tc>
          <w:tcPr>
            <w:tcW w:w="10520" w:type="dxa"/>
            <w:vAlign w:val="bottom"/>
          </w:tcPr>
          <w:p>
            <w:pPr>
              <w:ind w:left="4660"/>
              <w:spacing w:after="0"/>
              <w:rPr>
                <w:sz w:val="20"/>
                <w:szCs w:val="20"/>
                <w:color w:val="auto"/>
              </w:rPr>
            </w:pPr>
            <w:r>
              <w:rPr>
                <w:rFonts w:ascii="Arial" w:cs="Arial" w:eastAsia="Arial" w:hAnsi="Arial"/>
                <w:sz w:val="18"/>
                <w:szCs w:val="18"/>
                <w:color w:val="auto"/>
              </w:rPr>
              <w:t>127</w:t>
            </w:r>
          </w:p>
        </w:tc>
      </w:tr>
      <w:tr>
        <w:trPr>
          <w:trHeight w:val="115"/>
        </w:trPr>
        <w:tc>
          <w:tcPr>
            <w:tcW w:w="920" w:type="dxa"/>
            <w:vAlign w:val="bottom"/>
            <w:tcBorders>
              <w:bottom w:val="single" w:sz="8" w:color="9A9A9A"/>
            </w:tcBorders>
          </w:tcPr>
          <w:p>
            <w:pPr>
              <w:spacing w:after="0"/>
              <w:rPr>
                <w:sz w:val="10"/>
                <w:szCs w:val="10"/>
                <w:color w:val="auto"/>
              </w:rPr>
            </w:pPr>
          </w:p>
        </w:tc>
        <w:tc>
          <w:tcPr>
            <w:tcW w:w="10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10.16</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Amended and Restated Credit Agreement, dated as of September 25, 2015, among the Registrant, the Banks from time to time parties</w:t>
            </w:r>
          </w:p>
        </w:tc>
      </w:tr>
      <w:tr>
        <w:trPr>
          <w:trHeight w:val="216"/>
        </w:trPr>
        <w:tc>
          <w:tcPr>
            <w:tcW w:w="100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thereto, and Citibank, N.A., as Administrative Agent (incorporated by reference to Exhibit 10.25 to the Registrant’s Quarterly Report (File</w:t>
            </w:r>
          </w:p>
        </w:tc>
      </w:tr>
      <w:tr>
        <w:trPr>
          <w:trHeight w:val="230"/>
        </w:trPr>
        <w:tc>
          <w:tcPr>
            <w:tcW w:w="100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No. 333-126751) on Form 10-Q filed on October 28, 2015).</w:t>
            </w:r>
          </w:p>
        </w:tc>
      </w:tr>
      <w:tr>
        <w:trPr>
          <w:trHeight w:val="323"/>
        </w:trPr>
        <w:tc>
          <w:tcPr>
            <w:tcW w:w="1000" w:type="dxa"/>
            <w:vAlign w:val="bottom"/>
          </w:tcPr>
          <w:p>
            <w:pPr>
              <w:jc w:val="right"/>
              <w:ind w:right="410"/>
              <w:spacing w:after="0"/>
              <w:rPr>
                <w:sz w:val="20"/>
                <w:szCs w:val="20"/>
                <w:color w:val="auto"/>
              </w:rPr>
            </w:pPr>
            <w:r>
              <w:rPr>
                <w:rFonts w:ascii="Arial" w:cs="Arial" w:eastAsia="Arial" w:hAnsi="Arial"/>
                <w:sz w:val="18"/>
                <w:szCs w:val="18"/>
                <w:color w:val="auto"/>
                <w:w w:val="92"/>
              </w:rPr>
              <w:t>10.17*</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(incorporated by reference to Exhibit 10.54</w:t>
            </w:r>
          </w:p>
        </w:tc>
      </w:tr>
      <w:tr>
        <w:trPr>
          <w:trHeight w:val="230"/>
        </w:trPr>
        <w:tc>
          <w:tcPr>
            <w:tcW w:w="100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to the Registrant’s Quarterly Report (File No. 333-126751) on Form 10-Q filed on May 1, 2013).</w:t>
            </w:r>
          </w:p>
        </w:tc>
      </w:tr>
      <w:tr>
        <w:trPr>
          <w:trHeight w:val="323"/>
        </w:trPr>
        <w:tc>
          <w:tcPr>
            <w:tcW w:w="1000" w:type="dxa"/>
            <w:vAlign w:val="bottom"/>
          </w:tcPr>
          <w:p>
            <w:pPr>
              <w:jc w:val="right"/>
              <w:ind w:right="410"/>
              <w:spacing w:after="0"/>
              <w:rPr>
                <w:sz w:val="20"/>
                <w:szCs w:val="20"/>
                <w:color w:val="auto"/>
              </w:rPr>
            </w:pPr>
            <w:r>
              <w:rPr>
                <w:rFonts w:ascii="Arial" w:cs="Arial" w:eastAsia="Arial" w:hAnsi="Arial"/>
                <w:sz w:val="18"/>
                <w:szCs w:val="18"/>
                <w:color w:val="auto"/>
                <w:w w:val="92"/>
              </w:rPr>
              <w:t>10.18*</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16"/>
        </w:trPr>
        <w:tc>
          <w:tcPr>
            <w:tcW w:w="100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10.54 to the Registrant’s Quarterly Report (File No. 333-126751) on Form 10-Q filed on May 6,</w:t>
            </w:r>
          </w:p>
        </w:tc>
      </w:tr>
      <w:tr>
        <w:trPr>
          <w:trHeight w:val="230"/>
        </w:trPr>
        <w:tc>
          <w:tcPr>
            <w:tcW w:w="100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2014).</w:t>
            </w:r>
          </w:p>
        </w:tc>
      </w:tr>
      <w:tr>
        <w:trPr>
          <w:trHeight w:val="323"/>
        </w:trPr>
        <w:tc>
          <w:tcPr>
            <w:tcW w:w="1000" w:type="dxa"/>
            <w:vAlign w:val="bottom"/>
          </w:tcPr>
          <w:p>
            <w:pPr>
              <w:jc w:val="right"/>
              <w:ind w:right="490"/>
              <w:spacing w:after="0"/>
              <w:rPr>
                <w:sz w:val="20"/>
                <w:szCs w:val="20"/>
                <w:color w:val="auto"/>
              </w:rPr>
            </w:pPr>
            <w:r>
              <w:rPr>
                <w:rFonts w:ascii="Arial" w:cs="Arial" w:eastAsia="Arial" w:hAnsi="Arial"/>
                <w:sz w:val="18"/>
                <w:szCs w:val="18"/>
                <w:color w:val="auto"/>
                <w:w w:val="88"/>
              </w:rPr>
              <w:t>10.19</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Agreement between Lazard Ltd and Kenneth M. Jacobs, dated as of February 20, 2014, evidencing a grant of Performance-Based Stock</w:t>
            </w:r>
          </w:p>
        </w:tc>
      </w:tr>
      <w:tr>
        <w:trPr>
          <w:trHeight w:val="216"/>
        </w:trPr>
        <w:tc>
          <w:tcPr>
            <w:tcW w:w="100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Units under the 2008 Incentive Compensation Plan (incorporated by reference to Exhibit 10.55 to the Registrant’s Quarterly Report (File</w:t>
            </w:r>
          </w:p>
        </w:tc>
      </w:tr>
      <w:tr>
        <w:trPr>
          <w:trHeight w:val="230"/>
        </w:trPr>
        <w:tc>
          <w:tcPr>
            <w:tcW w:w="1000" w:type="dxa"/>
            <w:vAlign w:val="bottom"/>
          </w:tcPr>
          <w:p>
            <w:pPr>
              <w:spacing w:after="0"/>
              <w:rPr>
                <w:sz w:val="20"/>
                <w:szCs w:val="20"/>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No. 333-126751) on Form 10-Q filed on May 6, 2014).</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12.1</w:t>
            </w:r>
          </w:p>
        </w:tc>
        <w:tc>
          <w:tcPr>
            <w:tcW w:w="1034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21.1</w:t>
            </w:r>
          </w:p>
        </w:tc>
        <w:tc>
          <w:tcPr>
            <w:tcW w:w="10340" w:type="dxa"/>
            <w:vAlign w:val="bottom"/>
          </w:tcPr>
          <w:p>
            <w:pPr>
              <w:ind w:left="340"/>
              <w:spacing w:after="0"/>
              <w:rPr>
                <w:sz w:val="20"/>
                <w:szCs w:val="20"/>
                <w:color w:val="auto"/>
              </w:rPr>
            </w:pPr>
            <w:r>
              <w:rPr>
                <w:rFonts w:ascii="Arial" w:cs="Arial" w:eastAsia="Arial" w:hAnsi="Arial"/>
                <w:sz w:val="18"/>
                <w:szCs w:val="18"/>
                <w:color w:val="auto"/>
              </w:rPr>
              <w:t>Subsidiaries of the Registrant.</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23.1</w:t>
            </w:r>
          </w:p>
        </w:tc>
        <w:tc>
          <w:tcPr>
            <w:tcW w:w="1034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1034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10340" w:type="dxa"/>
            <w:vAlign w:val="bottom"/>
          </w:tcPr>
          <w:p>
            <w:pPr>
              <w:ind w:left="34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1034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1000" w:type="dxa"/>
            <w:vAlign w:val="bottom"/>
          </w:tcPr>
          <w:p>
            <w:pPr>
              <w:jc w:val="right"/>
              <w:ind w:right="490"/>
              <w:spacing w:after="0"/>
              <w:rPr>
                <w:sz w:val="20"/>
                <w:szCs w:val="20"/>
                <w:color w:val="auto"/>
              </w:rPr>
            </w:pPr>
            <w:r>
              <w:rPr>
                <w:rFonts w:ascii="Arial" w:cs="Arial" w:eastAsia="Arial" w:hAnsi="Arial"/>
                <w:sz w:val="18"/>
                <w:szCs w:val="18"/>
                <w:color w:val="auto"/>
              </w:rPr>
              <w:t>32.2</w:t>
            </w:r>
          </w:p>
        </w:tc>
        <w:tc>
          <w:tcPr>
            <w:tcW w:w="10340" w:type="dxa"/>
            <w:vAlign w:val="bottom"/>
          </w:tcPr>
          <w:p>
            <w:pPr>
              <w:ind w:left="34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4920" w:type="dxa"/>
            <w:vAlign w:val="bottom"/>
            <w:gridSpan w:val="9"/>
            <w:vMerge w:val="restart"/>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Management’s Report on Internal Control Over Financial Reporting</w:t>
              </w:r>
            </w:hyperlink>
          </w:p>
        </w:tc>
        <w:tc>
          <w:tcPr>
            <w:tcW w:w="5600" w:type="dxa"/>
            <w:vAlign w:val="bottom"/>
            <w:gridSpan w:val="10"/>
            <w:vMerge w:val="restart"/>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9"/>
            <w:vMerge w:val="continue"/>
          </w:tcPr>
          <w:p>
            <w:pPr>
              <w:spacing w:after="0"/>
              <w:rPr>
                <w:sz w:val="13"/>
                <w:szCs w:val="13"/>
                <w:color w:val="auto"/>
              </w:rPr>
            </w:pPr>
          </w:p>
        </w:tc>
        <w:tc>
          <w:tcPr>
            <w:tcW w:w="5600" w:type="dxa"/>
            <w:vAlign w:val="bottom"/>
            <w:gridSpan w:val="10"/>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Reports of Independent Registered Public Accounting Firm</w:t>
              </w:r>
            </w:hyperlink>
          </w:p>
        </w:tc>
        <w:tc>
          <w:tcPr>
            <w:tcW w:w="622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1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Financial Condition as of December 31, 2016 and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Operations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Comprehensive Income for the years ended December 31, 2016, 2015</w:t>
              </w:r>
            </w:hyperlink>
          </w:p>
        </w:tc>
        <w:tc>
          <w:tcPr>
            <w:tcW w:w="34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and 2014</w:t>
              </w:r>
            </w:hyperlink>
          </w:p>
        </w:tc>
        <w:tc>
          <w:tcPr>
            <w:tcW w:w="96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2016, 2015 and 2014</w:t>
              </w:r>
            </w:hyperlink>
          </w:p>
        </w:tc>
        <w:tc>
          <w:tcPr>
            <w:tcW w:w="360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Changes in Members’ Equity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Notes to Consolidated Financial Statements</w:t>
              </w:r>
            </w:hyperlink>
          </w:p>
        </w:tc>
        <w:tc>
          <w:tcPr>
            <w:tcW w:w="5020" w:type="dxa"/>
            <w:vAlign w:val="bottom"/>
            <w:tcBorders>
              <w:top w:val="single" w:sz="8" w:color="0000EE"/>
            </w:tcBorders>
            <w:gridSpan w:val="12"/>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24">
              <w:r>
                <w:rPr>
                  <w:rFonts w:ascii="Arial" w:cs="Arial" w:eastAsia="Arial" w:hAnsi="Arial"/>
                  <w:sz w:val="18"/>
                  <w:szCs w:val="18"/>
                  <w:b w:val="1"/>
                  <w:bCs w:val="1"/>
                  <w:color w:val="0000EE"/>
                  <w:w w:val="91"/>
                </w:rPr>
                <w:t>Supplemental Financial Information</w:t>
              </w:r>
            </w:hyperlink>
          </w:p>
        </w:tc>
        <w:tc>
          <w:tcPr>
            <w:tcW w:w="77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Quarterly Results</w:t>
              </w:r>
            </w:hyperlink>
          </w:p>
        </w:tc>
        <w:tc>
          <w:tcPr>
            <w:tcW w:w="924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5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Condensed Statements of Financial Condition as of December 31, 2016 and 2015</w:t>
              </w:r>
            </w:hyperlink>
          </w:p>
        </w:tc>
        <w:tc>
          <w:tcPr>
            <w:tcW w:w="420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33">
              <w:r>
                <w:rPr>
                  <w:rFonts w:ascii="Arial" w:cs="Arial" w:eastAsia="Arial" w:hAnsi="Arial"/>
                  <w:sz w:val="18"/>
                  <w:szCs w:val="18"/>
                  <w:color w:val="0000EE"/>
                  <w:w w:val="88"/>
                </w:rPr>
                <w:t>Condensed Statements of Operations for the years ended December 31, 2016, 2015 and 2014</w:t>
              </w:r>
            </w:hyperlink>
          </w:p>
        </w:tc>
        <w:tc>
          <w:tcPr>
            <w:tcW w:w="336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Condensed Statements of Comprehensive Income for the years ended December 31, 2016, 2015 and 2014</w:t>
              </w:r>
            </w:hyperlink>
          </w:p>
        </w:tc>
        <w:tc>
          <w:tcPr>
            <w:tcW w:w="244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Condensed Statements of Cash Flows for the years ended December 31, 2016, 2015 and 2014</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4"/>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Condensed Financial Statements</w:t>
              </w:r>
            </w:hyperlink>
          </w:p>
        </w:tc>
        <w:tc>
          <w:tcPr>
            <w:tcW w:w="332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1" w:name="page132"/>
    <w:bookmarkEnd w:id="1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280,666</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184,482</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subsidiaries of Lazard Ltd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351,825</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receivables, net</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1,358,404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1,205,240</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139,693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175,689</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net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92,393</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Goodwill and other intangibles assets-net</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64,895</w:t>
            </w:r>
          </w:p>
        </w:tc>
        <w:tc>
          <w:tcPr>
            <w:tcW w:w="12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2,279,669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2,077,765</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23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156,416</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196,477</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Due to subsidiaries of Lazard Ltd</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157,353</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84,818</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1,600,775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1,428,006</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949,669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839,517</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(270,775)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(189,758)</w:t>
            </w:r>
          </w:p>
        </w:tc>
      </w:tr>
      <w:tr>
        <w:trPr>
          <w:trHeight w:val="223"/>
        </w:trPr>
        <w:tc>
          <w:tcPr>
            <w:tcW w:w="5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20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678,894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2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2,279,669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2,077,765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2" w:name="page133"/>
    <w:bookmarkEnd w:id="1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1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642,653</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670,322</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648,152</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9"/>
                <w:szCs w:val="19"/>
                <w:color w:val="auto"/>
              </w:rPr>
            </w:pPr>
          </w:p>
        </w:tc>
      </w:tr>
      <w:tr>
        <w:trPr>
          <w:trHeight w:val="223"/>
        </w:trPr>
        <w:tc>
          <w:tcPr>
            <w:tcW w:w="52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15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644,349</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671,679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63,005</w:t>
            </w:r>
          </w:p>
        </w:tc>
        <w:tc>
          <w:tcPr>
            <w:tcW w:w="10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5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596,451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620,632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599,473</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123,409</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100" w:type="dxa"/>
            <w:vAlign w:val="bottom"/>
            <w:tcBorders>
              <w:bottom w:val="single" w:sz="8" w:color="CFF0FC"/>
            </w:tcBorders>
          </w:tcPr>
          <w:p>
            <w:pPr>
              <w:spacing w:after="0"/>
              <w:rPr>
                <w:sz w:val="19"/>
                <w:szCs w:val="19"/>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128,111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138,535</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468,340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444,829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460,938</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5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466,327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442,738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457,004</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3" w:name="page134"/>
    <w:bookmarkEnd w:id="1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457,004</w:t>
            </w:r>
          </w:p>
        </w:tc>
        <w:tc>
          <w:tcPr>
            <w:tcW w:w="100" w:type="dxa"/>
            <w:vAlign w:val="bottom"/>
            <w:shd w:val="clear" w:color="auto" w:fill="CFF0FC"/>
          </w:tcPr>
          <w:p>
            <w:pPr>
              <w:spacing w:after="0"/>
              <w:rPr>
                <w:sz w:val="19"/>
                <w:szCs w:val="19"/>
                <w:color w:val="auto"/>
              </w:rPr>
            </w:pPr>
          </w:p>
        </w:tc>
      </w:tr>
      <w:tr>
        <w:trPr>
          <w:trHeight w:val="205"/>
        </w:trPr>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(56,619)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(44,062)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(43,858)</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$(2,754), $5,644 and $(9,045) for the years ended</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2016, 2015 and 2014, respectively)</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(26,924)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(21,983)</w:t>
            </w:r>
          </w:p>
        </w:tc>
      </w:tr>
      <w:tr>
        <w:trPr>
          <w:trHeight w:val="215"/>
        </w:trPr>
        <w:tc>
          <w:tcPr>
            <w:tcW w:w="5800" w:type="dxa"/>
            <w:vAlign w:val="bottom"/>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ind w:left="640"/>
              <w:spacing w:after="0"/>
              <w:rPr>
                <w:sz w:val="20"/>
                <w:szCs w:val="20"/>
                <w:color w:val="auto"/>
              </w:rPr>
            </w:pPr>
            <w:r>
              <w:rPr>
                <w:rFonts w:ascii="Arial" w:cs="Arial" w:eastAsia="Arial" w:hAnsi="Arial"/>
                <w:sz w:val="18"/>
                <w:szCs w:val="18"/>
                <w:color w:val="auto"/>
              </w:rPr>
              <w:t>expense of $1,757, $1,507 and $1,923 for the years ended</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December 31, 2016, 2015 and 2014, respectively)</w:t>
            </w:r>
          </w:p>
        </w:tc>
        <w:tc>
          <w:tcPr>
            <w:tcW w:w="9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tcPr>
          <w:p>
            <w:pPr>
              <w:spacing w:after="0"/>
              <w:rPr>
                <w:sz w:val="20"/>
                <w:szCs w:val="20"/>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(61,092)</w:t>
            </w: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395,912</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4" w:name="page135"/>
    <w:bookmarkEnd w:id="1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466,327</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442,738</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457,004</w:t>
            </w:r>
          </w:p>
        </w:tc>
        <w:tc>
          <w:tcPr>
            <w:tcW w:w="100" w:type="dxa"/>
            <w:vAlign w:val="bottom"/>
          </w:tcPr>
          <w:p>
            <w:pPr>
              <w:spacing w:after="0"/>
              <w:rPr>
                <w:sz w:val="19"/>
                <w:szCs w:val="19"/>
                <w:color w:val="auto"/>
              </w:rPr>
            </w:pPr>
          </w:p>
        </w:tc>
      </w:tr>
      <w:tr>
        <w:trPr>
          <w:trHeight w:val="215"/>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Equity in earnings of subsidiaries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(642,653)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(670,322)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(648,152)</w:t>
            </w: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tax provision</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Loss on extinguishment of debt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Amortization of deferred expenses and share-based</w:t>
            </w: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incentive compensation</w:t>
            </w: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326,629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301,164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277,800</w:t>
            </w:r>
          </w:p>
        </w:tc>
        <w:tc>
          <w:tcPr>
            <w:tcW w:w="100" w:type="dxa"/>
            <w:vAlign w:val="bottom"/>
            <w:shd w:val="clear" w:color="auto" w:fill="CFF0FC"/>
          </w:tcPr>
          <w:p>
            <w:pPr>
              <w:spacing w:after="0"/>
              <w:rPr>
                <w:sz w:val="20"/>
                <w:szCs w:val="20"/>
                <w:color w:val="auto"/>
              </w:rPr>
            </w:pPr>
          </w:p>
        </w:tc>
      </w:tr>
      <w:tr>
        <w:trPr>
          <w:trHeight w:val="230"/>
        </w:trPr>
        <w:tc>
          <w:tcPr>
            <w:tcW w:w="5760" w:type="dxa"/>
            <w:vAlign w:val="bottom"/>
          </w:tcPr>
          <w:p>
            <w:pPr>
              <w:ind w:left="620"/>
              <w:spacing w:after="0"/>
              <w:rPr>
                <w:sz w:val="20"/>
                <w:szCs w:val="20"/>
                <w:color w:val="auto"/>
              </w:rPr>
            </w:pPr>
            <w:r>
              <w:rPr>
                <w:rFonts w:ascii="Arial" w:cs="Arial" w:eastAsia="Arial" w:hAnsi="Arial"/>
                <w:sz w:val="18"/>
                <w:szCs w:val="18"/>
                <w:color w:val="auto"/>
              </w:rPr>
              <w:t>Depreciation and amortization of property</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Loss on acquisition of portion of business already owned</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600"/>
              <w:spacing w:after="0"/>
              <w:rPr>
                <w:sz w:val="20"/>
                <w:szCs w:val="20"/>
                <w:color w:val="auto"/>
              </w:rPr>
            </w:pPr>
            <w:r>
              <w:rPr>
                <w:rFonts w:ascii="Arial" w:cs="Arial" w:eastAsia="Arial" w:hAnsi="Arial"/>
                <w:sz w:val="18"/>
                <w:szCs w:val="18"/>
                <w:color w:val="auto"/>
              </w:rPr>
              <w:t>Amortization and other acquisition-related costs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Distributions received from subsidiaries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563,036</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Due to/from subsidiaries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Other investments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(54,235)</w:t>
            </w: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operating assets and liabilities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(81,093)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(126,537)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(17,881)</w:t>
            </w:r>
          </w:p>
        </w:tc>
      </w:tr>
      <w:tr>
        <w:trPr>
          <w:trHeight w:val="223"/>
        </w:trPr>
        <w:tc>
          <w:tcPr>
            <w:tcW w:w="57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573,139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572,756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640,127</w:t>
            </w:r>
          </w:p>
        </w:tc>
        <w:tc>
          <w:tcPr>
            <w:tcW w:w="10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Additions to property</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(15,274)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(7,473)</w:t>
            </w: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 sale of subsidiary</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Capital contribution to subsidiaries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(18,566)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(16,987)</w:t>
            </w:r>
          </w:p>
        </w:tc>
      </w:tr>
      <w:tr>
        <w:trPr>
          <w:trHeight w:val="223"/>
        </w:trPr>
        <w:tc>
          <w:tcPr>
            <w:tcW w:w="5760" w:type="dxa"/>
            <w:vAlign w:val="bottom"/>
            <w:tcBorders>
              <w:top w:val="single" w:sz="8" w:color="CFF0FC"/>
            </w:tcBorders>
            <w:shd w:val="clear" w:color="auto" w:fill="CFF0FC"/>
          </w:tcPr>
          <w:p>
            <w:pPr>
              <w:ind w:left="90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Proceeds from:</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760" w:type="dxa"/>
            <w:vAlign w:val="bottom"/>
          </w:tcPr>
          <w:p>
            <w:pPr>
              <w:ind w:left="620"/>
              <w:spacing w:after="0"/>
              <w:rPr>
                <w:sz w:val="20"/>
                <w:szCs w:val="20"/>
                <w:color w:val="auto"/>
              </w:rPr>
            </w:pPr>
            <w:r>
              <w:rPr>
                <w:rFonts w:ascii="Arial" w:cs="Arial" w:eastAsia="Arial" w:hAnsi="Arial"/>
                <w:sz w:val="18"/>
                <w:szCs w:val="18"/>
                <w:color w:val="auto"/>
              </w:rPr>
              <w:t>Excess tax benefit from share-based incentive</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60" w:type="dxa"/>
            <w:vAlign w:val="bottom"/>
          </w:tcPr>
          <w:p>
            <w:pPr>
              <w:ind w:left="740"/>
              <w:spacing w:after="0"/>
              <w:rPr>
                <w:sz w:val="20"/>
                <w:szCs w:val="20"/>
                <w:color w:val="auto"/>
              </w:rPr>
            </w:pPr>
            <w:r>
              <w:rPr>
                <w:rFonts w:ascii="Arial" w:cs="Arial" w:eastAsia="Arial" w:hAnsi="Arial"/>
                <w:sz w:val="18"/>
                <w:szCs w:val="18"/>
                <w:color w:val="auto"/>
              </w:rPr>
              <w:t>compensation</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20"/>
                <w:szCs w:val="20"/>
                <w:color w:val="auto"/>
              </w:rPr>
            </w:pPr>
          </w:p>
        </w:tc>
      </w:tr>
      <w:tr>
        <w:trPr>
          <w:trHeight w:val="230"/>
        </w:trPr>
        <w:tc>
          <w:tcPr>
            <w:tcW w:w="57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Issuance of senior debt, net of expenses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396,272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620"/>
              <w:spacing w:after="0"/>
              <w:rPr>
                <w:sz w:val="20"/>
                <w:szCs w:val="20"/>
                <w:color w:val="auto"/>
              </w:rPr>
            </w:pPr>
            <w:r>
              <w:rPr>
                <w:rFonts w:ascii="Arial" w:cs="Arial" w:eastAsia="Arial" w:hAnsi="Arial"/>
                <w:sz w:val="18"/>
                <w:szCs w:val="18"/>
                <w:color w:val="auto"/>
              </w:rPr>
              <w:t>Other financing activities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for:</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Senior debt</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(101,441)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(509,098)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Capital lease obligations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Distributions of members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(301,262)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(129,787)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(322,369)</w:t>
            </w: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Settlement of vested share-based incentive compensation</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(120,116)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(85,442)</w:t>
            </w:r>
          </w:p>
        </w:tc>
      </w:tr>
      <w:tr>
        <w:trPr>
          <w:trHeight w:val="230"/>
        </w:trPr>
        <w:tc>
          <w:tcPr>
            <w:tcW w:w="5760" w:type="dxa"/>
            <w:vAlign w:val="bottom"/>
          </w:tcPr>
          <w:p>
            <w:pPr>
              <w:ind w:left="560"/>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(300,217)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(215,642)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(141,192)</w:t>
            </w:r>
          </w:p>
        </w:tc>
      </w:tr>
      <w:tr>
        <w:trPr>
          <w:trHeight w:val="230"/>
        </w:trPr>
        <w:tc>
          <w:tcPr>
            <w:tcW w:w="5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financing activities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(5,840)</w:t>
            </w:r>
          </w:p>
        </w:tc>
      </w:tr>
      <w:tr>
        <w:trPr>
          <w:trHeight w:val="223"/>
        </w:trPr>
        <w:tc>
          <w:tcPr>
            <w:tcW w:w="576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(458,908)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(567,530)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(549,577)</w:t>
            </w:r>
          </w:p>
        </w:tc>
        <w:tc>
          <w:tcPr>
            <w:tcW w:w="10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66,090</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January 1</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184,482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196,660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130,570</w:t>
            </w:r>
          </w:p>
        </w:tc>
        <w:tc>
          <w:tcPr>
            <w:tcW w:w="100" w:type="dxa"/>
            <w:vAlign w:val="bottom"/>
            <w:tcBorders>
              <w:bottom w:val="single" w:sz="8" w:color="CFF0FC"/>
            </w:tcBorders>
          </w:tcPr>
          <w:p>
            <w:pPr>
              <w:spacing w:after="0"/>
              <w:rPr>
                <w:sz w:val="19"/>
                <w:szCs w:val="19"/>
                <w:color w:val="auto"/>
              </w:rPr>
            </w:pPr>
          </w:p>
        </w:tc>
      </w:tr>
      <w:tr>
        <w:trPr>
          <w:trHeight w:val="223"/>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December 31</w:t>
            </w:r>
          </w:p>
        </w:tc>
        <w:tc>
          <w:tcPr>
            <w:tcW w:w="1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280,666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184,482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5" w:name="page136"/>
    <w:bookmarkEnd w:id="1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20" w:firstLine="598"/>
        <w:spacing w:after="0" w:line="34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12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2016 and 2015, and for each of the three years in the period ended December 31, 2016,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8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 For the period ended December 31, 2016, equity in earnings of subsidiaries also includes a gain of $16,259 on the acquisition of MBA Lazard (which resulted from the increase in the fair value of the Company’s investment in MBA Lazard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Matthieu Bucaille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Matthieu Bucaille</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February 27,2017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Turner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2017</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Michael J. Turner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850"/>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700"/>
              <w:spacing w:after="0"/>
              <w:rPr>
                <w:sz w:val="20"/>
                <w:szCs w:val="20"/>
                <w:color w:val="auto"/>
              </w:rPr>
            </w:pPr>
            <w:r>
              <w:rPr>
                <w:rFonts w:ascii="Arial" w:cs="Arial" w:eastAsia="Arial" w:hAnsi="Arial"/>
                <w:sz w:val="18"/>
                <w:szCs w:val="18"/>
                <w:color w:val="auto"/>
              </w:rPr>
              <w:t>II-1</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521"/>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521,993</w:t>
            </w:r>
          </w:p>
        </w:tc>
        <w:tc>
          <w:tcPr>
            <w:tcW w:w="580" w:type="dxa"/>
            <w:vAlign w:val="bottom"/>
            <w:gridSpan w:val="3"/>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530,845</w:t>
            </w:r>
          </w:p>
        </w:tc>
        <w:tc>
          <w:tcPr>
            <w:tcW w:w="56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540,975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219,009</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121,593</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Add—Fixed charges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77,071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78,826</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91,691</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111,317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116,255</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fixed charges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599,064</w:t>
            </w:r>
          </w:p>
        </w:tc>
        <w:tc>
          <w:tcPr>
            <w:tcW w:w="580" w:type="dxa"/>
            <w:vAlign w:val="bottom"/>
            <w:gridSpan w:val="3"/>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609,671</w:t>
            </w:r>
          </w:p>
        </w:tc>
        <w:tc>
          <w:tcPr>
            <w:tcW w:w="56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632,666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330,326</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237,848</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Fixed Charges: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Interest (b)</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53,730</w:t>
            </w:r>
          </w:p>
        </w:tc>
        <w:tc>
          <w:tcPr>
            <w:tcW w:w="580" w:type="dxa"/>
            <w:vAlign w:val="bottom"/>
            <w:gridSpan w:val="3"/>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54,885</w:t>
            </w:r>
          </w:p>
        </w:tc>
        <w:tc>
          <w:tcPr>
            <w:tcW w:w="560" w:type="dxa"/>
            <w:vAlign w:val="bottom"/>
            <w:gridSpan w:val="3"/>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68,205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87,039</w:t>
            </w:r>
          </w:p>
        </w:tc>
        <w:tc>
          <w:tcPr>
            <w:tcW w:w="56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91,359</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23,486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24,278</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24,896</w:t>
            </w: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fixed charges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77,071</w:t>
            </w:r>
          </w:p>
        </w:tc>
        <w:tc>
          <w:tcPr>
            <w:tcW w:w="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78,826</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91,691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111,317</w:t>
            </w:r>
          </w:p>
        </w:tc>
        <w:tc>
          <w:tcPr>
            <w:tcW w:w="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116,255</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Ratio of earnings to fixed charges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7.77</w:t>
            </w:r>
          </w:p>
        </w:tc>
        <w:tc>
          <w:tcPr>
            <w:tcW w:w="580" w:type="dxa"/>
            <w:vAlign w:val="bottom"/>
            <w:gridSpan w:val="3"/>
          </w:tcPr>
          <w:p>
            <w:pPr>
              <w:jc w:val="right"/>
              <w:ind w:right="264"/>
              <w:spacing w:after="0"/>
              <w:rPr>
                <w:sz w:val="20"/>
                <w:szCs w:val="20"/>
                <w:color w:val="auto"/>
              </w:rPr>
            </w:pPr>
            <w:r>
              <w:rPr>
                <w:rFonts w:ascii="Arial" w:cs="Arial" w:eastAsia="Arial" w:hAnsi="Arial"/>
                <w:sz w:val="16"/>
                <w:szCs w:val="16"/>
                <w:color w:val="auto"/>
              </w:rPr>
              <w:t>(d)</w:t>
            </w:r>
          </w:p>
        </w:tc>
        <w:tc>
          <w:tcPr>
            <w:tcW w:w="800" w:type="dxa"/>
            <w:vAlign w:val="bottom"/>
          </w:tcPr>
          <w:p>
            <w:pPr>
              <w:jc w:val="right"/>
              <w:spacing w:after="0"/>
              <w:rPr>
                <w:sz w:val="20"/>
                <w:szCs w:val="20"/>
                <w:color w:val="auto"/>
              </w:rPr>
            </w:pPr>
            <w:r>
              <w:rPr>
                <w:rFonts w:ascii="Arial" w:cs="Arial" w:eastAsia="Arial" w:hAnsi="Arial"/>
                <w:sz w:val="16"/>
                <w:szCs w:val="16"/>
                <w:color w:val="auto"/>
              </w:rPr>
              <w:t>7.73</w:t>
            </w:r>
          </w:p>
        </w:tc>
        <w:tc>
          <w:tcPr>
            <w:tcW w:w="560" w:type="dxa"/>
            <w:vAlign w:val="bottom"/>
            <w:gridSpan w:val="3"/>
          </w:tcPr>
          <w:p>
            <w:pPr>
              <w:jc w:val="right"/>
              <w:ind w:right="224"/>
              <w:spacing w:after="0"/>
              <w:rPr>
                <w:sz w:val="20"/>
                <w:szCs w:val="20"/>
                <w:color w:val="auto"/>
              </w:rPr>
            </w:pPr>
            <w:r>
              <w:rPr>
                <w:rFonts w:ascii="Arial" w:cs="Arial" w:eastAsia="Arial" w:hAnsi="Arial"/>
                <w:sz w:val="16"/>
                <w:szCs w:val="16"/>
                <w:color w:val="auto"/>
              </w:rPr>
              <w:t>(e)</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w:t>
            </w:r>
          </w:p>
        </w:tc>
        <w:tc>
          <w:tcPr>
            <w:tcW w:w="560" w:type="dxa"/>
            <w:vAlign w:val="bottom"/>
            <w:gridSpan w:val="3"/>
          </w:tcPr>
          <w:p>
            <w:pPr>
              <w:jc w:val="right"/>
              <w:ind w:right="259"/>
              <w:spacing w:after="0"/>
              <w:rPr>
                <w:sz w:val="20"/>
                <w:szCs w:val="20"/>
                <w:color w:val="auto"/>
              </w:rPr>
            </w:pPr>
            <w:r>
              <w:rPr>
                <w:rFonts w:ascii="Arial" w:cs="Arial" w:eastAsia="Arial" w:hAnsi="Arial"/>
                <w:sz w:val="16"/>
                <w:szCs w:val="16"/>
                <w:color w:val="auto"/>
              </w:rPr>
              <w:t>(f)</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23"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02" w:lineRule="exact"/>
        <w:rPr>
          <w:rFonts w:ascii="Arial" w:cs="Arial" w:eastAsia="Arial" w:hAnsi="Arial"/>
          <w:sz w:val="18"/>
          <w:szCs w:val="18"/>
          <w:color w:val="auto"/>
        </w:rPr>
      </w:pPr>
    </w:p>
    <w:p>
      <w:pPr>
        <w:ind w:left="1040" w:hanging="519"/>
        <w:spacing w:after="0"/>
        <w:tabs>
          <w:tab w:leader="none" w:pos="1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20" w:hanging="512"/>
        <w:spacing w:after="0" w:line="257"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is presented after giving effect to a charge of (i) $3,148 associated with the redemption of the remaining portion of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charges, the ratio of earnings to fixed assets would have been 8.11.</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4.14.</w:t>
      </w:r>
    </w:p>
    <w:p>
      <w:pPr>
        <w:spacing w:after="0" w:line="78" w:lineRule="exact"/>
        <w:rPr>
          <w:rFonts w:ascii="Arial" w:cs="Arial" w:eastAsia="Arial" w:hAnsi="Arial"/>
          <w:sz w:val="18"/>
          <w:szCs w:val="18"/>
          <w:color w:val="auto"/>
        </w:rPr>
      </w:pPr>
    </w:p>
    <w:p>
      <w:pPr>
        <w:ind w:left="520" w:right="100" w:hanging="512"/>
        <w:spacing w:after="0" w:line="257"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bl>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333-196350 on Form S-3 of our reports dated February 27, 2017, relating to the consolidated financial statements and financial statement schedule of Lazard Group LLC and subsidiaries (the “Company”), and the effectiveness of the Company’s internal control over financial reporting appearing in this Annual Report on Form 10-K of the Company for the year ended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Matthieu Bucaille, certify that:</w:t>
      </w:r>
    </w:p>
    <w:p>
      <w:pPr>
        <w:spacing w:after="0" w:line="225" w:lineRule="exact"/>
        <w:rPr>
          <w:sz w:val="20"/>
          <w:szCs w:val="20"/>
          <w:color w:val="auto"/>
        </w:rPr>
      </w:pPr>
    </w:p>
    <w:p>
      <w:pPr>
        <w:ind w:left="780" w:hanging="174"/>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2016 of Lazard Group LLC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2"/>
    </w:lvl>
  </w:abstractNum>
  <w:abstractNum w:abstractNumId="21">
    <w:nsid w:val="D34B6A8"/>
    <w:multiLevelType w:val="hybridMultilevel"/>
    <w:lvl w:ilvl="0">
      <w:lvlJc w:val="left"/>
      <w:lvlText w:val="(%1)"/>
      <w:numFmt w:val="lowerLetter"/>
      <w:start w:val="3"/>
    </w:lvl>
  </w:abstractNum>
  <w:abstractNum w:abstractNumId="22">
    <w:nsid w:val="10233C99"/>
    <w:multiLevelType w:val="hybridMultilevel"/>
    <w:lvl w:ilvl="0">
      <w:lvlJc w:val="left"/>
      <w:lvlText w:val="(%1)"/>
      <w:numFmt w:val="lowerLetter"/>
      <w:start w:val="5"/>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lvl w:ilvl="1">
      <w:lvlJc w:val="left"/>
      <w:lvlText w:val="(%2)"/>
      <w:numFmt w:val="lowerRoman"/>
      <w:start w:val="1"/>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1)"/>
      <w:numFmt w:val="lowerLetter"/>
      <w:start w:val="4"/>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Letter"/>
      <w:start w:val="1"/>
    </w:lvl>
  </w:abstractNum>
  <w:abstractNum w:abstractNumId="30">
    <w:nsid w:val="2F305DEF"/>
    <w:multiLevelType w:val="hybridMultilevel"/>
    <w:lvl w:ilvl="0">
      <w:lvlJc w:val="left"/>
      <w:lvlText w:val="(%1)"/>
      <w:numFmt w:val="lowerRoman"/>
      <w:start w:val="2"/>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1"/>
    </w:lvl>
  </w:abstractNum>
  <w:abstractNum w:abstractNumId="33">
    <w:nsid w:val="4AD084E9"/>
    <w:multiLevelType w:val="hybridMultilevel"/>
    <w:lvl w:ilvl="0">
      <w:lvlJc w:val="left"/>
      <w:lvlText w:val="(%1)"/>
      <w:numFmt w:val="lowerLetter"/>
      <w:start w:val="2"/>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2"/>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lowerRoman"/>
      <w:start w:val="3"/>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1."/>
      <w:numFmt w:val="decimal"/>
      <w:start w:val="2"/>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lowerRoman"/>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decimal"/>
      <w:start w:val="3"/>
    </w:lvl>
  </w:abstractNum>
  <w:abstractNum w:abstractNumId="57">
    <w:nsid w:val="8F2B15E"/>
    <w:multiLevelType w:val="hybridMultilevel"/>
    <w:lvl w:ilvl="0">
      <w:lvlJc w:val="left"/>
      <w:lvlText w:val="%1."/>
      <w:numFmt w:val="decimal"/>
      <w:start w:val="4"/>
    </w:lvl>
  </w:abstractNum>
  <w:abstractNum w:abstractNumId="58">
    <w:nsid w:val="1A32234B"/>
    <w:multiLevelType w:val="hybridMultilevel"/>
    <w:lvl w:ilvl="0">
      <w:lvlJc w:val="left"/>
      <w:lvlText w:val="%1."/>
      <w:numFmt w:val="decimal"/>
      <w:start w:val="5"/>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decimal"/>
      <w:start w:val="6"/>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decimal"/>
      <w:start w:val="7"/>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decimal"/>
      <w:start w:val="8"/>
    </w:lvl>
  </w:abstractNum>
  <w:abstractNum w:abstractNumId="68">
    <w:nsid w:val="100F59DC"/>
    <w:multiLevelType w:val="hybridMultilevel"/>
    <w:lvl w:ilvl="0">
      <w:lvlJc w:val="left"/>
      <w:lvlText w:val="%1."/>
      <w:numFmt w:val="decimal"/>
      <w:start w:val="9"/>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decimal"/>
      <w:start w:val="10"/>
    </w:lvl>
  </w:abstractNum>
  <w:abstractNum w:abstractNumId="71">
    <w:nsid w:val="6F6DD9AC"/>
    <w:multiLevelType w:val="hybridMultilevel"/>
    <w:lvl w:ilvl="0">
      <w:lvlJc w:val="left"/>
      <w:lvlText w:val="%1."/>
      <w:numFmt w:val="decimal"/>
      <w:start w:val="1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decimal"/>
      <w:start w:val="12"/>
    </w:lvl>
  </w:abstractNum>
  <w:abstractNum w:abstractNumId="74">
    <w:nsid w:val="76272110"/>
    <w:multiLevelType w:val="hybridMultilevel"/>
    <w:lvl w:ilvl="0">
      <w:lvlJc w:val="left"/>
      <w:lvlText w:val="%1."/>
      <w:numFmt w:val="decimal"/>
      <w:start w:val="13"/>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decimal"/>
      <w:start w:val="14"/>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decimal"/>
      <w:start w:val="15"/>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decimal"/>
      <w:start w:val="16"/>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Roman"/>
      <w:start w:val="1"/>
    </w:lvl>
  </w:abstractNum>
  <w:abstractNum w:abstractNumId="84">
    <w:nsid w:val="39EE015C"/>
    <w:multiLevelType w:val="hybridMultilevel"/>
    <w:lvl w:ilvl="0">
      <w:lvlJc w:val="left"/>
      <w:lvlText w:val="%1."/>
      <w:numFmt w:val="decimal"/>
      <w:start w:val="17"/>
    </w:lvl>
  </w:abstractNum>
  <w:abstractNum w:abstractNumId="85">
    <w:nsid w:val="57FC4FBB"/>
    <w:multiLevelType w:val="hybridMultilevel"/>
    <w:lvl w:ilvl="0">
      <w:lvlJc w:val="left"/>
      <w:lvlText w:val="%1."/>
      <w:numFmt w:val="decimal"/>
      <w:start w:val="18"/>
    </w:lvl>
  </w:abstractNum>
  <w:abstractNum w:abstractNumId="86">
    <w:nsid w:val="CC1016F"/>
    <w:multiLevelType w:val="hybridMultilevel"/>
    <w:lvl w:ilvl="0">
      <w:lvlJc w:val="left"/>
      <w:lvlText w:val="%1."/>
      <w:numFmt w:val="decimal"/>
      <w:start w:val="19"/>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Letter"/>
      <w:start w:val="2"/>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lowerLetter"/>
      <w:start w:val="1"/>
    </w:lvl>
    <w:lvl w:ilvl="1">
      <w:lvlJc w:val="left"/>
      <w:lvlText w:val="%2."/>
      <w:numFmt w:val="decimal"/>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1."/>
      <w:numFmt w:val="decimal"/>
      <w:start w:val="1"/>
    </w:lvl>
  </w:abstractNum>
  <w:abstractNum w:abstractNumId="96">
    <w:nsid w:val="5FB8011C"/>
    <w:multiLevelType w:val="hybridMultilevel"/>
    <w:lvl w:ilvl="0">
      <w:lvlJc w:val="left"/>
      <w:lvlText w:val="(%1)"/>
      <w:numFmt w:val="lowerLetter"/>
      <w:start w:val="1"/>
    </w:lvl>
    <w:lvl w:ilvl="1">
      <w:lvlJc w:val="left"/>
      <w:lvlText w:val="•"/>
      <w:numFmt w:val="bullet"/>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2019-12-29T08:38:13Z</dcterms:created>
  <dcterms:modified xsi:type="dcterms:W3CDTF">2019-12-29T08:38:13Z</dcterms:modified>
</cp:coreProperties>
</file>