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620" w:type="dxa"/>
        <w:tblCellMar>
          <w:top w:w="0" w:type="dxa"/>
          <w:left w:w="0" w:type="dxa"/>
          <w:bottom w:w="0" w:type="dxa"/>
          <w:right w:w="0" w:type="dxa"/>
        </w:tblCellMar>
      </w:tblPr>
      <w:tr>
        <w:trPr>
          <w:trHeight w:val="22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51"/>
        </w:trPr>
        <w:tc>
          <w:tcPr>
            <w:tcW w:w="5960" w:type="dxa"/>
            <w:vAlign w:val="bottom"/>
            <w:gridSpan w:val="3"/>
          </w:tcPr>
          <w:p>
            <w:pPr>
              <w:jc w:val="center"/>
              <w:ind w:right="3360"/>
              <w:spacing w:after="0" w:line="151"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51"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63"/>
        </w:trPr>
        <w:tc>
          <w:tcPr>
            <w:tcW w:w="29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76"/>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20" w:firstLine="342"/>
        <w:spacing w:after="0" w:line="268" w:lineRule="auto"/>
        <w:rPr>
          <w:sz w:val="20"/>
          <w:szCs w:val="20"/>
          <w:color w:val="auto"/>
        </w:rPr>
      </w:pPr>
      <w:r>
        <w:rPr>
          <w:rFonts w:ascii="Arial" w:cs="Arial" w:eastAsia="Arial" w:hAnsi="Arial"/>
          <w:sz w:val="18"/>
          <w:szCs w:val="18"/>
          <w:color w:val="auto"/>
        </w:rPr>
        <w:t>As of July 24, 2013,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June 30, 2013 of approximately 99.5% of the common membership interests in Lazard Group. Lazard Ltd controls Lazard Group through two of its indirect wholly-owned subsidiaries who are co-managing members of Lazard Group.</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6">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40" w:type="dxa"/>
            <w:vAlign w:val="bottom"/>
            <w:gridSpan w:val="3"/>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June 30, 2013 and December 31, 2012</w:t>
              </w:r>
            </w:hyperlink>
          </w:p>
        </w:tc>
        <w:tc>
          <w:tcPr>
            <w:tcW w:w="3700" w:type="dxa"/>
            <w:vAlign w:val="bottom"/>
            <w:gridSpan w:val="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340" w:type="dxa"/>
            <w:vAlign w:val="bottom"/>
            <w:tcBorders>
              <w:bottom w:val="single" w:sz="8" w:color="0000EE"/>
            </w:tcBorders>
            <w:gridSpan w:val="3"/>
            <w:vMerge w:val="continue"/>
          </w:tcPr>
          <w:p>
            <w:pPr>
              <w:spacing w:after="0"/>
              <w:rPr>
                <w:sz w:val="13"/>
                <w:szCs w:val="13"/>
                <w:color w:val="auto"/>
              </w:rPr>
            </w:pPr>
          </w:p>
        </w:tc>
        <w:tc>
          <w:tcPr>
            <w:tcW w:w="3700" w:type="dxa"/>
            <w:vAlign w:val="bottom"/>
            <w:gridSpan w:val="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88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six month periods ended June 30, 2013 and 2012</w:t>
              </w:r>
            </w:hyperlink>
          </w:p>
        </w:tc>
        <w:tc>
          <w:tcPr>
            <w:tcW w:w="22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96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six month periods ended June 30, 2013 and 2012</w:t>
              </w:r>
            </w:hyperlink>
          </w:p>
        </w:tc>
        <w:tc>
          <w:tcPr>
            <w:tcW w:w="1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 June 30, 2013 and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Members’ Equity for the six month periods ended June 30, 2013 and 2012</w:t>
              </w:r>
            </w:hyperlink>
          </w:p>
        </w:tc>
        <w:tc>
          <w:tcPr>
            <w:tcW w:w="21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440" w:type="dxa"/>
            <w:vAlign w:val="bottom"/>
          </w:tcPr>
          <w:p>
            <w:pPr>
              <w:jc w:val="right"/>
              <w:ind w:right="149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AND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595,704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344,839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60,767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65,232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$24,593 and $23,017 at June 30, 2013 and December 31, 2012,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Fees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391,762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633,695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438,119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402,514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$232,487 and $225,861 at June 30, 2013 and December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2012, respectively)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241,948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225,032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6"/>
              </w:rPr>
              <w:t>Goodwill and other intangible assets (net of accumulated amortization of $37,162 and $35,281 at June 30, 2013 and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2012, 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375,207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2,985,052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3,048,380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AND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MEMBERS’ EQUITY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385,985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336,194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467,578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2,502,349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2,519,293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90"/>
              </w:rPr>
              <w:t>Members’ equity (net of 4,587,102 and 10,230,729 shares of Lazard Ltd Class A common stock, at a cost of $140,700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40"/>
              <w:spacing w:after="0"/>
              <w:rPr>
                <w:sz w:val="20"/>
                <w:szCs w:val="20"/>
                <w:color w:val="auto"/>
              </w:rPr>
            </w:pPr>
            <w:r>
              <w:rPr>
                <w:rFonts w:ascii="Arial" w:cs="Arial" w:eastAsia="Arial" w:hAnsi="Arial"/>
                <w:sz w:val="18"/>
                <w:szCs w:val="18"/>
                <w:color w:val="auto"/>
              </w:rPr>
              <w:t>and $295,442 at June 30, 2013 and December 31, 2012,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524,447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(113,053)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411,394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482,703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2,985,052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3,048,380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260,241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240,306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428,345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513,847</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management fees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234,921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466,058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406,203</w:t>
            </w: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9,325</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33,899</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512,585</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460,126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935,963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963,274</w:t>
            </w: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Net revenue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490,327</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436,937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891,511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917,465</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331,117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283,380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608,843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621,683</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39,725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54,611</w:t>
            </w: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25,377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50,589</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20,134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41,668</w:t>
            </w: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9,690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21,564</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15,388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26,121</w:t>
            </w: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3,678</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448,391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391,483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828,351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839,433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41,936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78,032</w:t>
            </w:r>
          </w:p>
        </w:tc>
      </w:tr>
      <w:tr>
        <w:trPr>
          <w:trHeight w:val="223"/>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62,663</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58,837</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5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35,157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34,919</w:t>
            </w:r>
          </w:p>
        </w:tc>
        <w:tc>
          <w:tcPr>
            <w:tcW w:w="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$ 53,359</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62,663</w:t>
            </w:r>
          </w:p>
        </w:tc>
        <w:tc>
          <w:tcPr>
            <w:tcW w:w="100" w:type="dxa"/>
            <w:vAlign w:val="bottom"/>
            <w:shd w:val="clear" w:color="auto" w:fill="CCEEFF"/>
          </w:tcPr>
          <w:p>
            <w:pPr>
              <w:spacing w:after="0"/>
              <w:rPr>
                <w:sz w:val="18"/>
                <w:szCs w:val="18"/>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1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(8,828)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(19,436)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(20,964)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w:t>
            </w:r>
          </w:p>
        </w:tc>
      </w:tr>
      <w:tr>
        <w:trPr>
          <w:trHeight w:val="322"/>
        </w:trPr>
        <w:tc>
          <w:tcPr>
            <w:tcW w:w="20" w:type="dxa"/>
            <w:vAlign w:val="bottom"/>
          </w:tcPr>
          <w:p>
            <w:pPr>
              <w:spacing w:after="0"/>
              <w:rPr>
                <w:sz w:val="24"/>
                <w:szCs w:val="24"/>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180" w:type="dxa"/>
            <w:vAlign w:val="bottom"/>
            <w:gridSpan w:val="3"/>
          </w:tcPr>
          <w:p>
            <w:pPr>
              <w:jc w:val="right"/>
              <w:ind w:right="372"/>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w:t>
            </w:r>
          </w:p>
        </w:tc>
        <w:tc>
          <w:tcPr>
            <w:tcW w:w="4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110"/>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16"/>
        </w:trPr>
        <w:tc>
          <w:tcPr>
            <w:tcW w:w="20" w:type="dxa"/>
            <w:vAlign w:val="bottom"/>
          </w:tcPr>
          <w:p>
            <w:pPr>
              <w:spacing w:after="0"/>
              <w:rPr>
                <w:sz w:val="24"/>
                <w:szCs w:val="24"/>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w w:val="90"/>
              </w:rPr>
              <w:t>Actuarial gain (loss) (net of tax benefit (expense) of $(84) and $1,443 for the three months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060"/>
              <w:spacing w:after="0"/>
              <w:rPr>
                <w:sz w:val="20"/>
                <w:szCs w:val="20"/>
                <w:color w:val="auto"/>
              </w:rPr>
            </w:pPr>
            <w:r>
              <w:rPr>
                <w:rFonts w:ascii="Arial" w:cs="Arial" w:eastAsia="Arial" w:hAnsi="Arial"/>
                <w:sz w:val="18"/>
                <w:szCs w:val="18"/>
                <w:color w:val="auto"/>
                <w:w w:val="90"/>
              </w:rPr>
              <w:t>ended June 30, 2013 and 2012, respectively, and $1,711 and $2,725 for the six months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1060"/>
              <w:spacing w:after="0"/>
              <w:rPr>
                <w:sz w:val="20"/>
                <w:szCs w:val="20"/>
                <w:color w:val="auto"/>
              </w:rPr>
            </w:pPr>
            <w:r>
              <w:rPr>
                <w:rFonts w:ascii="Arial" w:cs="Arial" w:eastAsia="Arial" w:hAnsi="Arial"/>
                <w:sz w:val="18"/>
                <w:szCs w:val="18"/>
                <w:color w:val="auto"/>
              </w:rPr>
              <w:t>ended June 30, 2013 and 2012, respectively)</w:t>
            </w:r>
          </w:p>
        </w:tc>
        <w:tc>
          <w:tcPr>
            <w:tcW w:w="1180" w:type="dxa"/>
            <w:vAlign w:val="bottom"/>
            <w:gridSpan w:val="3"/>
          </w:tcPr>
          <w:p>
            <w:pPr>
              <w:jc w:val="right"/>
              <w:ind w:right="372"/>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(3,457)</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(2,719)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(6,054)</w:t>
            </w:r>
          </w:p>
        </w:tc>
      </w:tr>
      <w:tr>
        <w:trPr>
          <w:trHeight w:val="110"/>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8"/>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Adjustment for items reclassified to earnings (net of tax expense of $400 and $281 for the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1"/>
              </w:rPr>
              <w:t>three months ended June 30, 2013 and 2012, respectively, and $802 and $578 for the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six months ended June 30, 2013 and 2012, respectively)</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4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4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9"/>
                <w:szCs w:val="19"/>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60" w:type="dxa"/>
            <w:vAlign w:val="bottom"/>
          </w:tcPr>
          <w:p>
            <w:pPr>
              <w:spacing w:after="0"/>
              <w:rPr>
                <w:sz w:val="20"/>
                <w:szCs w:val="20"/>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(6,649)</w:t>
            </w:r>
          </w:p>
        </w:tc>
        <w:tc>
          <w:tcPr>
            <w:tcW w:w="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(21,804)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(20,726)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(1,733)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28,508</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13,115</w:t>
            </w: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32,633</w:t>
            </w: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60,930</w:t>
            </w:r>
          </w:p>
        </w:tc>
        <w:tc>
          <w:tcPr>
            <w:tcW w:w="100" w:type="dxa"/>
            <w:vAlign w:val="bottom"/>
            <w:shd w:val="clear" w:color="auto" w:fill="CCEEFF"/>
          </w:tcPr>
          <w:p>
            <w:pPr>
              <w:spacing w:after="0"/>
              <w:rPr>
                <w:sz w:val="18"/>
                <w:szCs w:val="18"/>
                <w:color w:val="auto"/>
              </w:rPr>
            </w:pPr>
          </w:p>
        </w:tc>
      </w:tr>
      <w:tr>
        <w:trPr>
          <w:trHeight w:val="310"/>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LESS - COMPREHENSIVE INCOME ATTRIBUTABLE TO NONCONTROLLING</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4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11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11,598</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$ 30,338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57,166</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53,359</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 based incentive compensation and interest rate hedge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166,168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Loss on sale of intercompany receivable</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(55,064)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(59,074)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(89,700)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115,083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(100,961)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(125,470)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13,111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(41,347)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(35,608)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2,211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Sale of intercompany receivable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(1,542)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(50,447)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members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Settlement of vested share based incentive compensation</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(119,782)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(207,929)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(74,344)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(249,799)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(95,615)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845,503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820,984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EQUIVALENTS—June 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595,704</w:t>
            </w: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725,369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Lazard Group</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Members’</w:t>
            </w:r>
          </w:p>
        </w:tc>
        <w:tc>
          <w:tcPr>
            <w:tcW w:w="22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Members’</w:t>
            </w:r>
          </w:p>
        </w:tc>
        <w:tc>
          <w:tcPr>
            <w:tcW w:w="220" w:type="dxa"/>
            <w:vAlign w:val="bottom"/>
          </w:tcPr>
          <w:p>
            <w:pPr>
              <w:spacing w:after="0"/>
              <w:rPr>
                <w:sz w:val="12"/>
                <w:szCs w:val="12"/>
                <w:color w:val="auto"/>
              </w:rPr>
            </w:pP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Net of Tax</w:t>
            </w:r>
          </w:p>
        </w:tc>
        <w:tc>
          <w:tcPr>
            <w:tcW w:w="12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Equity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2012 (*)</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$693,596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614,344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718,267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Other comprehensive income (loss)-net of tax:</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2,215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benefit plans:</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Adjustments for items reclassified to earnings</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(45,427)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(45,427)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(10,173)</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investment companies</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(68,169)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(68,169)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(68,169)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7"/>
              </w:rPr>
              <w:t>Delivery of Lazard Ltd Class A common stock in connection with</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shared-based incentive compensation awards and related tax</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of $972</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(30,393)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Lazard Ltd Class A common stock issuable (including related</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2012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763,023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(80,923)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682,100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86,907</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769,007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56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Includes 129,766,090 common membership interests issued at both January 1 and June 30, 2012. Also includes profit participation interests and two managing member interests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4"/>
              </w:rPr>
              <w:t>Members’</w:t>
            </w: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Members’</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Net of Tax</w:t>
            </w: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2013 (*)</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$ 545,572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453,179</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$ 529,087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50,998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 (loss)-net of tax:</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(20,898)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640"/>
              <w:spacing w:after="0"/>
              <w:rPr>
                <w:sz w:val="20"/>
                <w:szCs w:val="20"/>
                <w:color w:val="auto"/>
              </w:rPr>
            </w:pPr>
            <w:r>
              <w:rPr>
                <w:rFonts w:ascii="Arial" w:cs="Arial" w:eastAsia="Arial" w:hAnsi="Arial"/>
                <w:sz w:val="18"/>
                <w:szCs w:val="18"/>
                <w:color w:val="auto"/>
              </w:rPr>
              <w:t>Amortization of interest rate hedge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Employee benefit plans: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060"/>
              <w:spacing w:after="0"/>
              <w:rPr>
                <w:sz w:val="20"/>
                <w:szCs w:val="20"/>
                <w:color w:val="auto"/>
              </w:rPr>
            </w:pPr>
            <w:r>
              <w:rPr>
                <w:rFonts w:ascii="Arial" w:cs="Arial" w:eastAsia="Arial" w:hAnsi="Arial"/>
                <w:sz w:val="18"/>
                <w:szCs w:val="18"/>
                <w:color w:val="auto"/>
              </w:rPr>
              <w:t>Net actuarial loss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(2,719)</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Adjustments for items reclassified to earnings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30,338</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2,295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(30,725)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(30,725)</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(6,894)</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(50,447)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(50,447)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(50,447)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Delivery of Lazard Ltd Class A common stock in connection with</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shared-based incentive compensation awards and related tax</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benefit of $862</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(118,920)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(118,920)</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(118,920)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Lazard Ltd Class A common stock issuable (including related</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amortization)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 June 30, 2013 (*)</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3"/>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$ 524,447</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(113,053)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411,394</w:t>
            </w:r>
          </w:p>
        </w:tc>
        <w:tc>
          <w:tcPr>
            <w:tcW w:w="4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71,309</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$ 482,703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and June 30, 2013. Also includes profit participation interests and two managing member interests issued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LLC,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Ltd indirectly held approximately 99.5% and 98.8% of all outstanding Lazard Group common membership interests as of June 30, 2013 and December 31, 2012, respectively. Lazard Ltd, through its control of the managing members of Lazard Group, controls Lazard Group. LAZ-MD Holdings LLC (“LAZ-MD Holdings”), an entity owned by Lazard Group’s current and former managing directors, held approximately 0.5% and 1.2% of the outstanding Lazard Group common membership interests as of June 30, 2013 and December 31, 2012, respectively. Additionally, LAZ-MD Holdings was the sole owner of the one issued and outstanding share of Lazard Ltd’s Class B common stock (the “Class B common stock”) which provided LAZ-MD Holdings with approximately 0.5% and 1.2% of the voting power but no economic rights in Lazard Ltd as of June 30, 2013 and December 31, 2012, respectively.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2012 (the “Form 10-K”). The accompanying December 31, 2012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six month periods ended June 30, 2013 are not necessarily indicative of the results to be expected for any future interim or annual period.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2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Offsetting (Netting) Assets and Liabilities</w:t>
      </w:r>
      <w:r>
        <w:rPr>
          <w:rFonts w:ascii="Arial" w:cs="Arial" w:eastAsia="Arial" w:hAnsi="Arial"/>
          <w:sz w:val="18"/>
          <w:szCs w:val="18"/>
          <w:color w:val="auto"/>
        </w:rPr>
        <w:t>—In the first quarter of 2013, the Company adopted the new disclosure requirements issued by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(the “FASB”) regarding the nature of an entity’s rights of setoff and related arrangements associated with its financial instruments, including derivatives, repurchase agreements and reverse repurchase agreements and securities borrowing and securities lending transactions that are either (i) offset or (ii) subject to an enforceable master netting arrangement. The new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disclosures are designed to make financial statements prepared under U.S. GAAP more comparable to those prepared under International Financial Reporting Standards (“IFRS”) and will enable users of an entity’s financial statements to evaluate the effect or potential effect of netting arrangements on an entity’s financial position. The disclosure requirements are effective for interim and annual reporting periods beginning on or after January 1, 2013, with retrospective application required. The adoption of the new disclosure requirements did not have a material impact on the Company’s consolidated financial statements.</w:t>
      </w:r>
    </w:p>
    <w:p>
      <w:pPr>
        <w:spacing w:after="0" w:line="9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Reclassifications Out of Accumulated Other Comprehensive Income</w:t>
      </w:r>
      <w:r>
        <w:rPr>
          <w:rFonts w:ascii="Arial" w:cs="Arial" w:eastAsia="Arial" w:hAnsi="Arial"/>
          <w:sz w:val="16"/>
          <w:szCs w:val="16"/>
          <w:color w:val="auto"/>
        </w:rPr>
        <w:t>—In the first quarter of 2013, the Company adopted the FASB’s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presentation of amounts reclassified out of accumulated other comprehensive income. The amendment required that the amounts reclassified out of accumulated other comprehensive income be presented by component and disclosed where the respective line item was reported in the consolidated statement of operations. The amendment was to be applied prospectively, and is effective with interim and annual periods beginning after December 15, 2012, with early adoption permitted. The adoption of the amended guidance did not have a material impact on the Company’s consolidated financial statements.</w:t>
      </w:r>
    </w:p>
    <w:p>
      <w:pPr>
        <w:spacing w:after="0" w:line="23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Receivables are stated net of an estimated allowance for doubtful accounts of $24,593 and $23,017 at June 30, 2013 and December 31, 2012, respectively, for past due amounts and for specific accounts deemed uncollectible, which may include situations where a fee is in dispute. The Company recorded bad debt expense (recoveries) of $1,694 and $1,842 for the three month and six month periods ended June 30, 2013, respectively, and $(133) and $1,148 for the three month and six month periods ended June 30, 2012, respectively. In addition, the Company recorded charge-offs, foreign currency translation and other adjustments, which resulted in a net increase (decrease) to the allowance for doubtful accounts of $94 and $(266) for the three month and six month periods ended June 30, 2013, respectively, and $(283) and $158 for the three month and six month periods ended June 30, 2012, respectively. At June 30, 2013 and December 31, 2012, the Company had receivables past due or deemed uncollectible of $27,831 and $25,604, respectively.</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Of the Company’s total receivables at June 30, 2013 and December 31, 2012, $74,632 and $76,481, respectively, represented interest-bearing financing fee receivables. In addition, at June 30, 2013 and December 31, 2012, the Company had interest-bearing related party receivables of $104,953 and $101,833,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$454,110 and $404,316 at June 30, 2013 and December 31, 2012, respectively, approximates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consisted of the following at June 30, 2013 and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$514 and $578, respectively)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51,957</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45,739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175,736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154,310</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112,833</w:t>
            </w:r>
          </w:p>
        </w:tc>
        <w:tc>
          <w:tcPr>
            <w:tcW w:w="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112,444</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371,553</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344,562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1"/>
        </w:trPr>
        <w:tc>
          <w:tcPr>
            <w:tcW w:w="932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438,119</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402,514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430,504</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394,924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$7,631, $31,013 and $121,408, respectively, at June 30, 2013 and $5,054, $18,615 and $76,907, respectively, at December 31, 2012,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Interests in alternative investment funds primarily consist of interests in various Lazard-managed hedge funds and fund of funds.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a fund targeting significant noncontrolling-stake investments in established private companies,</w:t>
      </w:r>
    </w:p>
    <w:p>
      <w:pPr>
        <w:spacing w:after="0" w:line="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Edgewater Growth Capital Partners III, L.P. (“EGCP III”), a fund primarily making equity and buyout investments in middle market companies and</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Lazard Australia Corporate Opportunities Fund 2 (“COF2”), a Lazard-managed Australian fund targeting Australasian mid-market investments.</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$9,685 and $11,490 at June 30, 2013 and December 31, 2012, respectively (see Note 10 of Notes to Condensed Consolidated Financial Statements).</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During the three month and six month periods ended June 30, 2013 and 2012, the Company reported in revenue-other on its condensed consolidated statements of operations gross unrealized investment gains and losses pertaining to “trading” securities as follows (including, for the three month and six month periods ended June 30, 2012, restated amounts pertaining to certain non-broker dealer subsidiaries):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9"/>
              </w:rPr>
              <w:t>Three Month Period</w:t>
            </w: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Six Month Period</w:t>
            </w:r>
          </w:p>
        </w:tc>
      </w:t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5"/>
              </w:rPr>
              <w:t>Ended June 30,</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Ended June 30,</w:t>
            </w:r>
          </w:p>
        </w:tc>
      </w:tr>
      <w:tr>
        <w:trPr>
          <w:trHeight w:val="142"/>
        </w:trPr>
        <w:tc>
          <w:tcPr>
            <w:tcW w:w="7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3"/>
              </w:rPr>
              <w:t>2013</w:t>
            </w:r>
          </w:p>
        </w:tc>
        <w:tc>
          <w:tcPr>
            <w:tcW w:w="5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2012</w:t>
            </w:r>
          </w:p>
        </w:tc>
        <w:tc>
          <w:tcPr>
            <w:tcW w:w="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5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$3,748</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$8,289</w:t>
            </w:r>
          </w:p>
        </w:tc>
        <w:tc>
          <w:tcPr>
            <w:tcW w:w="10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8,806</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8,324</w:t>
            </w:r>
          </w:p>
        </w:tc>
        <w:tc>
          <w:tcPr>
            <w:tcW w:w="5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$5,624</w:t>
            </w:r>
          </w:p>
        </w:tc>
        <w:tc>
          <w:tcPr>
            <w:tcW w:w="5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$2,346</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fair value of investments in alternative investment funds is classified as either Level 2 or Level 3 depending on the time frame of any applicable redemption restriction, and is valued at NAV or its equivalent, which is primarily determined based on information provided by external fund administrators.</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 of investments in equity funds is classified as Level 1, 2 or 3 as follows: publicly traded asset management funds are classified as Level 1 and are valued based on the reported closing price for the fund; investments in asset management funds redeemable in the near term are classified as Level 2 and are valued at NAV or its equivalent, which is primarily determined based on information provided by external fund administrators; and funds valued based on NAV or its equivalent that are not redeemable within the near term are classified as Level 3.</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tables present the classification of investments and certain other assets and liabilities measured at fair value on a recurring basis as of June 30, 2013 and December 31, 2012 within the fair value hierarchy: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4"/>
                <w:szCs w:val="14"/>
                <w:b w:val="1"/>
                <w:bCs w:val="1"/>
                <w:color w:val="auto"/>
              </w:rPr>
              <w:t>June 30, 2013</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51,957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45,728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45,739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37,245</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169,072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6,664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175,736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112,833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112,833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6,947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258,726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65,244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113,481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437,451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152,514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152,514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152,514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155,777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19,918</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145,231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9,069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112,444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211,390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395,857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102,492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102,551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105,247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2013 and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10"/>
          </w:tcPr>
          <w:p>
            <w:pPr>
              <w:jc w:val="right"/>
              <w:ind w:right="240"/>
              <w:spacing w:after="0"/>
              <w:rPr>
                <w:sz w:val="20"/>
                <w:szCs w:val="20"/>
                <w:color w:val="auto"/>
              </w:rPr>
            </w:pPr>
            <w:r>
              <w:rPr>
                <w:rFonts w:ascii="Arial" w:cs="Arial" w:eastAsia="Arial" w:hAnsi="Arial"/>
                <w:sz w:val="14"/>
                <w:szCs w:val="14"/>
                <w:b w:val="1"/>
                <w:bCs w:val="1"/>
                <w:color w:val="auto"/>
                <w:w w:val="91"/>
              </w:rPr>
              <w:t>Three Months Ended June 30,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Realized</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Included</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In Revenue-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Sales/</w:t>
            </w: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9"/>
              </w:rPr>
              <w:t>Other (a)</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5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4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5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110,496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3,056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112,833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111,984</w:t>
            </w:r>
          </w:p>
        </w:tc>
        <w:tc>
          <w:tcPr>
            <w:tcW w:w="2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7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5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0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4"/>
                <w:szCs w:val="14"/>
                <w:b w:val="1"/>
                <w:bCs w:val="1"/>
                <w:color w:val="auto"/>
                <w:w w:val="95"/>
              </w:rPr>
              <w:t>Six Months Ended June 30, 2013</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Realized</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Included</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In Revenue-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Sales/</w:t>
            </w: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9"/>
              </w:rPr>
              <w:t>Other (a)</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5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4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5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112,444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116,101</w:t>
            </w:r>
          </w:p>
        </w:tc>
        <w:tc>
          <w:tcPr>
            <w:tcW w:w="24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3,872</w:t>
            </w:r>
          </w:p>
        </w:tc>
        <w:tc>
          <w:tcPr>
            <w:tcW w:w="7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3,704</w:t>
            </w:r>
          </w:p>
        </w:tc>
        <w:tc>
          <w:tcPr>
            <w:tcW w:w="5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(9,452)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(744)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1"/>
          </w:tcPr>
          <w:p>
            <w:pPr>
              <w:jc w:val="right"/>
              <w:ind w:right="480"/>
              <w:spacing w:after="0"/>
              <w:rPr>
                <w:sz w:val="20"/>
                <w:szCs w:val="20"/>
                <w:color w:val="auto"/>
              </w:rPr>
            </w:pPr>
            <w:r>
              <w:rPr>
                <w:rFonts w:ascii="Arial" w:cs="Arial" w:eastAsia="Arial" w:hAnsi="Arial"/>
                <w:sz w:val="14"/>
                <w:szCs w:val="14"/>
                <w:b w:val="1"/>
                <w:bCs w:val="1"/>
                <w:color w:val="auto"/>
                <w:w w:val="93"/>
              </w:rPr>
              <w:t>Three Months Ended June 30,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right="312"/>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5"/>
          </w:tcPr>
          <w:p>
            <w:pPr>
              <w:jc w:val="center"/>
              <w:ind w:right="332"/>
              <w:spacing w:after="0" w:line="149" w:lineRule="exact"/>
              <w:rPr>
                <w:sz w:val="20"/>
                <w:szCs w:val="20"/>
                <w:color w:val="auto"/>
              </w:rPr>
            </w:pPr>
            <w:r>
              <w:rPr>
                <w:rFonts w:ascii="Arial" w:cs="Arial" w:eastAsia="Arial" w:hAnsi="Arial"/>
                <w:sz w:val="14"/>
                <w:szCs w:val="14"/>
                <w:b w:val="1"/>
                <w:bCs w:val="1"/>
                <w:color w:val="auto"/>
                <w:w w:val="84"/>
              </w:rPr>
              <w:t>Realized</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5"/>
          </w:tcPr>
          <w:p>
            <w:pPr>
              <w:jc w:val="center"/>
              <w:ind w:right="332"/>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5"/>
          </w:tcPr>
          <w:p>
            <w:pPr>
              <w:jc w:val="center"/>
              <w:ind w:right="332"/>
              <w:spacing w:after="0" w:line="149" w:lineRule="exact"/>
              <w:rPr>
                <w:sz w:val="20"/>
                <w:szCs w:val="20"/>
                <w:color w:val="auto"/>
              </w:rPr>
            </w:pPr>
            <w:r>
              <w:rPr>
                <w:rFonts w:ascii="Arial" w:cs="Arial" w:eastAsia="Arial" w:hAnsi="Arial"/>
                <w:sz w:val="14"/>
                <w:szCs w:val="14"/>
                <w:b w:val="1"/>
                <w:bCs w:val="1"/>
                <w:color w:val="auto"/>
                <w:w w:val="90"/>
              </w:rPr>
              <w:t>Included</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7"/>
              </w:rPr>
              <w:t>Beginning</w:t>
            </w:r>
          </w:p>
        </w:tc>
        <w:tc>
          <w:tcPr>
            <w:tcW w:w="200" w:type="dxa"/>
            <w:vAlign w:val="bottom"/>
          </w:tcPr>
          <w:p>
            <w:pPr>
              <w:spacing w:after="0"/>
              <w:rPr>
                <w:sz w:val="12"/>
                <w:szCs w:val="12"/>
                <w:color w:val="auto"/>
              </w:rPr>
            </w:pPr>
          </w:p>
        </w:tc>
        <w:tc>
          <w:tcPr>
            <w:tcW w:w="1380" w:type="dxa"/>
            <w:vAlign w:val="bottom"/>
            <w:gridSpan w:val="5"/>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In Revenue-</w:t>
            </w:r>
          </w:p>
        </w:tc>
        <w:tc>
          <w:tcPr>
            <w:tcW w:w="280" w:type="dxa"/>
            <w:vAlign w:val="bottom"/>
          </w:tcPr>
          <w:p>
            <w:pPr>
              <w:spacing w:after="0"/>
              <w:rPr>
                <w:sz w:val="12"/>
                <w:szCs w:val="12"/>
                <w:color w:val="auto"/>
              </w:rPr>
            </w:pPr>
          </w:p>
        </w:tc>
        <w:tc>
          <w:tcPr>
            <w:tcW w:w="1060" w:type="dxa"/>
            <w:vAlign w:val="bottom"/>
            <w:gridSpan w:val="4"/>
          </w:tcPr>
          <w:p>
            <w:pPr>
              <w:jc w:val="right"/>
              <w:ind w:right="312"/>
              <w:spacing w:after="0" w:line="149" w:lineRule="exact"/>
              <w:rPr>
                <w:sz w:val="20"/>
                <w:szCs w:val="20"/>
                <w:color w:val="auto"/>
              </w:rPr>
            </w:pPr>
            <w:r>
              <w:rPr>
                <w:rFonts w:ascii="Arial" w:cs="Arial" w:eastAsia="Arial" w:hAnsi="Arial"/>
                <w:sz w:val="14"/>
                <w:szCs w:val="14"/>
                <w:b w:val="1"/>
                <w:bCs w:val="1"/>
                <w:color w:val="auto"/>
                <w:w w:val="85"/>
              </w:rPr>
              <w:t>Purchases/</w:t>
            </w:r>
          </w:p>
        </w:tc>
        <w:tc>
          <w:tcPr>
            <w:tcW w:w="140" w:type="dxa"/>
            <w:vAlign w:val="bottom"/>
          </w:tcPr>
          <w:p>
            <w:pPr>
              <w:spacing w:after="0"/>
              <w:rPr>
                <w:sz w:val="12"/>
                <w:szCs w:val="12"/>
                <w:color w:val="auto"/>
              </w:rPr>
            </w:pPr>
          </w:p>
        </w:tc>
        <w:tc>
          <w:tcPr>
            <w:tcW w:w="1200" w:type="dxa"/>
            <w:vAlign w:val="bottom"/>
            <w:gridSpan w:val="5"/>
          </w:tcPr>
          <w:p>
            <w:pPr>
              <w:jc w:val="right"/>
              <w:ind w:right="680"/>
              <w:spacing w:after="0" w:line="149" w:lineRule="exact"/>
              <w:rPr>
                <w:sz w:val="20"/>
                <w:szCs w:val="20"/>
                <w:color w:val="auto"/>
              </w:rPr>
            </w:pPr>
            <w:r>
              <w:rPr>
                <w:rFonts w:ascii="Arial" w:cs="Arial" w:eastAsia="Arial" w:hAnsi="Arial"/>
                <w:sz w:val="14"/>
                <w:szCs w:val="14"/>
                <w:b w:val="1"/>
                <w:bCs w:val="1"/>
                <w:color w:val="auto"/>
              </w:rPr>
              <w:t>Sales/</w:t>
            </w: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6"/>
              <w:spacing w:after="0"/>
              <w:rPr>
                <w:sz w:val="20"/>
                <w:szCs w:val="20"/>
                <w:color w:val="auto"/>
              </w:rPr>
            </w:pPr>
            <w:r>
              <w:rPr>
                <w:rFonts w:ascii="Arial" w:cs="Arial" w:eastAsia="Arial" w:hAnsi="Arial"/>
                <w:sz w:val="14"/>
                <w:szCs w:val="14"/>
                <w:b w:val="1"/>
                <w:bCs w:val="1"/>
                <w:color w:val="auto"/>
                <w:w w:val="81"/>
              </w:rPr>
              <w:t>Balance</w:t>
            </w:r>
          </w:p>
        </w:tc>
        <w:tc>
          <w:tcPr>
            <w:tcW w:w="200" w:type="dxa"/>
            <w:vAlign w:val="bottom"/>
          </w:tcPr>
          <w:p>
            <w:pPr>
              <w:spacing w:after="0"/>
              <w:rPr>
                <w:sz w:val="14"/>
                <w:szCs w:val="14"/>
                <w:color w:val="auto"/>
              </w:rPr>
            </w:pPr>
          </w:p>
        </w:tc>
        <w:tc>
          <w:tcPr>
            <w:tcW w:w="1380" w:type="dxa"/>
            <w:vAlign w:val="bottom"/>
            <w:gridSpan w:val="5"/>
          </w:tcPr>
          <w:p>
            <w:pPr>
              <w:jc w:val="center"/>
              <w:ind w:right="332"/>
              <w:spacing w:after="0"/>
              <w:rPr>
                <w:sz w:val="20"/>
                <w:szCs w:val="20"/>
                <w:color w:val="auto"/>
              </w:rPr>
            </w:pPr>
            <w:r>
              <w:rPr>
                <w:rFonts w:ascii="Arial" w:cs="Arial" w:eastAsia="Arial" w:hAnsi="Arial"/>
                <w:sz w:val="14"/>
                <w:szCs w:val="14"/>
                <w:b w:val="1"/>
                <w:bCs w:val="1"/>
                <w:color w:val="auto"/>
                <w:w w:val="89"/>
              </w:rPr>
              <w:t>Other (a)</w:t>
            </w:r>
          </w:p>
        </w:tc>
        <w:tc>
          <w:tcPr>
            <w:tcW w:w="28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Acquisitions</w:t>
            </w:r>
          </w:p>
        </w:tc>
        <w:tc>
          <w:tcPr>
            <w:tcW w:w="14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Dispositions</w:t>
            </w: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32"/>
              <w:spacing w:after="0"/>
              <w:rPr>
                <w:sz w:val="20"/>
                <w:szCs w:val="20"/>
                <w:color w:val="auto"/>
              </w:rPr>
            </w:pPr>
            <w:r>
              <w:rPr>
                <w:rFonts w:ascii="Arial" w:cs="Arial" w:eastAsia="Arial" w:hAnsi="Arial"/>
                <w:sz w:val="18"/>
                <w:szCs w:val="18"/>
                <w:color w:val="auto"/>
              </w:rPr>
              <w:t>5</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112"/>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rPr>
              <w:t>(1,251)</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116,563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4,786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4"/>
          </w:tcPr>
          <w:p>
            <w:pPr>
              <w:jc w:val="right"/>
              <w:ind w:right="112"/>
              <w:spacing w:after="0"/>
              <w:rPr>
                <w:sz w:val="20"/>
                <w:szCs w:val="20"/>
                <w:color w:val="auto"/>
              </w:rPr>
            </w:pPr>
            <w:r>
              <w:rPr>
                <w:rFonts w:ascii="Arial" w:cs="Arial" w:eastAsia="Arial" w:hAnsi="Arial"/>
                <w:sz w:val="18"/>
                <w:szCs w:val="18"/>
                <w:color w:val="auto"/>
              </w:rPr>
              <w:t>(4,873)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122,695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4,753</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rPr>
              <w:t>$  (6,154)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4"/>
          </w:tcPr>
          <w:p>
            <w:pPr>
              <w:jc w:val="right"/>
              <w:ind w:right="32"/>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8"/>
              </w:rPr>
              <w:t>Six Months Ended June 30, 2012</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Realized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Included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Beginning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Sales/</w:t>
            </w: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Balance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Other (a)</w:t>
            </w:r>
          </w:p>
        </w:tc>
        <w:tc>
          <w:tcPr>
            <w:tcW w:w="3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12,350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(22,745)</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113,991</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(28,419)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118,798</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5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for the three month and six month periods ended June 30, 2013 and the three month and six month periods ended June 30, 2012 include net unrealized gains of $2,657, $3,327, $3,483 and $9,563, respectively.</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June 30, 2013 and December 31, 2012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June 30, 2013</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ind w:left="280"/>
              <w:spacing w:after="0"/>
              <w:rPr>
                <w:sz w:val="20"/>
                <w:szCs w:val="20"/>
                <w:color w:val="auto"/>
              </w:rPr>
            </w:pPr>
            <w:r>
              <w:rPr>
                <w:rFonts w:ascii="Arial" w:cs="Arial" w:eastAsia="Arial" w:hAnsi="Arial"/>
                <w:sz w:val="14"/>
                <w:szCs w:val="14"/>
                <w:b w:val="1"/>
                <w:bCs w:val="1"/>
                <w:color w:val="auto"/>
              </w:rPr>
              <w:t>Investments Not Redeemable</w:t>
            </w:r>
          </w:p>
        </w:tc>
        <w:tc>
          <w:tcPr>
            <w:tcW w:w="20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right"/>
              <w:ind w:right="144"/>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200" w:type="dxa"/>
            <w:vAlign w:val="bottom"/>
          </w:tcPr>
          <w:p>
            <w:pPr>
              <w:spacing w:after="0"/>
              <w:rPr>
                <w:sz w:val="12"/>
                <w:szCs w:val="12"/>
                <w:color w:val="auto"/>
              </w:rPr>
            </w:pPr>
          </w:p>
        </w:tc>
        <w:tc>
          <w:tcPr>
            <w:tcW w:w="84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Alternative investment funds</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Redeemable</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5 Years</w:t>
            </w: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Frequency</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Notice Period</w:t>
            </w:r>
          </w:p>
        </w:tc>
        <w:tc>
          <w:tcPr>
            <w:tcW w:w="0" w:type="dxa"/>
            <w:vAlign w:val="bottom"/>
          </w:tcPr>
          <w:p>
            <w:pPr>
              <w:spacing w:after="0"/>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45,739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tcPr>
          <w:p>
            <w:pPr>
              <w:spacing w:after="0"/>
              <w:rPr>
                <w:sz w:val="18"/>
                <w:szCs w:val="18"/>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w:t>
            </w:r>
          </w:p>
        </w:tc>
        <w:tc>
          <w:tcPr>
            <w:tcW w:w="20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&lt;30-120 days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NA</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(b)</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6,664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NA</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&lt;30-90 days</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112,833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27,649</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165,240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27,649</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 weekly (11%), monthly (54%) and quarterly (34%)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December 31, 2012</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Investments Not Redeemable</w:t>
            </w:r>
          </w:p>
        </w:tc>
        <w:tc>
          <w:tcPr>
            <w:tcW w:w="220" w:type="dxa"/>
            <w:vAlign w:val="bottom"/>
          </w:tcPr>
          <w:p>
            <w:pPr>
              <w:spacing w:after="0"/>
              <w:rPr>
                <w:sz w:val="14"/>
                <w:szCs w:val="1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Investments Redeemable</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Frequency</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223"/>
        </w:trPr>
        <w:tc>
          <w:tcPr>
            <w:tcW w:w="20" w:type="dxa"/>
            <w:vAlign w:val="bottom"/>
          </w:tcPr>
          <w:p>
            <w:pPr>
              <w:spacing w:after="0"/>
              <w:rPr>
                <w:sz w:val="19"/>
                <w:szCs w:val="19"/>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&lt;30-120 days</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Debt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(b)</w:t>
            </w:r>
          </w:p>
        </w:tc>
        <w:tc>
          <w:tcPr>
            <w:tcW w:w="1000" w:type="dxa"/>
            <w:vAlign w:val="bottom"/>
          </w:tcPr>
          <w:p>
            <w:pPr>
              <w:spacing w:after="0"/>
              <w:rPr>
                <w:sz w:val="20"/>
                <w:szCs w:val="20"/>
                <w:color w:val="auto"/>
              </w:rPr>
            </w:pPr>
            <w:r>
              <w:rPr>
                <w:rFonts w:ascii="Arial" w:cs="Arial" w:eastAsia="Arial" w:hAnsi="Arial"/>
                <w:sz w:val="18"/>
                <w:szCs w:val="18"/>
                <w:color w:val="auto"/>
              </w:rPr>
              <w:t>30 days</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8"/>
              </w:rPr>
              <w:t>30-120 days</w:t>
            </w: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112,444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31,482</w:t>
            </w:r>
          </w:p>
        </w:tc>
        <w:tc>
          <w:tcPr>
            <w:tcW w:w="1040" w:type="dxa"/>
            <w:vAlign w:val="bottom"/>
            <w:gridSpan w:val="2"/>
          </w:tcPr>
          <w:p>
            <w:pPr>
              <w:jc w:val="right"/>
              <w:ind w:right="86"/>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179,417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 weekly (9%), monthly (38%) and quarterly (43%)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(37%) and monthly (61%)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4 of Notes to Condensed Consolidated Financial Statements for discussion of significant investment strategies for investments valued based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NAV.</w:t>
      </w:r>
    </w:p>
    <w:p>
      <w:pPr>
        <w:spacing w:after="0" w:line="16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June 30, 2013, the maximum unfunded commitments by the Company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related to (i) Corporate Partners II Limited (“CP II”), amounting to $1,940 for potential “follow-on investments” and/or for fund expenses through the earlier of February 25, 2017 or the liquidation of the fund, (ii) EGCP III, amounting to $18,500, through the earlier of October 12,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expenses (with a portion of the undrawn amount of such commitment as of that date remaining committed until October 12, 2023 in respect of “follow-on investments” and/or fund expenses) or the liquidation of the fund and (iii) COF2, amounting to $7,209, through the earlier of November 11,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fund expenses (with a portion of the undrawn amount of such commitment as of that date remaining committed until November 11, 2019 in respect of “follow-on investments” and/or fund expenses) or the liquidation of the fund.</w:t>
      </w:r>
    </w:p>
    <w:p>
      <w:pPr>
        <w:spacing w:after="0" w:line="26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 other”, depending on the nature of the underlying item, on the consolidated statements of operations.</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awards and other similar deferred compensation arrangements, which are reported in “revenue-other” in the consolidated statements of operations.</w:t>
      </w:r>
    </w:p>
    <w:p>
      <w:pPr>
        <w:spacing w:after="0" w:line="11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Lazard Fund Interests and other similar deferred compensation arrangements (see Note 12 of Notes to Condensed Consolidated Financial Statements) on the accompanying condensed consolidated statements of financial condition as of June 30, 2013 and December 31,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82"/>
              </w:rPr>
              <w:t>June 30,</w:t>
            </w:r>
          </w:p>
        </w:tc>
        <w:tc>
          <w:tcPr>
            <w:tcW w:w="3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6,947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Equity and fixed income swaps (a)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151,225</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152,514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102,492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equity and fixed income swaps, amounts represent the netting of gross derivative assets and liabilities of $6,332 and $11 as of June 30, 2013, respectively, and $0 and $4,342 as of December 31, 2012, respectively, for contracts with the same counterparty under legally enforceable master netting agreements. Such amounts are recorded “net” in “other assets”, with receivables for net cash collateral under such contracts of $4,574 and $15,304 as of June 30, 2013 and December 31, 2012, respectively.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condensed consolidated statements of operations for the three month and six month periods ended June 30, 2013 and 2012,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w w:val="99"/>
              </w:rPr>
              <w:t>Three Months Ended</w:t>
            </w:r>
          </w:p>
        </w:tc>
        <w:tc>
          <w:tcPr>
            <w:tcW w:w="42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$(1,626)</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$ 3,605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w w:val="88"/>
              </w:rPr>
              <w:t>Lazard Fund Interests and other similar deferred compensation arrangements</w:t>
            </w:r>
          </w:p>
        </w:tc>
        <w:tc>
          <w:tcPr>
            <w:tcW w:w="3260" w:type="dxa"/>
            <w:vAlign w:val="bottom"/>
            <w:gridSpan w:val="3"/>
          </w:tcPr>
          <w:p>
            <w:pPr>
              <w:jc w:val="right"/>
              <w:ind w:right="440"/>
              <w:spacing w:after="0"/>
              <w:rPr>
                <w:sz w:val="20"/>
                <w:szCs w:val="20"/>
                <w:color w:val="auto"/>
              </w:rPr>
            </w:pPr>
            <w:r>
              <w:rPr>
                <w:rFonts w:ascii="Arial" w:cs="Arial" w:eastAsia="Arial" w:hAnsi="Arial"/>
                <w:sz w:val="18"/>
                <w:szCs w:val="18"/>
                <w:color w:val="auto"/>
              </w:rPr>
              <w:t>3,477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2,856</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(248)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2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$ 4,951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$ 1,969</w:t>
            </w:r>
          </w:p>
        </w:tc>
        <w:tc>
          <w:tcPr>
            <w:tcW w:w="26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60" w:type="dxa"/>
            <w:vAlign w:val="bottom"/>
            <w:vMerge w:val="restart"/>
          </w:tcPr>
          <w:p>
            <w:pPr>
              <w:jc w:val="right"/>
              <w:ind w:right="1892"/>
              <w:spacing w:after="0"/>
              <w:rPr>
                <w:sz w:val="20"/>
                <w:szCs w:val="20"/>
                <w:color w:val="auto"/>
              </w:rPr>
            </w:pPr>
            <w:r>
              <w:rPr>
                <w:rFonts w:ascii="Arial" w:cs="Arial" w:eastAsia="Arial" w:hAnsi="Arial"/>
                <w:sz w:val="18"/>
                <w:szCs w:val="18"/>
                <w:color w:val="auto"/>
              </w:rPr>
              <w:t>19</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2013 and December 31, 2012, property consisted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Estimated</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6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9"/>
              </w:rPr>
              <w:t>June 30,</w:t>
            </w: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$165,106</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166,560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680" w:type="dxa"/>
            <w:vAlign w:val="bottom"/>
          </w:tcPr>
          <w:p>
            <w:pPr>
              <w:jc w:val="right"/>
              <w:spacing w:after="0"/>
              <w:rPr>
                <w:sz w:val="20"/>
                <w:szCs w:val="20"/>
                <w:color w:val="auto"/>
              </w:rPr>
            </w:pPr>
            <w:r>
              <w:rPr>
                <w:rFonts w:ascii="Arial" w:cs="Arial" w:eastAsia="Arial" w:hAnsi="Arial"/>
                <w:sz w:val="18"/>
                <w:szCs w:val="18"/>
                <w:color w:val="auto"/>
              </w:rPr>
              <w:t>156,915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143,408</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135,768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122,124</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18,801</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474,435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450,893</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232,487</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225,861</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241,948</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225,032</w:t>
            </w:r>
          </w:p>
        </w:tc>
        <w:tc>
          <w:tcPr>
            <w:tcW w:w="8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2013 and December 31, 2012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$348,549</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364,328</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26,658</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375,207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392,822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 June 30, 2013 and December 31, 2012, goodwill of $284,008 and $299,787,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2013 and 2012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3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$364,328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Business acquisition</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Balance, June 30</w:t>
            </w:r>
          </w:p>
        </w:tc>
        <w:tc>
          <w:tcPr>
            <w:tcW w:w="3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gridSpan w:val="2"/>
            <w:vMerge w:val="continue"/>
          </w:tcPr>
          <w:p>
            <w:pPr>
              <w:spacing w:after="0"/>
              <w:rPr>
                <w:sz w:val="19"/>
                <w:szCs w:val="19"/>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348,549</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360,993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40" w:type="dxa"/>
            <w:vAlign w:val="bottom"/>
            <w:vMerge w:val="restart"/>
          </w:tcPr>
          <w:p>
            <w:pPr>
              <w:jc w:val="right"/>
              <w:ind w:right="2572"/>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240" w:top="459" w:right="8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2013 and December 31, 2012,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 2013</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Amortization</w:t>
            </w: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$20,014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33,080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26,436</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6,644</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24,603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63,820</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26,658</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63,775</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28,494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2013 was $1,004 and $1,881, respectively, and for the three month and six month periods ended June 30, 2012 was $2,560 and $3,678, respectively. Estimated future amortization expense is as follows: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3740" w:type="dxa"/>
            <w:vAlign w:val="bottom"/>
            <w:gridSpan w:val="4"/>
          </w:tcPr>
          <w:p>
            <w:pPr>
              <w:ind w:left="28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20" w:type="dxa"/>
            <w:vAlign w:val="bottom"/>
            <w:gridSpan w:val="4"/>
            <w:vMerge w:val="continue"/>
          </w:tcPr>
          <w:p>
            <w:pPr>
              <w:spacing w:after="0"/>
              <w:rPr>
                <w:sz w:val="12"/>
                <w:szCs w:val="12"/>
                <w:color w:val="auto"/>
              </w:rPr>
            </w:pPr>
          </w:p>
        </w:tc>
        <w:tc>
          <w:tcPr>
            <w:tcW w:w="286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2013 (July 1 through December 31)</w:t>
            </w:r>
          </w:p>
        </w:tc>
        <w:tc>
          <w:tcPr>
            <w:tcW w:w="2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6,761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06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was comprised of the following as of June 30, 2013 and December 31, 2012: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Annual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81"/>
              <w:spacing w:after="0" w:line="129" w:lineRule="exact"/>
              <w:rPr>
                <w:sz w:val="20"/>
                <w:szCs w:val="20"/>
                <w:color w:val="auto"/>
              </w:rPr>
            </w:pPr>
            <w:r>
              <w:rPr>
                <w:rFonts w:ascii="Arial" w:cs="Arial" w:eastAsia="Arial" w:hAnsi="Arial"/>
                <w:sz w:val="14"/>
                <w:szCs w:val="14"/>
                <w:b w:val="1"/>
                <w:bCs w:val="1"/>
                <w:color w:val="auto"/>
                <w:w w:val="92"/>
              </w:rPr>
              <w:t>June 30,</w:t>
            </w: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18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5/15/15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600,000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6/15/17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9/25/15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52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June 30, 2013, the annual interest rate for a loan accruing interest (based on the Federal Funds overnight rate), including the applicable margin, was 0.84%. At June 30, 2013 and December 31, 2012, no amounts were outstanding under the Credit Facility.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June 30, 2013, the Company was in compliance with such provisions. All of the Company’s senior debt obligations are unsecured.</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June 30, 2013, the Company had approximately $262,000 in unused lines of credit available to it, including the Credit Facility, and unused lines of credit available to LFB of approximately $52,000 (at June 30, 2013 exchange rates) and Edgewater of $55,000. In addition, LFB has access to the Eurosystem Covered Bond Purchase Program of the Banque de France.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senior debt at June 30, 2013 and December 31, 2012 is carried at historical amounts. At those dates, the fair value of such senior debt outstanding was approximately $1,180,000 and $1,207,000, respectively, and exceeded the aggregate carrying value by approximately $103,000 and $130,000, respectively. The fair value of the Company’s senior debt was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2013, LFB had $4,679 of such indemnifications and held $3,837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June 30, 2013 and December 31, 2012, 1,371,992 and 1,209,154 shares, respectively, have been earned because applicable performance thresholds have been satisfied. Such shares are no longer subject to any contingencies. As of December 31, 2012, 686,004 of such shares have been settled, and no additional shares have been settled as of June 30,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Consideration Relating To Other Business Acquisitions</w:t>
      </w:r>
      <w:r>
        <w:rPr>
          <w:rFonts w:ascii="Arial" w:cs="Arial" w:eastAsia="Arial" w:hAnsi="Arial"/>
          <w:sz w:val="18"/>
          <w:szCs w:val="18"/>
          <w:color w:val="auto"/>
        </w:rPr>
        <w:t>—For a business acquired in 2013, the Company is obligated to issue a maximum of 107,617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Class A common stock if certain performance thresholds are achieved.</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business acquired in 2012, at December 31, 2012, 170,988 shares of Class A 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business acquired in 2011, the Company is obligated to pay earnout consideration if certain performance thresholds are achieved. The maximum potential earnout consideration payable by the Company cannot exceed $7,000. Through June 30, 2013, no cash payments relating to the earnout consideration were required.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June 30, 2013, these commitments were not material.</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June 30, 2013, LFB had no such underwriting commitments.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 periods ended June 30, 2013 and 2012,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 (none of which related to tax distributions):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8"/>
                <w:szCs w:val="18"/>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Subsidiaries of Lazard Ltd</w:t>
            </w:r>
          </w:p>
        </w:tc>
        <w:tc>
          <w:tcPr>
            <w:tcW w:w="3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30,338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43,011</w:t>
            </w:r>
          </w:p>
        </w:tc>
        <w:tc>
          <w:tcPr>
            <w:tcW w:w="10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30,725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45,427</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Exchanges of Lazard Group Common Membership Interests</w:t>
      </w:r>
      <w:r>
        <w:rPr>
          <w:rFonts w:ascii="Arial" w:cs="Arial" w:eastAsia="Arial" w:hAnsi="Arial"/>
          <w:sz w:val="16"/>
          <w:szCs w:val="16"/>
          <w:color w:val="auto"/>
        </w:rPr>
        <w:t>—During the six month periods ended June 30, 2013 and 2012, Lazard Ltd issued 839,658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186,701 shares of Class A common stock, respectively, in connection with the exchanges of a like number of Lazard Group common membership interests (received from members of LAZ-MD Holdings in exchange for a like number of LAZ-MD Holdings exchangeable interests).</w:t>
      </w:r>
    </w:p>
    <w:p>
      <w:pPr>
        <w:spacing w:after="0" w:line="10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February 2011, October 2011, April 2012 and October 2012 the Board of Directors of Lazard Ltd authorized,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cumulative basis, the repurchase of up to $250,000, $125,000, $125,000 and $200,000,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During the six month period ended June 30, 2013, the Company made purchases of 1,434,657 Class A common shares, at an aggregate cost of $50,447 (no Lazard Group common membership interests were purchased during such six month period).</w:t>
      </w:r>
    </w:p>
    <w:p>
      <w:pPr>
        <w:spacing w:after="0" w:line="12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As of June 30, 2013, $103,619 of the current share repurchase amount authorized as of such date remained available under the share repurchase program, all of which expires December 31, 2014. In addition, under the terms of the 2005 Plan and the 2008 Plan, upon the vesting of restricted stock units (“RSUs”), performance-based restricted stock units (“PRSUs”) and delivery of restricted Class A common stock, shares of Class A common stock may be withheld by the Company to cover its minimum statutory tax withholding requirements (see Note 12 of Notes to Condensed Consolidated Financial Statements).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 below reflects the components of AOCI at June 30, 2013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 during the six month period then ended: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66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Interest</w:t>
            </w:r>
          </w:p>
        </w:tc>
        <w:tc>
          <w:tcPr>
            <w:tcW w:w="40" w:type="dxa"/>
            <w:vAlign w:val="bottom"/>
          </w:tcPr>
          <w:p>
            <w:pPr>
              <w:spacing w:after="0"/>
              <w:rPr>
                <w:sz w:val="12"/>
                <w:szCs w:val="12"/>
                <w:color w:val="auto"/>
              </w:rPr>
            </w:pPr>
          </w:p>
        </w:tc>
        <w:tc>
          <w:tcPr>
            <w:tcW w:w="96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87"/>
              </w:rPr>
              <w:t>Employee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right"/>
              <w:ind w:right="29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8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66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Rate</w:t>
            </w:r>
          </w:p>
        </w:tc>
        <w:tc>
          <w:tcPr>
            <w:tcW w:w="40" w:type="dxa"/>
            <w:vAlign w:val="bottom"/>
          </w:tcPr>
          <w:p>
            <w:pPr>
              <w:spacing w:after="0"/>
              <w:rPr>
                <w:sz w:val="12"/>
                <w:szCs w:val="12"/>
                <w:color w:val="auto"/>
              </w:rPr>
            </w:pPr>
          </w:p>
        </w:tc>
        <w:tc>
          <w:tcPr>
            <w:tcW w:w="96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88"/>
              </w:rPr>
              <w:t>Benefit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38"/>
              <w:spacing w:after="0" w:line="149" w:lineRule="exact"/>
              <w:rPr>
                <w:sz w:val="20"/>
                <w:szCs w:val="20"/>
                <w:color w:val="auto"/>
              </w:rPr>
            </w:pPr>
            <w:r>
              <w:rPr>
                <w:rFonts w:ascii="Arial" w:cs="Arial" w:eastAsia="Arial" w:hAnsi="Arial"/>
                <w:sz w:val="14"/>
                <w:szCs w:val="14"/>
                <w:b w:val="1"/>
                <w:bCs w:val="1"/>
                <w:color w:val="auto"/>
              </w:rPr>
              <w:t>Total</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6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84"/>
              </w:rPr>
              <w:t>Hedge</w:t>
            </w:r>
          </w:p>
        </w:tc>
        <w:tc>
          <w:tcPr>
            <w:tcW w:w="40" w:type="dxa"/>
            <w:vAlign w:val="bottom"/>
          </w:tcPr>
          <w:p>
            <w:pPr>
              <w:spacing w:after="0"/>
              <w:rPr>
                <w:sz w:val="14"/>
                <w:szCs w:val="14"/>
                <w:color w:val="auto"/>
              </w:rPr>
            </w:pPr>
          </w:p>
        </w:tc>
        <w:tc>
          <w:tcPr>
            <w:tcW w:w="96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80"/>
              </w:rPr>
              <w:t>Plans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18"/>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80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(128,536</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(92,381</w:t>
            </w:r>
          </w:p>
        </w:tc>
        <w:tc>
          <w:tcPr>
            <w:tcW w:w="300" w:type="dxa"/>
            <w:vAlign w:val="bottom"/>
            <w:tcBorders>
              <w:top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Activity January 1 to June 30, 2013: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(20,964)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color w:val="auto"/>
              </w:rPr>
              <w:t>(2,719)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(23,683)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(23,617)</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8"/>
              <w:spacing w:after="0"/>
              <w:rPr>
                <w:sz w:val="20"/>
                <w:szCs w:val="20"/>
                <w:color w:val="auto"/>
              </w:rPr>
            </w:pPr>
            <w:r>
              <w:rPr>
                <w:rFonts w:ascii="Arial" w:cs="Arial" w:eastAsia="Arial" w:hAnsi="Arial"/>
                <w:sz w:val="18"/>
                <w:szCs w:val="18"/>
                <w:color w:val="auto"/>
              </w:rPr>
              <w:t>527</w:t>
            </w:r>
          </w:p>
        </w:tc>
        <w:tc>
          <w:tcPr>
            <w:tcW w:w="1000" w:type="dxa"/>
            <w:vAlign w:val="bottom"/>
            <w:gridSpan w:val="3"/>
          </w:tcPr>
          <w:p>
            <w:pPr>
              <w:jc w:val="right"/>
              <w:ind w:right="138"/>
              <w:spacing w:after="0"/>
              <w:rPr>
                <w:sz w:val="20"/>
                <w:szCs w:val="20"/>
                <w:color w:val="auto"/>
              </w:rPr>
            </w:pPr>
            <w:r>
              <w:rPr>
                <w:rFonts w:ascii="Arial" w:cs="Arial" w:eastAsia="Arial" w:hAnsi="Arial"/>
                <w:sz w:val="18"/>
                <w:szCs w:val="18"/>
                <w:color w:val="auto"/>
              </w:rPr>
              <w:t>2,430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Arial" w:cs="Arial" w:eastAsia="Arial" w:hAnsi="Arial"/>
                <w:sz w:val="18"/>
                <w:szCs w:val="18"/>
                <w:color w:val="auto"/>
              </w:rPr>
              <w:t>2,957</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(20,964)</w:t>
            </w:r>
          </w:p>
        </w:tc>
        <w:tc>
          <w:tcPr>
            <w:tcW w:w="74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527</w:t>
            </w:r>
          </w:p>
        </w:tc>
        <w:tc>
          <w:tcPr>
            <w:tcW w:w="100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(20,726)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Balance, June 30, 2013</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(1,975)</w:t>
            </w:r>
          </w:p>
        </w:tc>
        <w:tc>
          <w:tcPr>
            <w:tcW w:w="1000" w:type="dxa"/>
            <w:vAlign w:val="bottom"/>
            <w:gridSpan w:val="3"/>
          </w:tcPr>
          <w:p>
            <w:pPr>
              <w:jc w:val="right"/>
              <w:ind w:right="78"/>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(128,825)</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158"/>
              <w:spacing w:after="0"/>
              <w:rPr>
                <w:sz w:val="20"/>
                <w:szCs w:val="20"/>
                <w:color w:val="auto"/>
              </w:rPr>
            </w:pPr>
            <w:r>
              <w:rPr>
                <w:rFonts w:ascii="Arial" w:cs="Arial" w:eastAsia="Arial" w:hAnsi="Arial"/>
                <w:sz w:val="18"/>
                <w:szCs w:val="18"/>
                <w:color w:val="auto"/>
                <w:w w:val="88"/>
              </w:rPr>
              <w:t>(113,107)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(113,053)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reflects adjustments for items reclassified out of AOCI, by component, for the three month and six month periods ended June 30,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89"/>
              </w:rPr>
              <w:t>Three Months Ended</w:t>
            </w:r>
          </w:p>
        </w:tc>
        <w:tc>
          <w:tcPr>
            <w:tcW w:w="14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Six Months Ended</w:t>
            </w:r>
          </w:p>
        </w:tc>
        <w:tc>
          <w:tcPr>
            <w:tcW w:w="7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18"/>
              <w:spacing w:after="0"/>
              <w:rPr>
                <w:sz w:val="20"/>
                <w:szCs w:val="20"/>
                <w:color w:val="auto"/>
              </w:rPr>
            </w:pPr>
            <w:r>
              <w:rPr>
                <w:rFonts w:ascii="Arial" w:cs="Arial" w:eastAsia="Arial" w:hAnsi="Arial"/>
                <w:sz w:val="14"/>
                <w:szCs w:val="14"/>
                <w:b w:val="1"/>
                <w:bCs w:val="1"/>
                <w:color w:val="auto"/>
                <w:w w:val="99"/>
              </w:rPr>
              <w:t>June 30,</w:t>
            </w:r>
          </w:p>
        </w:tc>
        <w:tc>
          <w:tcPr>
            <w:tcW w:w="7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r>
      <w:tr>
        <w:trPr>
          <w:trHeight w:val="221"/>
        </w:trPr>
        <w:tc>
          <w:tcPr>
            <w:tcW w:w="6820" w:type="dxa"/>
            <w:vAlign w:val="bottom"/>
            <w:gridSpan w:val="3"/>
          </w:tcPr>
          <w:p>
            <w:pPr>
              <w:spacing w:after="0"/>
              <w:rPr>
                <w:sz w:val="20"/>
                <w:szCs w:val="20"/>
                <w:color w:val="auto"/>
              </w:rPr>
            </w:pPr>
            <w:r>
              <w:rPr>
                <w:rFonts w:ascii="Arial" w:cs="Arial" w:eastAsia="Arial" w:hAnsi="Arial"/>
                <w:sz w:val="18"/>
                <w:szCs w:val="18"/>
                <w:color w:val="auto"/>
              </w:rPr>
              <w:t>Amortization expense relating to employee benefit plans</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1,612</w:t>
            </w:r>
          </w:p>
        </w:tc>
        <w:tc>
          <w:tcPr>
            <w:tcW w:w="1480" w:type="dxa"/>
            <w:vAlign w:val="bottom"/>
          </w:tcPr>
          <w:p>
            <w:pPr>
              <w:ind w:left="2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3,232</w:t>
            </w:r>
          </w:p>
        </w:tc>
        <w:tc>
          <w:tcPr>
            <w:tcW w:w="780" w:type="dxa"/>
            <w:vAlign w:val="bottom"/>
          </w:tcPr>
          <w:p>
            <w:pPr>
              <w:ind w:left="40"/>
              <w:spacing w:after="0"/>
              <w:rPr>
                <w:sz w:val="20"/>
                <w:szCs w:val="20"/>
                <w:color w:val="auto"/>
              </w:rPr>
            </w:pPr>
            <w:r>
              <w:rPr>
                <w:rFonts w:ascii="Arial" w:cs="Arial" w:eastAsia="Arial" w:hAnsi="Arial"/>
                <w:sz w:val="18"/>
                <w:szCs w:val="18"/>
                <w:color w:val="auto"/>
              </w:rPr>
              <w:t>(b)</w:t>
            </w:r>
          </w:p>
        </w:tc>
      </w:tr>
      <w:tr>
        <w:trPr>
          <w:trHeight w:val="218"/>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780" w:type="dxa"/>
            <w:vAlign w:val="bottom"/>
            <w:shd w:val="clear" w:color="auto" w:fill="CCEEFF"/>
          </w:tcPr>
          <w:p>
            <w:pPr>
              <w:spacing w:after="0"/>
              <w:rPr>
                <w:sz w:val="18"/>
                <w:szCs w:val="18"/>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7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1,475</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7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statements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2013 and 2012 and noncontrolling interests as of June 30, 2013 and December 31, 2012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8"/>
          </w:tcPr>
          <w:p>
            <w:pPr>
              <w:jc w:val="right"/>
              <w:spacing w:after="0"/>
              <w:rPr>
                <w:sz w:val="20"/>
                <w:szCs w:val="20"/>
                <w:color w:val="auto"/>
              </w:rPr>
            </w:pPr>
            <w:r>
              <w:rPr>
                <w:rFonts w:ascii="Arial" w:cs="Arial" w:eastAsia="Arial" w:hAnsi="Arial"/>
                <w:sz w:val="14"/>
                <w:szCs w:val="14"/>
                <w:b w:val="1"/>
                <w:bCs w:val="1"/>
                <w:color w:val="auto"/>
              </w:rPr>
              <w:t>Net Income (Loss) Attributable To</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0"/>
              </w:rPr>
              <w:t>Noncontrolling Interests</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6"/>
          </w:tcPr>
          <w:p>
            <w:pPr>
              <w:jc w:val="right"/>
              <w:ind w:right="520"/>
              <w:spacing w:after="0" w:line="129"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5"/>
          </w:tcPr>
          <w:p>
            <w:pPr>
              <w:jc w:val="right"/>
              <w:ind w:right="317"/>
              <w:spacing w:after="0" w:line="129"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82"/>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3"/>
              </w:rPr>
              <w:t>2013</w:t>
            </w:r>
          </w:p>
        </w:tc>
        <w:tc>
          <w:tcPr>
            <w:tcW w:w="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2,653</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9"/>
          </w:tcPr>
          <w:p>
            <w:pPr>
              <w:ind w:left="380"/>
              <w:spacing w:after="0"/>
              <w:rPr>
                <w:sz w:val="20"/>
                <w:szCs w:val="20"/>
                <w:color w:val="auto"/>
              </w:rPr>
            </w:pPr>
            <w:r>
              <w:rPr>
                <w:rFonts w:ascii="Arial" w:cs="Arial" w:eastAsia="Arial" w:hAnsi="Arial"/>
                <w:sz w:val="14"/>
                <w:szCs w:val="14"/>
                <w:b w:val="1"/>
                <w:bCs w:val="1"/>
                <w:color w:val="auto"/>
              </w:rPr>
              <w:t>Noncontrolling Interests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40" w:type="dxa"/>
            <w:vAlign w:val="bottom"/>
            <w:tcBorders>
              <w:bottom w:val="single" w:sz="8" w:color="CCEEFF"/>
            </w:tcBorders>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$71,020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289</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71,309</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six month periods ended June 30, 2013 and 2012,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“professional services” expense (with respect to deferred stock units (“DSUs”)) within the Company’s accompanying condensed consolidated statements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8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5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7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RSUs (a)</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$52,147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$63,428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82"/>
              </w:rPr>
              <w:t>$ 117,089</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$145,319</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2,433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580" w:type="dxa"/>
            <w:vAlign w:val="bottom"/>
          </w:tcPr>
          <w:p>
            <w:pPr>
              <w:jc w:val="right"/>
              <w:spacing w:after="0"/>
              <w:rPr>
                <w:sz w:val="20"/>
                <w:szCs w:val="20"/>
                <w:color w:val="auto"/>
              </w:rPr>
            </w:pPr>
            <w:r>
              <w:rPr>
                <w:rFonts w:ascii="Arial" w:cs="Arial" w:eastAsia="Arial" w:hAnsi="Arial"/>
                <w:sz w:val="18"/>
                <w:szCs w:val="18"/>
                <w:color w:val="auto"/>
              </w:rPr>
              <w:t>1,824</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1,704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7,085</w:t>
            </w:r>
          </w:p>
        </w:tc>
        <w:tc>
          <w:tcPr>
            <w:tcW w:w="660" w:type="dxa"/>
            <w:vAlign w:val="bottom"/>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8"/>
                <w:szCs w:val="18"/>
                <w:color w:val="auto"/>
              </w:rPr>
            </w:pPr>
          </w:p>
        </w:tc>
      </w:tr>
      <w:tr>
        <w:trPr>
          <w:trHeight w:val="230"/>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56,667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65,741</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127,344</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151,842</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4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during the three month and six month periods ended June 30, 2013, $4,644 and $9,099, respectively, relating to the Cost Saving Initiatives (see Note 14 of Notes to Condensed Consolidated Financial Statements).</w:t>
      </w: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during the three month and six month periods ended June 30, 2013, $14 and $247, respectively, relating to the Cost Saving Initiatives.</w:t>
      </w:r>
    </w:p>
    <w:p>
      <w:pPr>
        <w:spacing w:after="0" w:line="188"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ordinary quarterly dividends paid on Class A common stock during such period. During the six month periods ended June 30, 2013 and 2012, dividend participation rights required the issuance of 131,669 and 310,756 RSUs, respectively.</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receive approximately 55% of their annual compensation for service on the Board of Directors and its committees in the form of DSUs, which resulted in 39,315 and 49,735 DSUs granted during the six month periods ended June 30, 2013 and 2012, respectively. Their remaining compensation is payable in cash, which they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may elect to receive in the form of additional DSUs under the Directors’ Fee Deferral Unit Plan described below. DSUs are convertible into Class A common stock at the time of cessation of service to the Board. DSUs include a cash dividend participation right equivalent to any ordinary quarterly dividends paid on Class A common stock, and resulted in nominal cash payments for the six month periods ended June 30, 2013 and 2012.</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six month periods ended June 30, 2013 and 2012, 3,916 and 5,489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2013 and 2012:</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140" w:type="dxa"/>
            <w:vAlign w:val="bottom"/>
            <w:gridSpan w:val="4"/>
          </w:tcPr>
          <w:p>
            <w:pPr>
              <w:jc w:val="center"/>
              <w:ind w:left="17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21,481,131</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204,496</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Granted (including 131,669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4,689,312</w:t>
            </w:r>
          </w:p>
        </w:tc>
        <w:tc>
          <w:tcPr>
            <w:tcW w:w="3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36.95</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43,231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(223,346)</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(8,589,999)</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34.99</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17,357,098</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247,727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CCEEFF"/>
          </w:tcPr>
          <w:p>
            <w:pPr>
              <w:spacing w:after="0"/>
              <w:rPr>
                <w:sz w:val="18"/>
                <w:szCs w:val="18"/>
                <w:color w:val="auto"/>
              </w:rPr>
            </w:pPr>
          </w:p>
        </w:tc>
      </w:tr>
      <w:tr>
        <w:trPr>
          <w:trHeight w:val="20"/>
        </w:trPr>
        <w:tc>
          <w:tcPr>
            <w:tcW w:w="62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22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20,751,829</w:t>
            </w:r>
          </w:p>
        </w:tc>
        <w:tc>
          <w:tcPr>
            <w:tcW w:w="32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36.84</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140,660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310,756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7,847,541</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(311,601)</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35.46</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(3,631,932)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Balance, June 30, 2012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24,655,837</w:t>
            </w:r>
          </w:p>
        </w:tc>
        <w:tc>
          <w:tcPr>
            <w:tcW w:w="320" w:type="dxa"/>
            <w:vAlign w:val="bottom"/>
          </w:tcPr>
          <w:p>
            <w:pPr>
              <w:spacing w:after="0"/>
              <w:rPr>
                <w:sz w:val="19"/>
                <w:szCs w:val="19"/>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34.32</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195,884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In connection with RSUs which vested during the six month periods ended June 30, 2013 and 2012, the Company satisfied its minimum statutory tax withholding requirements in lieu of issuing 3,309,900 and 967,828 shares of Class A common stock in the respective six month periods. Accordingly, 5,280,099 and 2,664,104 shares of Class A common stock held by the Company were delivered during the six month periods ended June 30, 2013 and 2012, respectively.</w:t>
      </w:r>
    </w:p>
    <w:p>
      <w:pPr>
        <w:spacing w:after="0" w:line="88"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During the fourth quarter of 2012, 958,213 RSUs were modified through forward purchase agreements into liability awards. Such liability awards were settled on March 1, 2013 for $28,612. During the six month period ended June 30, 2013, compensation expense of $1,690 was recorded for such liability awards.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June 30, 2013, unrecognized RSU compensation expense, adjusted for estimated forfeitures, was approximately $236,000, with such unrecognized compensation expense expected to be recognized over a weighted average period of approximately 1.5 years subsequent to June 30, 2013.</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2013 and 2012:</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(35,183)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(1,727,121)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579,041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80" w:type="dxa"/>
            <w:vAlign w:val="bottom"/>
            <w:shd w:val="clear" w:color="auto" w:fill="CCEEFF"/>
          </w:tcPr>
          <w:p>
            <w:pPr>
              <w:spacing w:after="0"/>
              <w:rPr>
                <w:sz w:val="18"/>
                <w:szCs w:val="18"/>
                <w:color w:val="auto"/>
              </w:rPr>
            </w:pPr>
          </w:p>
        </w:tc>
      </w:tr>
      <w:tr>
        <w:trPr>
          <w:trHeight w:val="20"/>
        </w:trPr>
        <w:tc>
          <w:tcPr>
            <w:tcW w:w="70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2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820" w:type="dxa"/>
            <w:vAlign w:val="bottom"/>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Granted/Exchanged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577,323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(18,921)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(131,743)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80" w:type="dxa"/>
            <w:vAlign w:val="bottom"/>
            <w:shd w:val="clear" w:color="auto" w:fill="CCEEFF"/>
          </w:tcPr>
          <w:p>
            <w:pPr>
              <w:spacing w:after="0"/>
              <w:rPr>
                <w:sz w:val="18"/>
                <w:szCs w:val="18"/>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Balance, June 30, 2012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521,991</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2013 and 2012, the Company satisfied its minimum statutory tax withholding requirements in lieu of delivering 17,915 and 28,129 shares of Class A common stock during the respective six month periods. Accordingly, 1,709,206 and 103,614 shares of Class A common stock held by the Company were delivered during the six month periods ended June 30, 2013 and 2012, respectively.</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June 30, 2013, unrecognized restricted stock expense was approximately $11,000, with such expense to be recognized over a weighted average period of approximately 1.7 years subsequent to June 30, 2013.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During the six month period ended June 30, 2013, the Company granted 448,128 PRSUs. The 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the three-year period beginning on January 1, 2012 and ending on December 31,</w:t>
      </w:r>
    </w:p>
    <w:p>
      <w:pPr>
        <w:spacing w:after="0" w:line="1" w:lineRule="exact"/>
        <w:rPr>
          <w:sz w:val="20"/>
          <w:szCs w:val="20"/>
          <w:color w:val="auto"/>
        </w:rPr>
      </w:pPr>
    </w:p>
    <w:p>
      <w:pPr>
        <w:spacing w:after="0" w:line="361" w:lineRule="auto"/>
        <w:rPr>
          <w:sz w:val="20"/>
          <w:szCs w:val="20"/>
          <w:color w:val="auto"/>
        </w:rPr>
      </w:pPr>
      <w:r>
        <w:rPr>
          <w:rFonts w:ascii="Arial" w:cs="Arial" w:eastAsia="Arial" w:hAnsi="Arial"/>
          <w:sz w:val="15"/>
          <w:szCs w:val="15"/>
          <w:color w:val="auto"/>
        </w:rPr>
        <w:t>2014. The target number of shares of Class A common stock subject to each PRSU is one; however, based on the achievement of the performance criteria, the number of shares of Class A common stock that may be received in connection with each PRSU can range from zero to three times the target number. The PRSUs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granted in 2013 will vest 33% in March 2015 and 67% in March 2016,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generally include dividend participation rights.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of $36.11 per share. As of June 30, 2013, the total estimated unrecognized compensation expense for PRSUs granted in 2013 was approximately $14,000, and the Company expects to amortize such expense over a weighted-average period of approximately 1.9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Commencing in February 2011, the Company granted Lazard Fund Interests to eligible employees.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six month periods ended June 30, 2013 and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3"/>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3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Granted</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72,217</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72,217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3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(19,107)</w:t>
            </w:r>
          </w:p>
        </w:tc>
        <w:tc>
          <w:tcPr>
            <w:tcW w:w="0" w:type="dxa"/>
            <w:vAlign w:val="bottom"/>
          </w:tcPr>
          <w:p>
            <w:pPr>
              <w:spacing w:after="0"/>
              <w:rPr>
                <w:sz w:val="1"/>
                <w:szCs w:val="1"/>
                <w:color w:val="auto"/>
              </w:rPr>
            </w:pPr>
          </w:p>
        </w:tc>
      </w:tr>
      <w:tr>
        <w:trPr>
          <w:trHeight w:val="229"/>
        </w:trPr>
        <w:tc>
          <w:tcPr>
            <w:tcW w:w="458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(30,226)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458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Balance, June 30, 2013</w:t>
            </w:r>
          </w:p>
        </w:tc>
        <w:tc>
          <w:tcPr>
            <w:tcW w:w="3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vMerge w:val="continue"/>
          </w:tcPr>
          <w:p>
            <w:pPr>
              <w:spacing w:after="0"/>
              <w:rPr>
                <w:sz w:val="19"/>
                <w:szCs w:val="19"/>
                <w:color w:val="auto"/>
              </w:rPr>
            </w:pPr>
          </w:p>
        </w:tc>
        <w:tc>
          <w:tcPr>
            <w:tcW w:w="34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88,355</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151,225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320" w:type="dxa"/>
            <w:vAlign w:val="bottom"/>
            <w:vMerge w:val="restart"/>
          </w:tcPr>
          <w:p>
            <w:pPr>
              <w:jc w:val="right"/>
              <w:ind w:right="2472"/>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7"/>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0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64,631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64,631</w:t>
            </w: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(8,641)</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(993)</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(16,985)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Decrease in fair value of underlying investments</w:t>
            </w:r>
          </w:p>
        </w:tc>
        <w:tc>
          <w:tcPr>
            <w:tcW w:w="14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Balance, June 30,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65,399</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85,641</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1.9 years subsequent to June 30, 2013.</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is a summary of the impact of Lazard Fund Interests and other similar deferred compensation arrangements on “compensation and benefits” expense within the accompanying condensed consolidated statements of operations for the three month and six month periods ended June 30, 2013 and 2012: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Compensation expense:</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gridSpan w:val="2"/>
          </w:tcPr>
          <w:p>
            <w:pPr>
              <w:ind w:left="440"/>
              <w:spacing w:after="0"/>
              <w:rPr>
                <w:sz w:val="20"/>
                <w:szCs w:val="20"/>
                <w:color w:val="auto"/>
              </w:rPr>
            </w:pPr>
            <w:r>
              <w:rPr>
                <w:rFonts w:ascii="Arial" w:cs="Arial" w:eastAsia="Arial" w:hAnsi="Arial"/>
                <w:sz w:val="18"/>
                <w:szCs w:val="18"/>
                <w:color w:val="auto"/>
              </w:rPr>
              <w:t>Amortization, net of forfeitures (a)</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$19,052</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10,800</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$32,101</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$16,985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 in fair value of underlying investments</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(2,856)</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gridSpan w:val="3"/>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15,575</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7,944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32,349</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during the three month and six month periods ended June 30, 2013, $1,748 and $2,665, respectively, relating to the Cost Saving Initiatives.</w:t>
      </w:r>
    </w:p>
    <w:p>
      <w:pPr>
        <w:spacing w:after="0" w:line="31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did not make a contribution to the U.S. pension plans during the six month period ended June 30, 2013.</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agreed to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amounts in the account security arrangement at June 30, 2013 and December 31, 2012 of approximately $15,600 and $16,500, respectively, have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six month period ended June 30, 2013, the Company contributed 1 million British pounds ($1,543 at June 30, 2013 exchange rates) to these U.K. pension plans, and no contributions were required to be made to other non-U.S. pension plans.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related to the Company’s post-retirement plans for the three month and six month periods ended June 30,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Pension Plans</w:t>
            </w:r>
          </w:p>
        </w:tc>
        <w:tc>
          <w:tcPr>
            <w:tcW w:w="240" w:type="dxa"/>
            <w:vAlign w:val="bottom"/>
          </w:tcPr>
          <w:p>
            <w:pPr>
              <w:spacing w:after="0"/>
              <w:rPr>
                <w:sz w:val="14"/>
                <w:szCs w:val="14"/>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920" w:type="dxa"/>
            <w:vAlign w:val="bottom"/>
            <w:tcBorders>
              <w:top w:val="single" w:sz="8" w:color="auto"/>
              <w:bottom w:val="single" w:sz="8" w:color="auto"/>
            </w:tcBorders>
            <w:gridSpan w:val="7"/>
          </w:tcPr>
          <w:p>
            <w:pPr>
              <w:jc w:val="right"/>
              <w:ind w:right="160"/>
              <w:spacing w:after="0" w:line="142" w:lineRule="exact"/>
              <w:rPr>
                <w:sz w:val="20"/>
                <w:szCs w:val="20"/>
                <w:color w:val="auto"/>
              </w:rPr>
            </w:pPr>
            <w:r>
              <w:rPr>
                <w:rFonts w:ascii="Arial" w:cs="Arial" w:eastAsia="Arial" w:hAnsi="Arial"/>
                <w:sz w:val="14"/>
                <w:szCs w:val="14"/>
                <w:b w:val="1"/>
                <w:bCs w:val="1"/>
                <w:color w:val="auto"/>
                <w:w w:val="87"/>
              </w:rPr>
              <w:t>Three Months Ended June 30,</w:t>
            </w: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3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$ 17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$ 19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6,689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6,885</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(6,585)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(6,622)</w:t>
            </w:r>
          </w:p>
        </w:tc>
        <w:tc>
          <w:tcPr>
            <w:tcW w:w="2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Settlement loss (a)</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benefit cost</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2,025</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2,422</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920" w:type="dxa"/>
            <w:vAlign w:val="bottom"/>
            <w:vMerge w:val="restart"/>
          </w:tcPr>
          <w:p>
            <w:pPr>
              <w:jc w:val="right"/>
              <w:ind w:right="241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Pension Plans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Medical Plan</w:t>
            </w:r>
          </w:p>
        </w:tc>
      </w:tr>
      <w:tr>
        <w:trPr>
          <w:trHeight w:val="142"/>
        </w:trPr>
        <w:tc>
          <w:tcPr>
            <w:tcW w:w="5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gridSpan w:val="8"/>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Six Months Ended June 30,</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2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105</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(13,382)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(13,294)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Settlement loss (a)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benefit cost</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79"/>
              </w:rPr>
              <w:t>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135</w:t>
            </w:r>
          </w:p>
        </w:tc>
        <w:tc>
          <w:tcPr>
            <w:tcW w:w="100" w:type="dxa"/>
            <w:vAlign w:val="bottom"/>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three month period ended June 30, 2012, the Company’s pension plans in the U.S. made lump sum benefit payments in excess of the plans’ annual service and interest costs, which, under U.S. GAAP, requires that the plans’ obligations and assets be remeasured. The remeasurement of the plans resulted in the recognition of actuarial losses totaling $1,935 recorded in “other comprehensive income (loss), net of tax” (“OCI”), which, combined with a settlement loss of $886 recognized in “compensation and benefits” expense, resulted in a net charge to OCI of $1,049.</w:t>
      </w:r>
    </w:p>
    <w:p>
      <w:pPr>
        <w:spacing w:after="0" w:line="23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October 2012, the Company announced cost saving initiatives (the “Cost Saving Initiatives”) relating to the Company’s operations. These initiatives include streamlining our corporate structure and consolidating support functions; realigning our investments into areas with potential for the greatest long-term return; the settlement of certain contractual obligations; occupancy cost reduction; and creating greater flexibility to retain and attract the best people and invest in new growth areas.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Cost Saving Initiatives, the Company incurred pre-tax implementation expense, by segment, as reflected in the tables below:</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Asset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Advisory</w:t>
            </w:r>
          </w:p>
        </w:tc>
        <w:tc>
          <w:tcPr>
            <w:tcW w:w="60" w:type="dxa"/>
            <w:vAlign w:val="bottom"/>
          </w:tcPr>
          <w:p>
            <w:pPr>
              <w:spacing w:after="0"/>
              <w:rPr>
                <w:sz w:val="14"/>
                <w:szCs w:val="14"/>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6"/>
              </w:rPr>
              <w:t>Management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 Period Ended June 30, 2013:</w:t>
            </w:r>
          </w:p>
        </w:tc>
        <w:tc>
          <w:tcPr>
            <w:tcW w:w="1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840" w:type="dxa"/>
            <w:vAlign w:val="bottom"/>
            <w:gridSpan w:val="6"/>
          </w:tcPr>
          <w:p>
            <w:pPr>
              <w:jc w:val="right"/>
              <w:ind w:right="620"/>
              <w:spacing w:after="0"/>
              <w:rPr>
                <w:sz w:val="20"/>
                <w:szCs w:val="20"/>
                <w:color w:val="auto"/>
              </w:rPr>
            </w:pPr>
            <w:r>
              <w:rPr>
                <w:rFonts w:ascii="Arial" w:cs="Arial" w:eastAsia="Arial" w:hAnsi="Arial"/>
                <w:sz w:val="18"/>
                <w:szCs w:val="18"/>
                <w:color w:val="auto"/>
              </w:rPr>
              <w:t>$25,352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5"/>
          </w:tcPr>
          <w:p>
            <w:pPr>
              <w:jc w:val="right"/>
              <w:ind w:right="680"/>
              <w:spacing w:after="0"/>
              <w:rPr>
                <w:sz w:val="20"/>
                <w:szCs w:val="20"/>
                <w:color w:val="auto"/>
              </w:rPr>
            </w:pPr>
            <w:r>
              <w:rPr>
                <w:rFonts w:ascii="Arial" w:cs="Arial" w:eastAsia="Arial" w:hAnsi="Arial"/>
                <w:sz w:val="18"/>
                <w:szCs w:val="18"/>
                <w:color w:val="auto"/>
              </w:rPr>
              <w:t>$  1,376</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3"/>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5"/>
            <w:shd w:val="clear" w:color="auto" w:fill="CCEEFF"/>
          </w:tcPr>
          <w:p>
            <w:pPr>
              <w:jc w:val="right"/>
              <w:ind w:right="680"/>
              <w:spacing w:after="0"/>
              <w:rPr>
                <w:sz w:val="20"/>
                <w:szCs w:val="20"/>
                <w:color w:val="auto"/>
              </w:rPr>
            </w:pPr>
            <w:r>
              <w:rPr>
                <w:rFonts w:ascii="Arial" w:cs="Arial" w:eastAsia="Arial" w:hAnsi="Arial"/>
                <w:sz w:val="18"/>
                <w:szCs w:val="18"/>
                <w:color w:val="auto"/>
              </w:rPr>
              <w:t>11,241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vMerge w:val="continue"/>
          </w:tcPr>
          <w:p>
            <w:pPr>
              <w:spacing w:after="0"/>
              <w:rPr>
                <w:sz w:val="19"/>
                <w:szCs w:val="19"/>
                <w:color w:val="auto"/>
              </w:rPr>
            </w:pPr>
          </w:p>
        </w:tc>
        <w:tc>
          <w:tcPr>
            <w:tcW w:w="2840" w:type="dxa"/>
            <w:vAlign w:val="bottom"/>
            <w:gridSpan w:val="6"/>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5"/>
          </w:tcPr>
          <w:p>
            <w:pPr>
              <w:jc w:val="right"/>
              <w:ind w:right="680"/>
              <w:spacing w:after="0"/>
              <w:rPr>
                <w:sz w:val="20"/>
                <w:szCs w:val="20"/>
                <w:color w:val="auto"/>
              </w:rPr>
            </w:pPr>
            <w:r>
              <w:rPr>
                <w:rFonts w:ascii="Arial" w:cs="Arial" w:eastAsia="Arial" w:hAnsi="Arial"/>
                <w:sz w:val="18"/>
                <w:szCs w:val="18"/>
                <w:color w:val="auto"/>
              </w:rPr>
              <w:t>$ 12,617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Asset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Advisory</w:t>
            </w: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Management</w:t>
            </w:r>
          </w:p>
        </w:tc>
        <w:tc>
          <w:tcPr>
            <w:tcW w:w="30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Corporate</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 Period Ended June 30, 2013:</w:t>
            </w:r>
          </w:p>
        </w:tc>
        <w:tc>
          <w:tcPr>
            <w:tcW w:w="1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$45,746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5,417</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vMerge w:val="continue"/>
          </w:tcPr>
          <w:p>
            <w:pPr>
              <w:spacing w:after="0"/>
              <w:rPr>
                <w:sz w:val="19"/>
                <w:szCs w:val="19"/>
                <w:color w:val="auto"/>
              </w:rPr>
            </w:pPr>
          </w:p>
        </w:tc>
        <w:tc>
          <w:tcPr>
            <w:tcW w:w="21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47,779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3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$ 16,689</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520" w:type="dxa"/>
            <w:vAlign w:val="bottom"/>
            <w:vMerge w:val="restart"/>
          </w:tcPr>
          <w:p>
            <w:pPr>
              <w:jc w:val="right"/>
              <w:ind w:right="272"/>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1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Advisory</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28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Cumulative Through June 30, 2013:</w:t>
            </w:r>
          </w:p>
        </w:tc>
        <w:tc>
          <w:tcPr>
            <w:tcW w:w="6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$121,879</w:t>
            </w:r>
          </w:p>
        </w:tc>
        <w:tc>
          <w:tcPr>
            <w:tcW w:w="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12,292</w:t>
            </w:r>
          </w:p>
        </w:tc>
        <w:tc>
          <w:tcPr>
            <w:tcW w:w="1500" w:type="dxa"/>
            <w:vAlign w:val="bottom"/>
            <w:gridSpan w:val="3"/>
          </w:tcPr>
          <w:p>
            <w:pPr>
              <w:jc w:val="right"/>
              <w:ind w:right="600"/>
              <w:spacing w:after="0"/>
              <w:rPr>
                <w:sz w:val="20"/>
                <w:szCs w:val="20"/>
                <w:color w:val="auto"/>
              </w:rPr>
            </w:pPr>
            <w:r>
              <w:rPr>
                <w:rFonts w:ascii="Arial" w:cs="Arial" w:eastAsia="Arial" w:hAnsi="Arial"/>
                <w:sz w:val="18"/>
                <w:szCs w:val="18"/>
                <w:color w:val="auto"/>
              </w:rPr>
              <w:t>$ 17,215</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$151,386</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$ 125,311</w:t>
            </w:r>
          </w:p>
        </w:tc>
        <w:tc>
          <w:tcPr>
            <w:tcW w:w="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13,024</w:t>
            </w:r>
          </w:p>
        </w:tc>
        <w:tc>
          <w:tcPr>
            <w:tcW w:w="1500" w:type="dxa"/>
            <w:vAlign w:val="bottom"/>
            <w:gridSpan w:val="3"/>
          </w:tcPr>
          <w:p>
            <w:pPr>
              <w:jc w:val="right"/>
              <w:ind w:right="600"/>
              <w:spacing w:after="0"/>
              <w:rPr>
                <w:sz w:val="20"/>
                <w:szCs w:val="20"/>
                <w:color w:val="auto"/>
              </w:rPr>
            </w:pPr>
            <w:r>
              <w:rPr>
                <w:rFonts w:ascii="Arial" w:cs="Arial" w:eastAsia="Arial" w:hAnsi="Arial"/>
                <w:sz w:val="18"/>
                <w:szCs w:val="18"/>
                <w:color w:val="auto"/>
              </w:rPr>
              <w:t>$ 28,944</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167,279</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Expenses associated with the implementation of the Cost Saving Initiatives were completed during the second quarter of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related to the obligations pursuant to the Cost Saving Initiatives during the six month period ended June 30, 2013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Accrued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14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Benefits</w:t>
            </w:r>
          </w:p>
        </w:tc>
        <w:tc>
          <w:tcPr>
            <w:tcW w:w="2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New charges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51,399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13,304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64,703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Non-cash charges</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(12,007)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(3,022)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(15,029)</w:t>
            </w: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(1,162)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(41,193)</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Balance, June 30, 2013</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10,834</w:t>
            </w:r>
          </w:p>
        </w:tc>
        <w:tc>
          <w:tcPr>
            <w:tcW w:w="6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$ 56,323</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income tax provisions of $6,779 and $9,801 for the three month and six month periods ended June 30, 2013, respectively,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$10,535 and $15,369 for the three month and six month periods ended June 30, 2012, respectively, representing effective tax rates of 16.2%, 15.5%, 23.2%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19.7%, respectively. The difference between the U.S. federal statutory rate of 35.0% and the effective tax rates reflected above principally relates to (i) Lazard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primarily operating as a limited liability company in the U.S., (ii) taxes payable to foreign jurisdictions and (iii) U.S. state and local taxes (primarily UBT),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are incremental to the U.S. federal statutory tax rate.</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8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LFCM Holdings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14,232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199,133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203,892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2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For the three month and six month periods ended June 30, 2013, amounts recorded by Lazard Group relating to the administrative services agreement amounted to $300 and $932, respectively, and net referral fees for underwriting, private placement, M&amp;A and restructuring transactions under the business alliance agreement amounted to $(970) and $(470), respectively. For the three month and six month periods ended June 30, 2012, amounts recorded by Lazard Group relating to the administrative services agreement amounted to $702 and $1,515, respectively, and net referral fees for underwriting, private placement, M&amp;A and restructuring transactions under the business alliance agreement amounted to $3,552 and $4,366,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Receivables from LFCM Holdings and its subsidiaries as of June 30, 2013 and December 31, 2012 include $8,568 and $14,299, respectively, related to administrative and support services and other receivables, which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include sublease income and reimbursement of expenses incurred on behalf of LFCM Holdings, and $5,664 and $6,230, respectively, related to referral fees for underwriting and private placement transactions. Payables to LFCM Holdings and its subsidiaries at June 30, 2013 and December 31, 2012 include $4,749 and $2,943, respectively, primarily relating to referral fees for Financial Advisory transactions.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receivables from subsidiaries of Lazard Ltd at June 30, 2013 and December 31, 2012 included interest-bearing loans of $104,953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$101,833, respectively, including accrued interest thereon. Interest income relating to interest-bearing loans with subsidiaries of Lazard Ltd amounted to $1,579</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$3,121 for the three month and six month periods ended June 30, 2013, respectively, and $2,880 and $5,460 for the three month and six month periods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30, 2012, respectively.</w:t>
      </w:r>
    </w:p>
    <w:p>
      <w:pPr>
        <w:spacing w:after="0" w:line="16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As of both June 30, 2013 and December 31, 2012, Lazard Group’s payables to subsidiaries of Lazard Ltd included $3,410 in connection with Lazard Group’s prior year business acquisitions. In addition, as of June 30, 2013 and December 31, 2012, Lazard Group’s payables to subsidiaries of Lazard Ltd included interest-bearing loans, plus accrued interest thereon, of approximately $194,700 and $202,000, respectively. Such amounts at June 30, 2013 and December 31, 2012 included approximately $77,000 and $86,000, respectively, resulting from the sale in the first quarter of 2012 of an interest-bearing intercompany receivable due from a Lazard Group subsidiary to a Lazard Ltd subsidiary, which was sold at a discount to reflect arm’s-length terms, resulting in a loss to Lazard Group of $5,638. Interest expense relating to interest-bearing loans with subsidiaries of Lazard Ltd amounted to $1,948 and $3,987 for the three month and six month periods ended June 30, 2013, respectively, and $2,918 and $5,116 for the three month and six month periods ended June 30, 2012, respectively.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Other receivables and payables at June 30, 2013 and December 31, 2012 primarily relate to referral fees for M&amp;A transactions with MBA Lazard Holdings S.A. and its affiliates, an Argentina-based group in which the Company has a 50% ownership interest, and, at December 31, 2012, a related party loan.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Lazard Group provides certain administrative and support services to LAZ-MD Holdings through an administrative services agreement, with such services generally to be provided until December 31, 2014 unless terminated earlier because of a change in control of either party. Lazard Group charges LAZ-MD Holdings for these services based on Lazard Group’s cost allocation methodology and, for the three month and six month periods ended June 30, 2013, such charges amounted to $250 and $500, respectively. For the three month and six month periods ended June 30, 2012, such charges amounted to $187 and $375, respectively.</w:t>
      </w:r>
    </w:p>
    <w:p>
      <w:pPr>
        <w:spacing w:after="0" w:line="26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June 30, 2013, LFNY’s regulatory net capital was $128,583, which exceeded the minimum requirement by $124,897.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which replaced the Financial Services Authority as the U.K. Subsidiaries’ regulator effective April 1, 2013. At June 30, 2013, the aggregate regulatory net capital of the U.K. Subsidiaries was $74,781, which exceeded the minimum requirement by $54,858.</w:t>
      </w:r>
    </w:p>
    <w:p>
      <w:pPr>
        <w:spacing w:after="0" w:line="143"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June 30, 2013, the consolidated regulatory net capital of CFLF was $185,983, which exceeded the minimum requirement set for regulatory capital levels by $154,183.</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2013, for those subsidiaries with regulatory capital requirements, their aggregate net capital was $103,267, which exceeded the minimum required capital by $76,657.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2013, each of these subsidiaries individually was in compliance with its regulatory capital requirements.</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which we continue to examine, LFB, as a European credit institution, is required to be supervised on a consolidated basis by another regulatory body, either in the U.S., by the Board of Governors of the Federal Reserve, or in the European Union. The Dodd-Frank Act and the rules and regulations that may be adopted thereunder (including regulations that have not yet been proposed) could affect us in other ways. We continue to monitor the possible effect of the implementation of alternatives available to us.</w:t>
      </w:r>
    </w:p>
    <w:p>
      <w:pPr>
        <w:spacing w:after="0" w:line="24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2013 and 2012 was prepared using the following methodology:</w:t>
      </w:r>
    </w:p>
    <w:p>
      <w:pPr>
        <w:spacing w:after="0" w:line="51" w:lineRule="exact"/>
        <w:rPr>
          <w:sz w:val="20"/>
          <w:szCs w:val="20"/>
          <w:color w:val="auto"/>
        </w:rPr>
      </w:pPr>
    </w:p>
    <w:p>
      <w:pPr>
        <w:ind w:left="5620" w:right="2920" w:hanging="5045"/>
        <w:spacing w:after="0" w:line="440" w:lineRule="auto"/>
        <w:tabs>
          <w:tab w:leader="none" w:pos="8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 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00" w:right="2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2013(a)</w:t>
            </w: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2013(a)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640" w:type="dxa"/>
            <w:vAlign w:val="bottom"/>
            <w:tcBorders>
              <w:top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263,307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242,624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431,769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519,820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239,766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231,200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456,674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481,097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(24,905)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38,723</w:t>
            </w:r>
          </w:p>
        </w:tc>
        <w:tc>
          <w:tcPr>
            <w:tcW w:w="0" w:type="dxa"/>
            <w:vAlign w:val="bottom"/>
          </w:tcPr>
          <w:p>
            <w:pPr>
              <w:spacing w:after="0"/>
              <w:rPr>
                <w:sz w:val="1"/>
                <w:szCs w:val="1"/>
                <w:color w:val="auto"/>
              </w:rPr>
            </w:pPr>
          </w:p>
        </w:tc>
      </w:tr>
      <w:tr>
        <w:trPr>
          <w:trHeight w:val="20"/>
        </w:trPr>
        <w:tc>
          <w:tcPr>
            <w:tcW w:w="2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80" w:type="dxa"/>
            <w:vAlign w:val="bottom"/>
            <w:gridSpan w:val="3"/>
            <w:vMerge w:val="continue"/>
          </w:tcPr>
          <w:p>
            <w:pPr>
              <w:spacing w:after="0"/>
              <w:rPr>
                <w:sz w:val="24"/>
                <w:szCs w:val="24"/>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245,499</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211,053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489,524</w:t>
            </w: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425,580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187,554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156,616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342,631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317,106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57,945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54,437</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146,893</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108,474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6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(18,479)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(16,740)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(29,782)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21,071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(39,550)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(20,407)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(58,828)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(69,165)</w:t>
            </w:r>
          </w:p>
        </w:tc>
        <w:tc>
          <w:tcPr>
            <w:tcW w:w="0" w:type="dxa"/>
            <w:vAlign w:val="bottom"/>
          </w:tcPr>
          <w:p>
            <w:pPr>
              <w:spacing w:after="0"/>
              <w:rPr>
                <w:sz w:val="1"/>
                <w:szCs w:val="1"/>
                <w:color w:val="auto"/>
              </w:rPr>
            </w:pPr>
          </w:p>
        </w:tc>
      </w:tr>
      <w:tr>
        <w:trPr>
          <w:trHeight w:val="20"/>
        </w:trPr>
        <w:tc>
          <w:tcPr>
            <w:tcW w:w="2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80" w:type="dxa"/>
            <w:vAlign w:val="bottom"/>
            <w:gridSpan w:val="3"/>
            <w:vMerge w:val="continue"/>
          </w:tcPr>
          <w:p>
            <w:pPr>
              <w:spacing w:after="0"/>
              <w:rPr>
                <w:sz w:val="24"/>
                <w:szCs w:val="24"/>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490,327</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436,937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891,511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917,465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448,391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391,483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828,351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839,433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41,936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45,454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63,160</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three month and six month periods ended June 30,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June 30,</w:t>
            </w:r>
          </w:p>
        </w:tc>
        <w:tc>
          <w:tcPr>
            <w:tcW w:w="118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722,702</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793,007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539,662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1,722,688</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1,688,696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2,985,052</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3,048,380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80" w:type="dxa"/>
            <w:vAlign w:val="bottom"/>
            <w:vMerge w:val="restart"/>
          </w:tcPr>
          <w:p>
            <w:pPr>
              <w:jc w:val="right"/>
              <w:ind w:right="2612"/>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459" w:right="10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2012 (the “Form 10-K”). All references to “2013”, “2012”, “second quarter”, “first half” or “the period” refer to, as the context requires, the three month and six month periods ended June 30, 2013 and June 30,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decline in overall mergers and acquisitions (“M&amp;A”) activity, our share of the M&amp;A market or our assets under management (“AUM”),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risks and uncertainties are not exhaustive. Other sections of the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13"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40 cities in key business and financial centers across 26 countries throughout Europe, North America,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operate in cyclical businesses across multiple geographies, industries and asset classes. In recent years, we have expanded our geographic reach, bolstered our industry expertise and continued to build in growth areas.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5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2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54%</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w:t>
            </w:r>
          </w:p>
        </w:tc>
        <w:tc>
          <w:tcPr>
            <w:tcW w:w="12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Asset Management</w:t>
            </w: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720" w:type="dxa"/>
            <w:vAlign w:val="bottom"/>
          </w:tcPr>
          <w:p>
            <w:pPr>
              <w:spacing w:after="0"/>
              <w:rPr>
                <w:sz w:val="18"/>
                <w:szCs w:val="18"/>
                <w:color w:val="auto"/>
              </w:rPr>
            </w:pP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55</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280" w:type="dxa"/>
            <w:vAlign w:val="bottom"/>
            <w:gridSpan w:val="2"/>
          </w:tcPr>
          <w:p>
            <w:pPr>
              <w:jc w:val="right"/>
              <w:ind w:right="512"/>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51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260" w:firstLine="8"/>
        <w:spacing w:after="0" w:line="281" w:lineRule="auto"/>
        <w:tabs>
          <w:tab w:leader="none" w:pos="2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10 of Notes to Condensed Consolidated Financial Statements), (ii) Lazard Australia Corporate Opportunities Fund 2 (“COF2”), a Lazard-managed Australian private equity fund targeting Australasian mid-market investments,</w:t>
      </w:r>
    </w:p>
    <w:p>
      <w:pPr>
        <w:spacing w:after="0" w:line="1" w:lineRule="exact"/>
        <w:rPr>
          <w:rFonts w:ascii="Arial" w:cs="Arial" w:eastAsia="Arial" w:hAnsi="Arial"/>
          <w:sz w:val="16"/>
          <w:szCs w:val="16"/>
          <w:color w:val="auto"/>
        </w:rPr>
      </w:pPr>
    </w:p>
    <w:p>
      <w:pPr>
        <w:ind w:firstLine="8"/>
        <w:spacing w:after="0" w:line="292" w:lineRule="auto"/>
        <w:tabs>
          <w:tab w:leader="none" w:pos="30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mezzanine fund, which invests in mezzanine debt of a diversified selection of small-to mid-cap European companies and (iv) a private equity fund targeting significant noncontrolling-stake investments in established private companies.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Economic and global financial market conditions can materially affect our financial performance. As described above, our principal sources of revenue are derived from activities in our Financial Advisory and Asset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Equity market indices at June 30, 2013 increased in the U.S. when compared to such indices at June 30, 2012, December 31, 2012 and March 31, 2013. Outside the U.S., equity market indices at June 30, 2013 generally increased as compared to June 30, 2012, but decreased when compared to December 31, 2012 and March 31, 2013. On an industry-wide basis, during the first half of 2013, the value of completed M&amp;A transactions increased while the number of completed transactions decreased as compared to the corresponding prior year period. Global restructuring activity, as measured by the value and number of corporate defaults, increased in the first half of 2013 as compared to the same period last year, but remains low relative to historical levels.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mid-2013, interest rates remain low relative to historical levels and corporate cash balances remain high. Global macroeconomic conditions appear to be improving but remain uncertain, especially with respect to Europe. The breadth of our businesses has mitigated the impact of the European financial crisis. Although completed European M&amp;A activity declined in the first half of 2013 and contributed to the revenue decrease in our Financial Advisory business, we believe other advisory opportunities, including opportunities for our Sovereign Advisory and Capital Structure businesses, may offset the slowdown. In our Asset Management business, most of LAM’s European clients are invested with LAM primarily outside of Europe. Many of those who are invested in Europe are invested in European fixed income, which has not had a significant impact on our Asset Management business. Nonetheless, the business situation in Europe remains challenging. Despite volatility in emerging markets during the second quarter of 2013, we have experienced positive flows in our Emerging Markets debt and equity platforms.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and in October 2012 we announced a number of cost saving initiatives (the “cost saving initiatives”) relating to our operations. See “Cost Saving Initiatives” below and Note 14 of Notes to Condensed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20" w:hanging="345"/>
        <w:spacing w:after="0" w:line="289" w:lineRule="auto"/>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will likely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particular in Europe, with our Sovereign Advisory, Restructuring and Capital Structure businesses. In addition, we believe our businesses throughout the emerging markets, Japan and Australia position us for growth in these markets, while strengthening and distinguishing our relationships with clients in developed economies. We recently integrated our Brazilian operations based in São Paulo. We also established the Lazard Africa initiative, to leverage our sovereign and corporate expertise in this rapidly growing region, for our clients in both developed and developing countries.</w:t>
      </w:r>
    </w:p>
    <w:p>
      <w:pPr>
        <w:spacing w:after="0" w:line="37" w:lineRule="exact"/>
        <w:rPr>
          <w:rFonts w:ascii="Arial" w:cs="Arial" w:eastAsia="Arial" w:hAnsi="Arial"/>
          <w:sz w:val="16"/>
          <w:szCs w:val="16"/>
          <w:color w:val="auto"/>
        </w:rPr>
      </w:pPr>
    </w:p>
    <w:p>
      <w:pPr>
        <w:ind w:left="920" w:hanging="345"/>
        <w:spacing w:after="0" w:line="294" w:lineRule="auto"/>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Generally, we have seen increased investor demand across regions and investment platforms. In the short to intermediate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and Singapore.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and Asian Equities.</w:t>
      </w:r>
    </w:p>
    <w:p>
      <w:pPr>
        <w:spacing w:after="0" w:line="1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and earnings growth and stockholder returns, the prudent management of our costs and expenses, the efficient use of our assets and the return of equity to our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reflected in the following table, which sets forth global industry statistics for the second quarter and first half of 2013 and 2012, the value and number of completed and announced M&amp;A transactions in the 2013 periods generally decreased compared to the corresponding periods in 2012.</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jc w:val="right"/>
              <w:ind w:right="221"/>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w w:val="83"/>
              </w:rPr>
              <w:t>2013</w:t>
            </w:r>
          </w:p>
        </w:tc>
        <w:tc>
          <w:tcPr>
            <w:tcW w:w="420" w:type="dxa"/>
            <w:vAlign w:val="bottom"/>
          </w:tcPr>
          <w:p>
            <w:pPr>
              <w:spacing w:after="0"/>
              <w:rPr>
                <w:sz w:val="14"/>
                <w:szCs w:val="14"/>
                <w:color w:val="auto"/>
              </w:rPr>
            </w:pPr>
          </w:p>
        </w:tc>
        <w:tc>
          <w:tcPr>
            <w:tcW w:w="660" w:type="dxa"/>
            <w:vAlign w:val="bottom"/>
          </w:tcPr>
          <w:p>
            <w:pPr>
              <w:jc w:val="right"/>
              <w:ind w:right="299"/>
              <w:spacing w:after="0"/>
              <w:rPr>
                <w:sz w:val="20"/>
                <w:szCs w:val="20"/>
                <w:color w:val="auto"/>
              </w:rPr>
            </w:pPr>
            <w:r>
              <w:rPr>
                <w:rFonts w:ascii="Arial" w:cs="Arial" w:eastAsia="Arial" w:hAnsi="Arial"/>
                <w:sz w:val="14"/>
                <w:szCs w:val="14"/>
                <w:b w:val="1"/>
                <w:bCs w:val="1"/>
                <w:color w:val="auto"/>
                <w:w w:val="83"/>
              </w:rPr>
              <w:t>2012</w:t>
            </w: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Incr / (Decr)</w:t>
            </w:r>
          </w:p>
        </w:tc>
        <w:tc>
          <w:tcPr>
            <w:tcW w:w="100" w:type="dxa"/>
            <w:vAlign w:val="bottom"/>
          </w:tcPr>
          <w:p>
            <w:pPr>
              <w:spacing w:after="0"/>
              <w:rPr>
                <w:sz w:val="14"/>
                <w:szCs w:val="14"/>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2013</w:t>
            </w:r>
          </w:p>
        </w:tc>
        <w:tc>
          <w:tcPr>
            <w:tcW w:w="380" w:type="dxa"/>
            <w:vAlign w:val="bottom"/>
          </w:tcPr>
          <w:p>
            <w:pPr>
              <w:spacing w:after="0"/>
              <w:rPr>
                <w:sz w:val="14"/>
                <w:szCs w:val="14"/>
                <w:color w:val="auto"/>
              </w:rPr>
            </w:pPr>
          </w:p>
        </w:tc>
        <w:tc>
          <w:tcPr>
            <w:tcW w:w="8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Incr / (Decr)</w:t>
            </w:r>
          </w:p>
        </w:tc>
      </w:tr>
      <w:tr>
        <w:trPr>
          <w:trHeight w:val="142"/>
        </w:trPr>
        <w:tc>
          <w:tcPr>
            <w:tcW w:w="3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jc w:val="right"/>
              <w:ind w:right="436"/>
              <w:spacing w:after="0" w:line="142" w:lineRule="exact"/>
              <w:rPr>
                <w:sz w:val="20"/>
                <w:szCs w:val="20"/>
                <w:color w:val="auto"/>
              </w:rPr>
            </w:pPr>
            <w:r>
              <w:rPr>
                <w:rFonts w:ascii="Arial" w:cs="Arial" w:eastAsia="Arial" w:hAnsi="Arial"/>
                <w:sz w:val="14"/>
                <w:szCs w:val="14"/>
                <w:b w:val="1"/>
                <w:bCs w:val="1"/>
                <w:color w:val="auto"/>
              </w:rPr>
              <w:t>($ in billions)</w:t>
            </w: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52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9"/>
              <w:spacing w:after="0"/>
              <w:rPr>
                <w:sz w:val="20"/>
                <w:szCs w:val="20"/>
                <w:color w:val="auto"/>
              </w:rPr>
            </w:pPr>
            <w:r>
              <w:rPr>
                <w:rFonts w:ascii="Arial" w:cs="Arial" w:eastAsia="Arial" w:hAnsi="Arial"/>
                <w:sz w:val="18"/>
                <w:szCs w:val="18"/>
                <w:color w:val="auto"/>
              </w:rPr>
              <w:t>567</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1,016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9"/>
              <w:spacing w:after="0"/>
              <w:rPr>
                <w:sz w:val="20"/>
                <w:szCs w:val="20"/>
                <w:color w:val="auto"/>
              </w:rPr>
            </w:pPr>
            <w:r>
              <w:rPr>
                <w:rFonts w:ascii="Arial" w:cs="Arial" w:eastAsia="Arial" w:hAnsi="Arial"/>
                <w:sz w:val="18"/>
                <w:szCs w:val="18"/>
                <w:color w:val="auto"/>
              </w:rPr>
              <w:t>970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5,924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84"/>
              </w:rPr>
              <w:t>7,380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3"/>
              </w:rPr>
              <w:t>12,640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87"/>
              </w:rPr>
              <w:t>15,030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640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983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1,114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22"/>
        </w:trPr>
        <w:tc>
          <w:tcPr>
            <w:tcW w:w="352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8,180</w:t>
            </w:r>
          </w:p>
        </w:tc>
        <w:tc>
          <w:tcPr>
            <w:tcW w:w="420" w:type="dxa"/>
            <w:vAlign w:val="bottom"/>
          </w:tcPr>
          <w:p>
            <w:pPr>
              <w:spacing w:after="0"/>
              <w:rPr>
                <w:sz w:val="19"/>
                <w:szCs w:val="19"/>
                <w:color w:val="auto"/>
              </w:rPr>
            </w:pPr>
          </w:p>
        </w:tc>
        <w:tc>
          <w:tcPr>
            <w:tcW w:w="660" w:type="dxa"/>
            <w:vAlign w:val="bottom"/>
          </w:tcPr>
          <w:p>
            <w:pPr>
              <w:jc w:val="right"/>
              <w:ind w:right="179"/>
              <w:spacing w:after="0"/>
              <w:rPr>
                <w:sz w:val="20"/>
                <w:szCs w:val="20"/>
                <w:color w:val="auto"/>
              </w:rPr>
            </w:pPr>
            <w:r>
              <w:rPr>
                <w:rFonts w:ascii="Arial" w:cs="Arial" w:eastAsia="Arial" w:hAnsi="Arial"/>
                <w:sz w:val="18"/>
                <w:szCs w:val="18"/>
                <w:color w:val="auto"/>
                <w:w w:val="84"/>
              </w:rPr>
              <w:t>9,659</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18"/>
                <w:szCs w:val="18"/>
                <w:color w:val="auto"/>
                <w:w w:val="83"/>
              </w:rPr>
              <w:t>17,015</w:t>
            </w:r>
          </w:p>
        </w:tc>
        <w:tc>
          <w:tcPr>
            <w:tcW w:w="38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8"/>
                <w:szCs w:val="18"/>
                <w:color w:val="auto"/>
                <w:w w:val="87"/>
              </w:rPr>
              <w:t>19,202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Source:Thomson Reuters as of July 8, 2013.</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Global restructuring activity during the first half of 2013, as measured by the value of debt defaults, increased from the corresponding period in 2012, with the number of issuers defaulting increasing to 40 in the first half of 2013, according to Moody’s Investors Service, Inc., as compared to 33 in the corresponding period of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comparison of major equity market indices at June 30, 2013, against such indices at March 31, 2013, December 31, 2012 and June 30, 2012,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Percentage Changes</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4"/>
                <w:szCs w:val="14"/>
                <w:b w:val="1"/>
                <w:bCs w:val="1"/>
                <w:color w:val="auto"/>
              </w:rPr>
              <w:t>June 30, 2013 vs.</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440" w:type="dxa"/>
            <w:vAlign w:val="bottom"/>
          </w:tcPr>
          <w:p>
            <w:pPr>
              <w:spacing w:after="0"/>
              <w:rPr>
                <w:sz w:val="11"/>
                <w:szCs w:val="11"/>
                <w:color w:val="auto"/>
              </w:rPr>
            </w:pPr>
          </w:p>
        </w:tc>
        <w:tc>
          <w:tcPr>
            <w:tcW w:w="1100" w:type="dxa"/>
            <w:vAlign w:val="bottom"/>
            <w:gridSpan w:val="2"/>
          </w:tcPr>
          <w:p>
            <w:pPr>
              <w:jc w:val="center"/>
              <w:ind w:right="392"/>
              <w:spacing w:after="0" w:line="129" w:lineRule="exact"/>
              <w:rPr>
                <w:sz w:val="20"/>
                <w:szCs w:val="20"/>
                <w:color w:val="auto"/>
              </w:rPr>
            </w:pPr>
            <w:r>
              <w:rPr>
                <w:rFonts w:ascii="Arial" w:cs="Arial" w:eastAsia="Arial" w:hAnsi="Arial"/>
                <w:sz w:val="14"/>
                <w:szCs w:val="14"/>
                <w:b w:val="1"/>
                <w:bCs w:val="1"/>
                <w:color w:val="auto"/>
                <w:w w:val="89"/>
              </w:rPr>
              <w:t>March 31,</w:t>
            </w:r>
          </w:p>
        </w:tc>
        <w:tc>
          <w:tcPr>
            <w:tcW w:w="520" w:type="dxa"/>
            <w:vAlign w:val="bottom"/>
          </w:tcPr>
          <w:p>
            <w:pPr>
              <w:spacing w:after="0"/>
              <w:rPr>
                <w:sz w:val="11"/>
                <w:szCs w:val="11"/>
                <w:color w:val="auto"/>
              </w:rPr>
            </w:pPr>
          </w:p>
        </w:tc>
        <w:tc>
          <w:tcPr>
            <w:tcW w:w="184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1"/>
                <w:szCs w:val="11"/>
                <w:color w:val="auto"/>
              </w:rPr>
            </w:pPr>
          </w:p>
        </w:tc>
      </w:tr>
      <w:tr>
        <w:trPr>
          <w:trHeight w:val="161"/>
        </w:trPr>
        <w:tc>
          <w:tcPr>
            <w:tcW w:w="5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2012</w:t>
            </w:r>
          </w:p>
        </w:tc>
        <w:tc>
          <w:tcPr>
            <w:tcW w:w="10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6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Euro Stoxx</w:t>
            </w:r>
          </w:p>
        </w:tc>
        <w:tc>
          <w:tcPr>
            <w:tcW w:w="1100" w:type="dxa"/>
            <w:vAlign w:val="bottom"/>
            <w:gridSpan w:val="2"/>
          </w:tcPr>
          <w:p>
            <w:pPr>
              <w:jc w:val="right"/>
              <w:ind w:right="212"/>
              <w:spacing w:after="0"/>
              <w:rPr>
                <w:sz w:val="20"/>
                <w:szCs w:val="20"/>
                <w:color w:val="auto"/>
              </w:rPr>
            </w:pPr>
            <w:r>
              <w:rPr>
                <w:rFonts w:ascii="Arial" w:cs="Arial" w:eastAsia="Arial" w:hAnsi="Arial"/>
                <w:sz w:val="18"/>
                <w:szCs w:val="18"/>
                <w:color w:val="auto"/>
              </w:rPr>
              <w:t>(1)%</w:t>
            </w:r>
          </w:p>
        </w:tc>
        <w:tc>
          <w:tcPr>
            <w:tcW w:w="2360" w:type="dxa"/>
            <w:vAlign w:val="bottom"/>
            <w:gridSpan w:val="3"/>
          </w:tcPr>
          <w:p>
            <w:pPr>
              <w:jc w:val="right"/>
              <w:ind w:right="82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w:t>
            </w:r>
          </w:p>
        </w:tc>
        <w:tc>
          <w:tcPr>
            <w:tcW w:w="23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S&amp;P 500</w:t>
            </w:r>
          </w:p>
        </w:tc>
        <w:tc>
          <w:tcPr>
            <w:tcW w:w="1100" w:type="dxa"/>
            <w:vAlign w:val="bottom"/>
            <w:gridSpan w:val="2"/>
          </w:tcPr>
          <w:p>
            <w:pPr>
              <w:jc w:val="right"/>
              <w:ind w:right="272"/>
              <w:spacing w:after="0"/>
              <w:rPr>
                <w:sz w:val="20"/>
                <w:szCs w:val="20"/>
                <w:color w:val="auto"/>
              </w:rPr>
            </w:pPr>
            <w:r>
              <w:rPr>
                <w:rFonts w:ascii="Arial" w:cs="Arial" w:eastAsia="Arial" w:hAnsi="Arial"/>
                <w:sz w:val="18"/>
                <w:szCs w:val="18"/>
                <w:color w:val="auto"/>
              </w:rPr>
              <w:t>2%</w:t>
            </w:r>
          </w:p>
        </w:tc>
        <w:tc>
          <w:tcPr>
            <w:tcW w:w="2360" w:type="dxa"/>
            <w:vAlign w:val="bottom"/>
            <w:gridSpan w:val="3"/>
          </w:tcPr>
          <w:p>
            <w:pPr>
              <w:jc w:val="right"/>
              <w:ind w:right="88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 and market movements reflected in the changes in Lazard’s AUM during the period generally correspond to the changes in global equity market indices. Our AUM at June 30, 2013 decreased 2% versus AUM at December 31, 2012 primarily due to net outflows, and our average AUM for the first half of 2013 increased 14% as compared to our average AUM for the corresponding period of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which will be partially offset by investment in our business.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We anticipate that more than two-thirds of these savings will be realized in 2013, with the full impact of all the savings reflected in our 2014 results.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associated with implementation of the cost saving initiatives were completed in the second quarter of 2013 and have been reflected in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financial results. These implementation expenses were approximately: $38 million in the second quarter of 2013; $26 million in the first quarter of 2013;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$103 million in the fourth quarter of 2012, for a total of approximately $167 million. Approximately 75% of the implementation expenses are expected to be paid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cash.</w:t>
      </w:r>
    </w:p>
    <w:p>
      <w:pPr>
        <w:spacing w:after="0" w:line="165"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occupancy cost reduction;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 funds, such as hedge funds and private equity funds, and lower fees earned on fixed income and cash management products.</w:t>
      </w:r>
    </w:p>
    <w:p>
      <w:pPr>
        <w:spacing w:after="0" w:line="12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in LAM equity and fixed income funds, principal investments in equities and alternative investment funds and “equity method” investments, net hedging activities, as well as gains and losses on investments held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connection with Lazard Fund Interests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Although Corporate segment net revenue during the first half of 2013 represented (3)% of Lazard’s net revenue, total assets in the Corporate segment represented 58% of Lazard’s consolidated total assets as of June 30, 2013, which are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awards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2013, 2012 and 2011 related to the 2012, 2011 and 2010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59.3% for the year ended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December 31, 2012. While we have implemented initiatives, including the cost saving initiatives announced in October 2012 (see “Cost Saving Initiatives” above),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changes in the mix of revenues from our businesses or various other factors could prevent us from attaining this goal.</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the 2012 and 2013 periods, the relevant portions of the expense relating to the first quarter 2012 staff reductions and the implementation of the cost saving initiatives. Amortization of intangible assets relates primarily to the acquisition of Edgewater.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foreign taxes from non-U.S. entities and to New York City Unincorporated Business Tax (“UBT”) attributable to Lazard’s operations apportioned to New York City.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Noncontrolling interests primarily relate to the of amount attributable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 in thousands)</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490,327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436,937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891,511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917,465</w:t>
            </w:r>
          </w:p>
        </w:tc>
        <w:tc>
          <w:tcPr>
            <w:tcW w:w="0" w:type="dxa"/>
            <w:vAlign w:val="bottom"/>
          </w:tcPr>
          <w:p>
            <w:pPr>
              <w:spacing w:after="0"/>
              <w:rPr>
                <w:sz w:val="1"/>
                <w:szCs w:val="1"/>
                <w:color w:val="auto"/>
              </w:rPr>
            </w:pPr>
          </w:p>
        </w:tc>
      </w:tr>
      <w:tr>
        <w:trPr>
          <w:trHeight w:val="330"/>
        </w:trPr>
        <w:tc>
          <w:tcPr>
            <w:tcW w:w="5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331,117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283,380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608,843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621,683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116,270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105,543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217,627</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448,391</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391,483</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828,351</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839,433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45,454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10,535</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34,919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33,272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58,837</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86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8"/>
              </w:rPr>
              <w:t>Three Months Ended</w:t>
            </w:r>
          </w:p>
        </w:tc>
        <w:tc>
          <w:tcPr>
            <w:tcW w:w="22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2"/>
          </w:tcPr>
          <w:p>
            <w:pPr>
              <w:ind w:left="860"/>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0" w:type="dxa"/>
            <w:vAlign w:val="bottom"/>
            <w:gridSpan w:val="4"/>
          </w:tcPr>
          <w:p>
            <w:pPr>
              <w:jc w:val="right"/>
              <w:ind w:right="700"/>
              <w:spacing w:after="0" w:line="142" w:lineRule="exact"/>
              <w:rPr>
                <w:sz w:val="20"/>
                <w:szCs w:val="20"/>
                <w:color w:val="auto"/>
              </w:rPr>
            </w:pPr>
            <w:r>
              <w:rPr>
                <w:rFonts w:ascii="Arial" w:cs="Arial" w:eastAsia="Arial" w:hAnsi="Arial"/>
                <w:sz w:val="14"/>
                <w:szCs w:val="14"/>
                <w:b w:val="1"/>
                <w:bCs w:val="1"/>
                <w:color w:val="auto"/>
              </w:rPr>
              <w:t>($ in thousands)</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$490,327</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$436,937</w:t>
            </w:r>
          </w:p>
        </w:tc>
        <w:tc>
          <w:tcPr>
            <w:tcW w:w="7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$ 891,511</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$917,465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Other interest expense (a)</w:t>
            </w:r>
          </w:p>
        </w:tc>
        <w:tc>
          <w:tcPr>
            <w:tcW w:w="680" w:type="dxa"/>
            <w:vAlign w:val="bottom"/>
          </w:tcPr>
          <w:p>
            <w:pPr>
              <w:jc w:val="right"/>
              <w:spacing w:after="0"/>
              <w:rPr>
                <w:sz w:val="20"/>
                <w:szCs w:val="20"/>
                <w:color w:val="auto"/>
              </w:rPr>
            </w:pPr>
            <w:r>
              <w:rPr>
                <w:rFonts w:ascii="Arial" w:cs="Arial" w:eastAsia="Arial" w:hAnsi="Arial"/>
                <w:sz w:val="18"/>
                <w:szCs w:val="18"/>
                <w:color w:val="auto"/>
              </w:rPr>
              <w:t>21,884</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22,820</w:t>
            </w:r>
          </w:p>
        </w:tc>
        <w:tc>
          <w:tcPr>
            <w:tcW w:w="7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43,771</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44,934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w:t>
            </w:r>
          </w:p>
        </w:tc>
        <w:tc>
          <w:tcPr>
            <w:tcW w:w="20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(4,509)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(6,780)</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pertaining to Lazard Fund Interests (c)</w:t>
            </w:r>
          </w:p>
        </w:tc>
        <w:tc>
          <w:tcPr>
            <w:tcW w:w="68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2,856</w:t>
            </w:r>
          </w:p>
        </w:tc>
        <w:tc>
          <w:tcPr>
            <w:tcW w:w="7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513,230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458,104</w:t>
            </w: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928,254</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953,540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is not considered to be a cost directly related to the revenue of our business.</w:t>
      </w:r>
    </w:p>
    <w:p>
      <w:pPr>
        <w:ind w:left="460" w:right="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jc w:val="both"/>
        <w:ind w:left="460" w:right="660" w:hanging="452"/>
        <w:spacing w:after="0" w:line="361"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 expense, are excluded.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40" w:type="dxa"/>
            <w:vAlign w:val="bottom"/>
            <w:gridSpan w:val="5"/>
          </w:tcPr>
          <w:p>
            <w:pPr>
              <w:jc w:val="right"/>
              <w:ind w:right="10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$ 331,117</w:t>
            </w:r>
          </w:p>
        </w:tc>
        <w:tc>
          <w:tcPr>
            <w:tcW w:w="5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$283,380</w:t>
            </w:r>
          </w:p>
        </w:tc>
        <w:tc>
          <w:tcPr>
            <w:tcW w:w="90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$608,843</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$621,683</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260" w:type="dxa"/>
            <w:vAlign w:val="bottom"/>
            <w:gridSpan w:val="2"/>
          </w:tcPr>
          <w:p>
            <w:pPr>
              <w:jc w:val="right"/>
              <w:ind w:right="452"/>
              <w:spacing w:after="0"/>
              <w:rPr>
                <w:sz w:val="20"/>
                <w:szCs w:val="20"/>
                <w:color w:val="auto"/>
              </w:rPr>
            </w:pPr>
            <w:r>
              <w:rPr>
                <w:rFonts w:ascii="Arial" w:cs="Arial" w:eastAsia="Arial" w:hAnsi="Arial"/>
                <w:sz w:val="18"/>
                <w:szCs w:val="18"/>
                <w:color w:val="auto"/>
              </w:rPr>
              <w:t>(1,063)</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(1,010)</w:t>
            </w:r>
          </w:p>
        </w:tc>
        <w:tc>
          <w:tcPr>
            <w:tcW w:w="1500" w:type="dxa"/>
            <w:vAlign w:val="bottom"/>
            <w:gridSpan w:val="3"/>
          </w:tcPr>
          <w:p>
            <w:pPr>
              <w:jc w:val="right"/>
              <w:ind w:right="472"/>
              <w:spacing w:after="0"/>
              <w:rPr>
                <w:sz w:val="20"/>
                <w:szCs w:val="20"/>
                <w:color w:val="auto"/>
              </w:rPr>
            </w:pPr>
            <w:r>
              <w:rPr>
                <w:rFonts w:ascii="Arial" w:cs="Arial" w:eastAsia="Arial" w:hAnsi="Arial"/>
                <w:sz w:val="18"/>
                <w:szCs w:val="18"/>
                <w:color w:val="auto"/>
              </w:rPr>
              <w:t>(2,184)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credits pertaining to Lazard Fund Interests (b)</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2,856</w:t>
            </w:r>
          </w:p>
        </w:tc>
        <w:tc>
          <w:tcPr>
            <w:tcW w:w="15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(248)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Costs related to staff reductions (c)</w:t>
            </w:r>
          </w:p>
        </w:tc>
        <w:tc>
          <w:tcPr>
            <w:tcW w:w="12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(21,754)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(c)</w:t>
            </w:r>
          </w:p>
        </w:tc>
        <w:tc>
          <w:tcPr>
            <w:tcW w:w="12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(26,728)</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(51,399)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306,803</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285,226</w:t>
            </w:r>
          </w:p>
        </w:tc>
        <w:tc>
          <w:tcPr>
            <w:tcW w:w="360" w:type="dxa"/>
            <w:vAlign w:val="bottom"/>
          </w:tcPr>
          <w:p>
            <w:pPr>
              <w:spacing w:after="0"/>
              <w:rPr>
                <w:sz w:val="19"/>
                <w:szCs w:val="19"/>
                <w:color w:val="auto"/>
              </w:rPr>
            </w:pPr>
          </w:p>
        </w:tc>
        <w:tc>
          <w:tcPr>
            <w:tcW w:w="900" w:type="dxa"/>
            <w:vAlign w:val="bottom"/>
            <w:gridSpan w:val="2"/>
          </w:tcPr>
          <w:p>
            <w:pPr>
              <w:jc w:val="center"/>
              <w:ind w:left="15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555,012</w:t>
            </w:r>
          </w:p>
        </w:tc>
        <w:tc>
          <w:tcPr>
            <w:tcW w:w="6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597,928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2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59.8%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15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59.8%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5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changes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400" w:hanging="452"/>
        <w:spacing w:after="0" w:line="30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expenses related to the first quarter 2012 staff reductions and the cost saving initiatives announced by the Company in the fourth quarter of 2012 for (i) severance costs and benefit payments; (ii) the acceleration of unrecognized amortization expense of deferred incentive compensation previously granted to individuals whose employment was being terminated and (iii) the settlement of certain contractual obligations.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40" w:type="dxa"/>
            <w:vAlign w:val="bottom"/>
            <w:gridSpan w:val="5"/>
          </w:tcPr>
          <w:p>
            <w:pPr>
              <w:jc w:val="right"/>
              <w:ind w:right="10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$ 116,270</w:t>
            </w:r>
          </w:p>
        </w:tc>
        <w:tc>
          <w:tcPr>
            <w:tcW w:w="5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$105,543</w:t>
            </w:r>
          </w:p>
        </w:tc>
        <w:tc>
          <w:tcPr>
            <w:tcW w:w="90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$217,627</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260" w:type="dxa"/>
            <w:vAlign w:val="bottom"/>
            <w:gridSpan w:val="2"/>
          </w:tcPr>
          <w:p>
            <w:pPr>
              <w:jc w:val="right"/>
              <w:ind w:right="452"/>
              <w:spacing w:after="0"/>
              <w:rPr>
                <w:sz w:val="20"/>
                <w:szCs w:val="20"/>
                <w:color w:val="auto"/>
              </w:rPr>
            </w:pPr>
            <w:r>
              <w:rPr>
                <w:rFonts w:ascii="Arial" w:cs="Arial" w:eastAsia="Arial" w:hAnsi="Arial"/>
                <w:sz w:val="18"/>
                <w:szCs w:val="18"/>
                <w:color w:val="auto"/>
              </w:rPr>
              <w:t>(681)</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(658)</w:t>
            </w:r>
          </w:p>
        </w:tc>
        <w:tc>
          <w:tcPr>
            <w:tcW w:w="1500" w:type="dxa"/>
            <w:vAlign w:val="bottom"/>
            <w:gridSpan w:val="3"/>
          </w:tcPr>
          <w:p>
            <w:pPr>
              <w:jc w:val="right"/>
              <w:ind w:right="472"/>
              <w:spacing w:after="0"/>
              <w:rPr>
                <w:sz w:val="20"/>
                <w:szCs w:val="20"/>
                <w:color w:val="auto"/>
              </w:rPr>
            </w:pPr>
            <w:r>
              <w:rPr>
                <w:rFonts w:ascii="Arial" w:cs="Arial" w:eastAsia="Arial" w:hAnsi="Arial"/>
                <w:sz w:val="18"/>
                <w:szCs w:val="18"/>
                <w:color w:val="auto"/>
              </w:rPr>
              <w:t>(1,139)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Costs related to staff reductions (b)</w:t>
            </w:r>
          </w:p>
        </w:tc>
        <w:tc>
          <w:tcPr>
            <w:tcW w:w="12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(b)</w:t>
            </w:r>
          </w:p>
        </w:tc>
        <w:tc>
          <w:tcPr>
            <w:tcW w:w="1260" w:type="dxa"/>
            <w:vAlign w:val="bottom"/>
            <w:gridSpan w:val="2"/>
          </w:tcPr>
          <w:p>
            <w:pPr>
              <w:jc w:val="right"/>
              <w:ind w:right="452"/>
              <w:spacing w:after="0"/>
              <w:rPr>
                <w:sz w:val="20"/>
                <w:szCs w:val="20"/>
                <w:color w:val="auto"/>
              </w:rPr>
            </w:pPr>
            <w:r>
              <w:rPr>
                <w:rFonts w:ascii="Arial" w:cs="Arial" w:eastAsia="Arial" w:hAnsi="Arial"/>
                <w:sz w:val="18"/>
                <w:szCs w:val="18"/>
                <w:color w:val="auto"/>
              </w:rPr>
              <w:t>(11,653)</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72"/>
              <w:spacing w:after="0"/>
              <w:rPr>
                <w:sz w:val="20"/>
                <w:szCs w:val="20"/>
                <w:color w:val="auto"/>
              </w:rPr>
            </w:pPr>
            <w:r>
              <w:rPr>
                <w:rFonts w:ascii="Arial" w:cs="Arial" w:eastAsia="Arial" w:hAnsi="Arial"/>
                <w:sz w:val="18"/>
                <w:szCs w:val="18"/>
                <w:color w:val="auto"/>
              </w:rPr>
              <w:t>(13,304)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103,936</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104,885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203,184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209,868</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260" w:type="dxa"/>
            <w:vAlign w:val="bottom"/>
            <w:gridSpan w:val="2"/>
          </w:tcPr>
          <w:p>
            <w:pPr>
              <w:jc w:val="right"/>
              <w:ind w:right="372"/>
              <w:spacing w:after="0"/>
              <w:rPr>
                <w:sz w:val="20"/>
                <w:szCs w:val="20"/>
                <w:color w:val="auto"/>
              </w:rPr>
            </w:pPr>
            <w:r>
              <w:rPr>
                <w:rFonts w:ascii="Arial" w:cs="Arial" w:eastAsia="Arial" w:hAnsi="Arial"/>
                <w:sz w:val="18"/>
                <w:szCs w:val="18"/>
                <w:color w:val="auto"/>
              </w:rPr>
              <w:t>20.3%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1500" w:type="dxa"/>
            <w:vAlign w:val="bottom"/>
            <w:gridSpan w:val="3"/>
          </w:tcPr>
          <w:p>
            <w:pPr>
              <w:jc w:val="right"/>
              <w:ind w:right="372"/>
              <w:spacing w:after="0"/>
              <w:rPr>
                <w:sz w:val="20"/>
                <w:szCs w:val="20"/>
                <w:color w:val="auto"/>
              </w:rPr>
            </w:pPr>
            <w:r>
              <w:rPr>
                <w:rFonts w:ascii="Arial" w:cs="Arial" w:eastAsia="Arial" w:hAnsi="Arial"/>
                <w:sz w:val="18"/>
                <w:szCs w:val="18"/>
                <w:color w:val="auto"/>
              </w:rPr>
              <w:t>21.9%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40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Non-compensation costs associated with the first quarter 2012 staff reductions and the cost saving initiatives are excluded to enhance comparability of adjusted non-compensation expense between present, historical and future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12"/>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12"/>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9"/>
          </w:tcPr>
          <w:p>
            <w:pPr>
              <w:jc w:val="right"/>
              <w:ind w:right="10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5"/>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10"/>
          </w:tcPr>
          <w:p>
            <w:pPr>
              <w:jc w:val="right"/>
              <w:ind w:right="712"/>
              <w:spacing w:after="0" w:line="142" w:lineRule="exact"/>
              <w:rPr>
                <w:sz w:val="20"/>
                <w:szCs w:val="20"/>
                <w:color w:val="auto"/>
              </w:rPr>
            </w:pPr>
            <w:r>
              <w:rPr>
                <w:rFonts w:ascii="Arial" w:cs="Arial" w:eastAsia="Arial" w:hAnsi="Arial"/>
                <w:sz w:val="14"/>
                <w:szCs w:val="14"/>
                <w:b w:val="1"/>
                <w:bCs w:val="1"/>
                <w:color w:val="auto"/>
                <w:w w:val="97"/>
              </w:rPr>
              <w:t>($ in thousands)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Operating revenue</w:t>
            </w:r>
          </w:p>
        </w:tc>
        <w:tc>
          <w:tcPr>
            <w:tcW w:w="1420" w:type="dxa"/>
            <w:vAlign w:val="bottom"/>
            <w:gridSpan w:val="5"/>
          </w:tcPr>
          <w:p>
            <w:pPr>
              <w:jc w:val="right"/>
              <w:ind w:right="172"/>
              <w:spacing w:after="0"/>
              <w:rPr>
                <w:sz w:val="20"/>
                <w:szCs w:val="20"/>
                <w:color w:val="auto"/>
              </w:rPr>
            </w:pPr>
            <w:r>
              <w:rPr>
                <w:rFonts w:ascii="Arial" w:cs="Arial" w:eastAsia="Arial" w:hAnsi="Arial"/>
                <w:sz w:val="18"/>
                <w:szCs w:val="18"/>
                <w:color w:val="auto"/>
              </w:rPr>
              <w:t>$ 513,230</w:t>
            </w:r>
          </w:p>
        </w:tc>
        <w:tc>
          <w:tcPr>
            <w:tcW w:w="20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2"/>
              </w:rPr>
              <w:t>458,104</w:t>
            </w:r>
          </w:p>
        </w:tc>
        <w:tc>
          <w:tcPr>
            <w:tcW w:w="70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w w:val="87"/>
              </w:rPr>
              <w:t>$ 928,254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6"/>
          </w:tcPr>
          <w:p>
            <w:pPr>
              <w:jc w:val="right"/>
              <w:ind w:right="60"/>
              <w:spacing w:after="0"/>
              <w:rPr>
                <w:sz w:val="20"/>
                <w:szCs w:val="20"/>
                <w:color w:val="auto"/>
              </w:rPr>
            </w:pPr>
            <w:r>
              <w:rPr>
                <w:rFonts w:ascii="Arial" w:cs="Arial" w:eastAsia="Arial" w:hAnsi="Arial"/>
                <w:sz w:val="18"/>
                <w:szCs w:val="18"/>
                <w:color w:val="auto"/>
              </w:rPr>
              <w:t>$ 953,540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1420" w:type="dxa"/>
            <w:vAlign w:val="bottom"/>
            <w:gridSpan w:val="5"/>
          </w:tcPr>
          <w:p>
            <w:pPr>
              <w:jc w:val="right"/>
              <w:ind w:right="112"/>
              <w:spacing w:after="0"/>
              <w:rPr>
                <w:sz w:val="20"/>
                <w:szCs w:val="20"/>
                <w:color w:val="auto"/>
              </w:rPr>
            </w:pPr>
            <w:r>
              <w:rPr>
                <w:rFonts w:ascii="Arial" w:cs="Arial" w:eastAsia="Arial" w:hAnsi="Arial"/>
                <w:sz w:val="18"/>
                <w:szCs w:val="18"/>
                <w:color w:val="auto"/>
              </w:rPr>
              <w:t>(306,803)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tcPr>
          <w:p>
            <w:pPr>
              <w:jc w:val="right"/>
              <w:ind w:right="572"/>
              <w:spacing w:after="0"/>
              <w:rPr>
                <w:sz w:val="20"/>
                <w:szCs w:val="20"/>
                <w:color w:val="auto"/>
              </w:rPr>
            </w:pPr>
            <w:r>
              <w:rPr>
                <w:rFonts w:ascii="Arial" w:cs="Arial" w:eastAsia="Arial" w:hAnsi="Arial"/>
                <w:sz w:val="18"/>
                <w:szCs w:val="18"/>
                <w:color w:val="auto"/>
                <w:w w:val="85"/>
              </w:rPr>
              <w:t>(285,226)</w:t>
            </w:r>
          </w:p>
        </w:tc>
        <w:tc>
          <w:tcPr>
            <w:tcW w:w="800" w:type="dxa"/>
            <w:vAlign w:val="bottom"/>
            <w:gridSpan w:val="6"/>
          </w:tcPr>
          <w:p>
            <w:pPr>
              <w:jc w:val="right"/>
              <w:ind w:right="20"/>
              <w:spacing w:after="0"/>
              <w:rPr>
                <w:sz w:val="20"/>
                <w:szCs w:val="20"/>
                <w:color w:val="auto"/>
              </w:rPr>
            </w:pPr>
            <w:r>
              <w:rPr>
                <w:rFonts w:ascii="Arial" w:cs="Arial" w:eastAsia="Arial" w:hAnsi="Arial"/>
                <w:sz w:val="18"/>
                <w:szCs w:val="18"/>
                <w:color w:val="auto"/>
                <w:w w:val="98"/>
              </w:rPr>
              <w:t>(555,012)</w:t>
            </w:r>
          </w:p>
        </w:tc>
        <w:tc>
          <w:tcPr>
            <w:tcW w:w="80" w:type="dxa"/>
            <w:vAlign w:val="bottom"/>
          </w:tcPr>
          <w:p>
            <w:pPr>
              <w:spacing w:after="0"/>
              <w:rPr>
                <w:sz w:val="18"/>
                <w:szCs w:val="18"/>
                <w:color w:val="auto"/>
              </w:rPr>
            </w:pPr>
          </w:p>
        </w:tc>
        <w:tc>
          <w:tcPr>
            <w:tcW w:w="1380" w:type="dxa"/>
            <w:vAlign w:val="bottom"/>
            <w:gridSpan w:val="7"/>
          </w:tcPr>
          <w:p>
            <w:pPr>
              <w:jc w:val="right"/>
              <w:ind w:right="80"/>
              <w:spacing w:after="0"/>
              <w:rPr>
                <w:sz w:val="20"/>
                <w:szCs w:val="20"/>
                <w:color w:val="auto"/>
              </w:rPr>
            </w:pPr>
            <w:r>
              <w:rPr>
                <w:rFonts w:ascii="Arial" w:cs="Arial" w:eastAsia="Arial" w:hAnsi="Arial"/>
                <w:sz w:val="18"/>
                <w:szCs w:val="18"/>
                <w:color w:val="auto"/>
              </w:rPr>
              <w:t>(597,928)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right w:val="single" w:sz="8" w:color="CCEEFF"/>
            </w:tcBorders>
            <w:gridSpan w:val="2"/>
            <w:shd w:val="clear" w:color="auto" w:fill="CCEEFF"/>
          </w:tcPr>
          <w:p>
            <w:pPr>
              <w:spacing w:after="0"/>
              <w:rPr>
                <w:sz w:val="18"/>
                <w:szCs w:val="18"/>
                <w:color w:val="auto"/>
              </w:rPr>
            </w:pPr>
          </w:p>
        </w:tc>
        <w:tc>
          <w:tcPr>
            <w:tcW w:w="940" w:type="dxa"/>
            <w:vAlign w:val="bottom"/>
            <w:tcBorders>
              <w:left w:val="single" w:sz="8" w:color="CCEEFF"/>
            </w:tcBorders>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95"/>
              </w:rPr>
              <w:t>(103,936)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572"/>
              <w:spacing w:after="0"/>
              <w:rPr>
                <w:sz w:val="20"/>
                <w:szCs w:val="20"/>
                <w:color w:val="auto"/>
              </w:rPr>
            </w:pPr>
            <w:r>
              <w:rPr>
                <w:rFonts w:ascii="Arial" w:cs="Arial" w:eastAsia="Arial" w:hAnsi="Arial"/>
                <w:sz w:val="18"/>
                <w:szCs w:val="18"/>
                <w:color w:val="auto"/>
                <w:w w:val="85"/>
              </w:rPr>
              <w:t>(104,885)</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8"/>
              </w:rPr>
              <w:t>(203,184)</w:t>
            </w:r>
          </w:p>
        </w:tc>
        <w:tc>
          <w:tcPr>
            <w:tcW w:w="80" w:type="dxa"/>
            <w:vAlign w:val="bottom"/>
            <w:shd w:val="clear" w:color="auto" w:fill="CCEEFF"/>
          </w:tcPr>
          <w:p>
            <w:pPr>
              <w:spacing w:after="0"/>
              <w:rPr>
                <w:sz w:val="18"/>
                <w:szCs w:val="18"/>
                <w:color w:val="auto"/>
              </w:rPr>
            </w:pPr>
          </w:p>
        </w:tc>
        <w:tc>
          <w:tcPr>
            <w:tcW w:w="13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(209,868)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Earnings from operations</w:t>
            </w: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3"/>
            <w:vMerge w:val="continue"/>
          </w:tcPr>
          <w:p>
            <w:pPr>
              <w:spacing w:after="0"/>
              <w:rPr>
                <w:sz w:val="19"/>
                <w:szCs w:val="19"/>
                <w:color w:val="auto"/>
              </w:rPr>
            </w:pPr>
          </w:p>
        </w:tc>
        <w:tc>
          <w:tcPr>
            <w:tcW w:w="1420" w:type="dxa"/>
            <w:vAlign w:val="bottom"/>
            <w:gridSpan w:val="5"/>
          </w:tcPr>
          <w:p>
            <w:pPr>
              <w:jc w:val="right"/>
              <w:ind w:right="172"/>
              <w:spacing w:after="0"/>
              <w:rPr>
                <w:sz w:val="20"/>
                <w:szCs w:val="20"/>
                <w:color w:val="auto"/>
              </w:rPr>
            </w:pPr>
            <w:r>
              <w:rPr>
                <w:rFonts w:ascii="Arial" w:cs="Arial" w:eastAsia="Arial" w:hAnsi="Arial"/>
                <w:sz w:val="18"/>
                <w:szCs w:val="18"/>
                <w:color w:val="auto"/>
              </w:rPr>
              <w:t>$ 102,491</w:t>
            </w:r>
          </w:p>
        </w:tc>
        <w:tc>
          <w:tcPr>
            <w:tcW w:w="200" w:type="dxa"/>
            <w:vAlign w:val="bottom"/>
          </w:tcPr>
          <w:p>
            <w:pPr>
              <w:spacing w:after="0"/>
              <w:rPr>
                <w:sz w:val="19"/>
                <w:szCs w:val="19"/>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67,993</w:t>
            </w:r>
          </w:p>
        </w:tc>
        <w:tc>
          <w:tcPr>
            <w:tcW w:w="70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w w:val="87"/>
              </w:rPr>
              <w:t>$ 170,058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6"/>
          </w:tcPr>
          <w:p>
            <w:pPr>
              <w:jc w:val="right"/>
              <w:ind w:right="60"/>
              <w:spacing w:after="0"/>
              <w:rPr>
                <w:sz w:val="20"/>
                <w:szCs w:val="20"/>
                <w:color w:val="auto"/>
              </w:rPr>
            </w:pPr>
            <w:r>
              <w:rPr>
                <w:rFonts w:ascii="Arial" w:cs="Arial" w:eastAsia="Arial" w:hAnsi="Arial"/>
                <w:sz w:val="18"/>
                <w:szCs w:val="18"/>
                <w:color w:val="auto"/>
              </w:rPr>
              <w:t>$ 145,744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42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472"/>
              <w:spacing w:after="0"/>
              <w:rPr>
                <w:sz w:val="20"/>
                <w:szCs w:val="20"/>
                <w:color w:val="auto"/>
              </w:rPr>
            </w:pPr>
            <w:r>
              <w:rPr>
                <w:rFonts w:ascii="Arial" w:cs="Arial" w:eastAsia="Arial" w:hAnsi="Arial"/>
                <w:sz w:val="18"/>
                <w:szCs w:val="18"/>
                <w:color w:val="auto"/>
              </w:rPr>
              <w:t>14.8%</w:t>
            </w:r>
          </w:p>
        </w:tc>
        <w:tc>
          <w:tcPr>
            <w:tcW w:w="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3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ind w:left="460"/>
              <w:spacing w:after="0"/>
              <w:rPr>
                <w:sz w:val="20"/>
                <w:szCs w:val="20"/>
                <w:color w:val="auto"/>
              </w:rPr>
            </w:pPr>
            <w:r>
              <w:rPr>
                <w:rFonts w:ascii="Arial" w:cs="Arial" w:eastAsia="Arial" w:hAnsi="Arial"/>
                <w:sz w:val="18"/>
                <w:szCs w:val="18"/>
                <w:color w:val="auto"/>
                <w:w w:val="89"/>
              </w:rPr>
              <w:t>Certain additional key ratios and headcount information are set forth below:</w:t>
            </w: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8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11"/>
          </w:tcPr>
          <w:p>
            <w:pPr>
              <w:jc w:val="right"/>
              <w:ind w:right="6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6"/>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820" w:type="dxa"/>
            <w:vAlign w:val="bottom"/>
            <w:gridSpan w:val="3"/>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820" w:type="dxa"/>
            <w:vAlign w:val="bottom"/>
            <w:gridSpan w:val="3"/>
          </w:tcPr>
          <w:p>
            <w:pPr>
              <w:ind w:left="220"/>
              <w:spacing w:after="0"/>
              <w:rPr>
                <w:sz w:val="20"/>
                <w:szCs w:val="20"/>
                <w:color w:val="auto"/>
              </w:rPr>
            </w:pPr>
            <w:r>
              <w:rPr>
                <w:rFonts w:ascii="Arial" w:cs="Arial" w:eastAsia="Arial" w:hAnsi="Arial"/>
                <w:sz w:val="18"/>
                <w:szCs w:val="18"/>
                <w:color w:val="auto"/>
              </w:rPr>
              <w:t>Money management fees</w:t>
            </w:r>
          </w:p>
        </w:tc>
        <w:tc>
          <w:tcPr>
            <w:tcW w:w="680" w:type="dxa"/>
            <w:vAlign w:val="bottom"/>
            <w:gridSpan w:val="3"/>
          </w:tcPr>
          <w:p>
            <w:pPr>
              <w:jc w:val="right"/>
              <w:ind w:right="86"/>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5"/>
          </w:tcPr>
          <w:p>
            <w:pPr>
              <w:jc w:val="right"/>
              <w:ind w:right="132"/>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7"/>
          </w:tcPr>
          <w:p>
            <w:pPr>
              <w:jc w:val="right"/>
              <w:ind w:right="8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680" w:type="dxa"/>
            <w:vAlign w:val="bottom"/>
            <w:gridSpan w:val="3"/>
            <w:shd w:val="clear" w:color="auto" w:fill="CCEEFF"/>
          </w:tcPr>
          <w:p>
            <w:pPr>
              <w:jc w:val="right"/>
              <w:ind w:right="86"/>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5"/>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220"/>
              <w:spacing w:after="0"/>
              <w:rPr>
                <w:sz w:val="20"/>
                <w:szCs w:val="20"/>
                <w:color w:val="auto"/>
              </w:rPr>
            </w:pPr>
            <w:r>
              <w:rPr>
                <w:rFonts w:ascii="Arial" w:cs="Arial" w:eastAsia="Arial" w:hAnsi="Arial"/>
                <w:sz w:val="18"/>
                <w:szCs w:val="18"/>
                <w:color w:val="auto"/>
              </w:rPr>
              <w:t>Other</w:t>
            </w:r>
          </w:p>
        </w:tc>
        <w:tc>
          <w:tcPr>
            <w:tcW w:w="680" w:type="dxa"/>
            <w:vAlign w:val="bottom"/>
            <w:gridSpan w:val="3"/>
          </w:tcPr>
          <w:p>
            <w:pPr>
              <w:jc w:val="right"/>
              <w:ind w:right="86"/>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5"/>
          </w:tcPr>
          <w:p>
            <w:pPr>
              <w:jc w:val="right"/>
              <w:ind w:right="13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7"/>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ind w:left="440"/>
              <w:spacing w:after="0"/>
              <w:rPr>
                <w:sz w:val="20"/>
                <w:szCs w:val="20"/>
                <w:color w:val="auto"/>
              </w:rPr>
            </w:pPr>
            <w:r>
              <w:rPr>
                <w:rFonts w:ascii="Arial" w:cs="Arial" w:eastAsia="Arial" w:hAnsi="Arial"/>
                <w:sz w:val="18"/>
                <w:szCs w:val="18"/>
                <w:color w:val="auto"/>
              </w:rPr>
              <w:t>Net Revenue</w:t>
            </w:r>
          </w:p>
        </w:tc>
        <w:tc>
          <w:tcPr>
            <w:tcW w:w="20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100%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8"/>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6"/>
              </w:rPr>
              <w:t>As Of</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gridSpan w:val="6"/>
          </w:tcPr>
          <w:p>
            <w:pPr>
              <w:jc w:val="center"/>
              <w:ind w:right="1140"/>
              <w:spacing w:after="0" w:line="129" w:lineRule="exact"/>
              <w:rPr>
                <w:sz w:val="20"/>
                <w:szCs w:val="20"/>
                <w:color w:val="auto"/>
              </w:rPr>
            </w:pPr>
            <w:r>
              <w:rPr>
                <w:rFonts w:ascii="Arial" w:cs="Arial" w:eastAsia="Arial" w:hAnsi="Arial"/>
                <w:sz w:val="14"/>
                <w:szCs w:val="14"/>
                <w:b w:val="1"/>
                <w:bCs w:val="1"/>
                <w:color w:val="auto"/>
                <w:w w:val="85"/>
              </w:rPr>
              <w:t>June 30,</w:t>
            </w:r>
          </w:p>
        </w:tc>
        <w:tc>
          <w:tcPr>
            <w:tcW w:w="1660" w:type="dxa"/>
            <w:vAlign w:val="bottom"/>
            <w:gridSpan w:val="9"/>
          </w:tcPr>
          <w:p>
            <w:pPr>
              <w:jc w:val="right"/>
              <w:ind w:right="972"/>
              <w:spacing w:after="0" w:line="12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1"/>
                <w:szCs w:val="11"/>
                <w:color w:val="auto"/>
              </w:rPr>
            </w:pPr>
          </w:p>
        </w:tc>
        <w:tc>
          <w:tcPr>
            <w:tcW w:w="800" w:type="dxa"/>
            <w:vAlign w:val="bottom"/>
            <w:gridSpan w:val="6"/>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5"/>
          </w:tcPr>
          <w:p>
            <w:pPr>
              <w:jc w:val="right"/>
              <w:ind w:right="40"/>
              <w:spacing w:after="0" w:line="12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Headcount:</w:t>
            </w:r>
          </w:p>
        </w:tc>
        <w:tc>
          <w:tcPr>
            <w:tcW w:w="40" w:type="dxa"/>
            <w:vAlign w:val="bottom"/>
          </w:tcPr>
          <w:p>
            <w:pPr>
              <w:spacing w:after="0"/>
              <w:rPr>
                <w:sz w:val="14"/>
                <w:szCs w:val="14"/>
                <w:color w:val="auto"/>
              </w:rPr>
            </w:pPr>
          </w:p>
        </w:tc>
        <w:tc>
          <w:tcPr>
            <w:tcW w:w="1620" w:type="dxa"/>
            <w:vAlign w:val="bottom"/>
            <w:gridSpan w:val="6"/>
          </w:tcPr>
          <w:p>
            <w:pPr>
              <w:jc w:val="center"/>
              <w:ind w:right="1120"/>
              <w:spacing w:after="0"/>
              <w:rPr>
                <w:sz w:val="20"/>
                <w:szCs w:val="20"/>
                <w:color w:val="auto"/>
              </w:rPr>
            </w:pPr>
            <w:r>
              <w:rPr>
                <w:rFonts w:ascii="Arial" w:cs="Arial" w:eastAsia="Arial" w:hAnsi="Arial"/>
                <w:sz w:val="14"/>
                <w:szCs w:val="14"/>
                <w:b w:val="1"/>
                <w:bCs w:val="1"/>
                <w:color w:val="auto"/>
                <w:w w:val="86"/>
              </w:rPr>
              <w:t>2013(a)</w:t>
            </w:r>
          </w:p>
        </w:tc>
        <w:tc>
          <w:tcPr>
            <w:tcW w:w="5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780" w:type="dxa"/>
            <w:vAlign w:val="bottom"/>
            <w:gridSpan w:val="2"/>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gridSpan w:val="3"/>
          </w:tcPr>
          <w:p>
            <w:pPr>
              <w:ind w:left="220"/>
              <w:spacing w:after="0"/>
              <w:rPr>
                <w:sz w:val="20"/>
                <w:szCs w:val="20"/>
                <w:color w:val="auto"/>
              </w:rPr>
            </w:pPr>
            <w:r>
              <w:rPr>
                <w:rFonts w:ascii="Arial" w:cs="Arial" w:eastAsia="Arial" w:hAnsi="Arial"/>
                <w:sz w:val="18"/>
                <w:szCs w:val="18"/>
                <w:color w:val="auto"/>
              </w:rPr>
              <w:t>Managing Directors: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820" w:type="dxa"/>
            <w:vAlign w:val="bottom"/>
            <w:gridSpan w:val="3"/>
          </w:tcPr>
          <w:p>
            <w:pPr>
              <w:ind w:left="440"/>
              <w:spacing w:after="0"/>
              <w:rPr>
                <w:sz w:val="20"/>
                <w:szCs w:val="20"/>
                <w:color w:val="auto"/>
              </w:rPr>
            </w:pPr>
            <w:r>
              <w:rPr>
                <w:rFonts w:ascii="Arial" w:cs="Arial" w:eastAsia="Arial" w:hAnsi="Arial"/>
                <w:sz w:val="18"/>
                <w:szCs w:val="18"/>
                <w:color w:val="auto"/>
              </w:rPr>
              <w:t>Asset Management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440" w:type="dxa"/>
            <w:vAlign w:val="bottom"/>
            <w:gridSpan w:val="8"/>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820" w:type="dxa"/>
            <w:vAlign w:val="bottom"/>
            <w:gridSpan w:val="3"/>
          </w:tcPr>
          <w:p>
            <w:pPr>
              <w:ind w:left="220"/>
              <w:spacing w:after="0"/>
              <w:rPr>
                <w:sz w:val="20"/>
                <w:szCs w:val="20"/>
                <w:color w:val="auto"/>
              </w:rPr>
            </w:pPr>
            <w:r>
              <w:rPr>
                <w:rFonts w:ascii="Arial" w:cs="Arial" w:eastAsia="Arial" w:hAnsi="Arial"/>
                <w:sz w:val="18"/>
                <w:szCs w:val="18"/>
                <w:color w:val="auto"/>
              </w:rPr>
              <w:t>Other Employees: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1,072</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5820" w:type="dxa"/>
            <w:vAlign w:val="bottom"/>
            <w:gridSpan w:val="3"/>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1,105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93"/>
              </w:rPr>
              <w:t>1,132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gridSpan w:val="3"/>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1,165</w:t>
            </w:r>
          </w:p>
        </w:tc>
        <w:tc>
          <w:tcPr>
            <w:tcW w:w="80" w:type="dxa"/>
            <w:vAlign w:val="bottom"/>
          </w:tcPr>
          <w:p>
            <w:pPr>
              <w:spacing w:after="0"/>
              <w:rPr>
                <w:sz w:val="18"/>
                <w:szCs w:val="18"/>
                <w:color w:val="auto"/>
              </w:rPr>
            </w:pPr>
          </w:p>
        </w:tc>
        <w:tc>
          <w:tcPr>
            <w:tcW w:w="960" w:type="dxa"/>
            <w:vAlign w:val="bottom"/>
            <w:gridSpan w:val="4"/>
          </w:tcPr>
          <w:p>
            <w:pPr>
              <w:spacing w:after="0"/>
              <w:rPr>
                <w:sz w:val="18"/>
                <w:szCs w:val="18"/>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1,199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2,404</w:t>
            </w: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2,466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3"/>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2,513</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spacing w:after="0"/>
              <w:rPr>
                <w:sz w:val="18"/>
                <w:szCs w:val="18"/>
                <w:color w:val="auto"/>
              </w:rPr>
            </w:pPr>
          </w:p>
        </w:tc>
        <w:tc>
          <w:tcPr>
            <w:tcW w:w="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8"/>
              </w:rPr>
              <w:t>2,547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40" w:hanging="452"/>
        <w:spacing w:after="0" w:line="370"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As of June 30, 2013, a significant portion of the headcount reductions relating to the cost saving initiatives has been completed, with the remainder expected later in 2013. Such reductions may be partially offset by additional investments and, in the case of managing directors, promotions.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versus June 30, 2012</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the 2013 period of $35 million, as compared to net income of $33 million in the 2012 period. The changes in the Company’s operating results during these periods are described below.</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revenue in the 2013 period increased $53 million, or 12%, with operating revenue increasing $55 million, or 12%, as compared to the 2012 period. Fee revenue from investment banking and other advisory activities increased $20 million, or 8%, primarily due to increases in M&amp;A and Other Advisory fees, partially offset by a decline in Restructuring revenue. The increase in M&amp;A and Other Advisory fee revenue was primarily due to an increase in average fees paid in respect of transactions involving fees greater than $1 million. The decline in Restructuring revenue reflected a relatively low level of corporate defaults. Money management fees, including incentive fees, increased $33 million, or 17%, primarily reflecting a $17 billion, or 11%, increase in average AUM as compared to the 2012 period. In the aggregate, interest income, other revenue and interest expense remained substantially unchanged as compared to the 2012 period.</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Compensation and benefits expense in the 2013 period increased $48 million, or 17%, compared to the 2012 period, and included a $27 million charge related to the cost saving initiatives. Excluding such charge, compensation and benefits expense increased $21 million, or 7%. Factors contributing to the increase included higher compensation costs driven by the increase in operating revenue, partially offset by lower headcount related to the cost saving initiatives and reduced amortization expense in the 2013 period associated with deferred incentive compensation awards related to 2008 deferred incentive compensation (the “2008 grant”). The 2008 grant, which had a comparatively longer, four year vesting period, affected amortization expense for the full year of 2012 but was fully vested as of March 1, 2013.</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$307 million in the 2013 period, an increase of $22 million, or 8%, when compared to $285 million in the 2012 period. The ratio of adjusted compensation and benefits expense to operating revenue was 59.8% for the 2013 period, as compared to 62.3% for the 2012 period. The second quarter 2013 ratio of adjusted compensation and benefits expense to operating revenue assumes, based on current market conditions, a ratio of awarded compensation and benefits expense to operating revenue of approximately 58.5% for the full year of 2013, as compared to 59.3% for the full year of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Non-compensation expense in the 2013 period increased $11 million, or 10%, as compared to the 2012 period. Non-compensation expense in the 2013 period included a charge of $11 million related to the cost saving initiatives. When excluding such charge, as well as non-compensation costs relating to noncontrolling interests, adjusted non-compensation expense in the 2013 period was substantially unchanged. Decreases in (i) marketing and business development expense associated with lower expenses for travel, (ii) technology expense for market data and telecommunications and (iii) professional fees, all primarily attributable to the cost saving initiatives, were offset by deal-related costs, which were higher in the second quarter of 2013 as a result of transactions that closed in this period and by increased mutual fund servicing fees primarily related to the increase in AUM. The ratio of adjusted non-compensation expense to operating revenue was 20.3% in the 2013 period versus 22.9% in the 2012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by $2 million as compared to the 2012 period.</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Operating income in the 2013 period (including the aggregate $38 million charge described above relating to the cost saving initiatives) decreased $4 million, or 8%, as compared to operating income in the 2012 period. Operating income, as a percentage of net revenue, was 8.6%, as compared to 10.4% in the 2012 period.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Earnings from operations increased $34 million, or 51%, when compared to the 2012 period, and, as a percentage of operating revenue, was 20.0% in the 2013 period, as compared to 14.8% in the 2012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provision for income taxes decreased $4 million, or 36%, when compared to the 2012 period, and reflected an effective tax rate of 16.2%, as compared to 23.2% for the 2012 period. The decrease in the effective tax rate is primarily reflective of the change in the geographic mix of earnings.</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Net income attributable to noncontrolling interests decreased $1 million in the 2013 period due to a lower level of income attributable to noncontrolling interests and a decrease in the level of noncontrolling ownership interest.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versus June 30, 2012</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the 2013 period of $51 million, as compared to net income of $59 million in the 2012 period. The changes in the Company’s operating results during these periods are described below.</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revenue in the 2013 period decreased $26 million, or 3%, with operating revenue decreasing $25 million, or 3%, as compared to the 2012 period. Fee revenue from investment banking and other advisory activities decreased $86 million, or 17%, primarily due to decreases in M&amp;A and Other Advisory fees and Restructuring revenue. The decrease in M&amp;A and Other Advisory fee revenue was primarily due to lower average fees per transaction in the 2013 period as compared to the 2012 period, resulting from significant fees earned in the 2012 period related to our sovereign advisory and middle market businesses. The decline in Restructuring revenue reflected higher first-half 2012 revenue, which was driven by the closings of several large assignments in that period, and a relatively low level of corporate defaults. Money management fees, including incentive fees, increased $60 million, or 15%, principally reflecting a $20 billion, or 14%, increase in average AUM as compared to the 2012 period. In the aggregate, interest income, other revenue and interest expense was substantially unchanged compared to the 2012 period.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Compensation and benefits expense in the 2013 period decreased $13 million, or 2%, compared to the 2012 period, and included a $51 million charge related to the cost saving initiatives, as compared to a $22 million charge in the 2012 period related to the staff reductions. Excluding such charges, compensation and benefits expense decreased $42 million, or 7%, driven by the decline in operating revenue, lower headcount related to the cost saving initiatives and reduced amortization expense related to the 2008 grant.</w:t>
      </w:r>
    </w:p>
    <w:p>
      <w:pPr>
        <w:spacing w:after="0" w:line="143"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$555 million in the 2013 period, a decrease of $43 million, or 7%, when compared to $598 million in the 2012 period. The ratio of adjusted compensation and benefits expense to operating revenue was 59.8% for the 2013 period, as compared to 62.7% for the 2012 period. The first half</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2013 ratio of adjusted compensation and benefits expense to operating revenue assumes, based on current market conditions, a ratio of awarded compensation and benefits expense to operating revenue of approximately 58.5% for the full year of 2013, as compared to 59.3% for the full year of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currently expect that amortization of deferred incentive compensation awards, which primarily results from compensation awards related to 2010, 2011 and 2012 deferred compensation, will approximate $304 million for the full year of 2013, a decrease of $31 million as compared to $335 million for the year ended December 31, 2012. The expected reduction is primarily related to the 2008 grant. The 2008 grant had a comparatively longer, four-year vesting period and, together with compensation awards related to 2009, 2010 and 2011 deferred compensation, affected amortization expense for the full year of 2012. The 2008 grant was fully vested on March 1, 2013.</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Non-compensation expense in the 2013 period increased $4 million, or 2%, as compared to the 2012 period and included a charge of $13 million related to the cost saving initiatives, as compared to a charge of $3 million associated with the staff reductions in the first half of 2012. When excluding such charges, as well as non-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compensation costs relating to noncontrolling interests, adjusted non-compensation expense in the 2013 period decreased $7 million, or 3%, as compared to the 2012 period, due to decreases in (i) marketing and business development expense associated with lower expenses for travel and other business development (ii) technology expense for telecommunications and (iii) professional fees, all primarily attributable to the cost saving initiatives. Other contributing factors were reduced deal-related costs, which were higher in the first half of 2012 as a result of transactions that closed in that period. Such decreases were partially offset by increased investments in technology, higher occupancy costs related to the amended lease and build-out of our Rockefeller Center facility and mutual fund servicing fees primarily related to the increase in AUM. The ratio of adjusted non-compensation expense to operating revenue was 21.9% for the 2013 period, as compared to 22.0% for the 2012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$2 million, as compared to the 2012 period.</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Operating income in the 2013 period (including the aggregate $64 million charge described above relating to the cost saving initiatives) decreased $15 million, or 19%, as compared to operating income in the 2012 period (including the $25 million charge in 2012 described above relating to the staff reductions). Operating income, as a percentage of net revenue, was 7.1%, as compared to 8.5% in the 2012 period.</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Earnings from operations increased $24 million, or 17%, when compared to the 2012 period, and, as a percentage of operating revenue, was 18.3% in the 2013 period, as compared to 15.3% in the 2012 period.</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provision for income taxes decreased $6 million, or 36%, when compared to the 2012 period, and reflected an effective tax rate of 15.5%, as compared to 19.7% for the 2012 period. The decrease in the effective tax rate is primarily reflective of the change in the geographic mix of earnings.</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Net income attributable to noncontrolling interests decreased $1 million in the 2013 period due to a lower level of income attributable to noncontrolling interests and a decrease in the level of noncontrolling ownership interest.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jc w:val="right"/>
              <w:ind w:right="1192"/>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6"/>
              </w:rPr>
              <w:t>218,488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195,383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$339,244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387,994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21,583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17,174</w:t>
            </w:r>
          </w:p>
        </w:tc>
        <w:tc>
          <w:tcPr>
            <w:tcW w:w="680" w:type="dxa"/>
            <w:vAlign w:val="bottom"/>
          </w:tcPr>
          <w:p>
            <w:pPr>
              <w:jc w:val="right"/>
              <w:spacing w:after="0"/>
              <w:rPr>
                <w:sz w:val="20"/>
                <w:szCs w:val="20"/>
                <w:color w:val="auto"/>
              </w:rPr>
            </w:pPr>
            <w:r>
              <w:rPr>
                <w:rFonts w:ascii="Arial" w:cs="Arial" w:eastAsia="Arial" w:hAnsi="Arial"/>
                <w:sz w:val="18"/>
                <w:szCs w:val="18"/>
                <w:color w:val="auto"/>
              </w:rPr>
              <w:t>36,269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31,544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240,071</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212,557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375,513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419,538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23,236</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30,067</w:t>
            </w:r>
          </w:p>
        </w:tc>
        <w:tc>
          <w:tcPr>
            <w:tcW w:w="680" w:type="dxa"/>
            <w:vAlign w:val="bottom"/>
          </w:tcPr>
          <w:p>
            <w:pPr>
              <w:jc w:val="right"/>
              <w:spacing w:after="0"/>
              <w:rPr>
                <w:sz w:val="20"/>
                <w:szCs w:val="20"/>
                <w:color w:val="auto"/>
              </w:rPr>
            </w:pPr>
            <w:r>
              <w:rPr>
                <w:rFonts w:ascii="Arial" w:cs="Arial" w:eastAsia="Arial" w:hAnsi="Arial"/>
                <w:sz w:val="18"/>
                <w:szCs w:val="18"/>
                <w:color w:val="auto"/>
              </w:rPr>
              <w:t>56,256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100,282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263,307</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242,624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431,769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519,820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239,766</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231,200</w:t>
            </w:r>
          </w:p>
        </w:tc>
        <w:tc>
          <w:tcPr>
            <w:tcW w:w="680" w:type="dxa"/>
            <w:vAlign w:val="bottom"/>
          </w:tcPr>
          <w:p>
            <w:pPr>
              <w:jc w:val="right"/>
              <w:spacing w:after="0"/>
              <w:rPr>
                <w:sz w:val="20"/>
                <w:szCs w:val="20"/>
                <w:color w:val="auto"/>
              </w:rPr>
            </w:pPr>
            <w:r>
              <w:rPr>
                <w:rFonts w:ascii="Arial" w:cs="Arial" w:eastAsia="Arial" w:hAnsi="Arial"/>
                <w:sz w:val="18"/>
                <w:szCs w:val="18"/>
                <w:color w:val="auto"/>
              </w:rPr>
              <w:t>456,674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481,097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23,541</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11,424</w:t>
            </w:r>
          </w:p>
        </w:tc>
        <w:tc>
          <w:tcPr>
            <w:tcW w:w="14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87"/>
              </w:rPr>
              <w:t>$ (24,905)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38,723</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400" w:type="dxa"/>
            <w:vAlign w:val="bottom"/>
            <w:gridSpan w:val="2"/>
          </w:tcPr>
          <w:p>
            <w:pPr>
              <w:jc w:val="right"/>
              <w:ind w:right="45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00" w:hanging="452"/>
        <w:spacing w:after="0" w:line="370"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2013 includes $25,764 and $47,779 for the three month and six month periods, respectively, associated with the implementation of the cost saving initiatives. All periods include indirect support costs (including compensation and benefits expense and other operating expenses related thereto).</w:t>
      </w:r>
    </w:p>
    <w:p>
      <w:pPr>
        <w:spacing w:after="0" w:line="6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volume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the industry statistics for global M&amp;A transactions described above reflect a 5% increase in the value of completed transactions in the first half of 2013 as compared to the corresponding 2012 period, which was driven primarily by a number of relatively high value transactions in the 2013 period, while the number of completed transactions in the 2013 period decreased 16% as compared to the 2012 period. Our M&amp;A and Other Advisory revenue (which includes Sovereign and Capital Structure Advisory revenue) decreased 13% in the 2013 period as compared to the 2012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8"/>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2"/>
                <w:szCs w:val="12"/>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56</w:t>
            </w: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46</w:t>
            </w:r>
          </w:p>
        </w:tc>
        <w:tc>
          <w:tcPr>
            <w:tcW w:w="160" w:type="dxa"/>
            <w:vAlign w:val="bottom"/>
          </w:tcPr>
          <w:p>
            <w:pPr>
              <w:spacing w:after="0"/>
              <w:rPr>
                <w:sz w:val="18"/>
                <w:szCs w:val="18"/>
                <w:color w:val="auto"/>
              </w:rPr>
            </w:pPr>
          </w:p>
        </w:tc>
        <w:tc>
          <w:tcPr>
            <w:tcW w:w="2000" w:type="dxa"/>
            <w:vAlign w:val="bottom"/>
            <w:gridSpan w:val="3"/>
          </w:tcPr>
          <w:p>
            <w:pPr>
              <w:ind w:left="1020"/>
              <w:spacing w:after="0"/>
              <w:rPr>
                <w:sz w:val="20"/>
                <w:szCs w:val="20"/>
                <w:color w:val="auto"/>
              </w:rPr>
            </w:pPr>
            <w:r>
              <w:rPr>
                <w:rFonts w:ascii="Arial" w:cs="Arial" w:eastAsia="Arial" w:hAnsi="Arial"/>
                <w:sz w:val="18"/>
                <w:szCs w:val="18"/>
                <w:color w:val="auto"/>
              </w:rPr>
              <w:t>44</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3"/>
              </w:rPr>
              <w:t>39%</w:t>
            </w:r>
          </w:p>
        </w:tc>
        <w:tc>
          <w:tcPr>
            <w:tcW w:w="20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13</w:t>
            </w:r>
          </w:p>
        </w:tc>
        <w:tc>
          <w:tcPr>
            <w:tcW w:w="160" w:type="dxa"/>
            <w:vAlign w:val="bottom"/>
          </w:tcPr>
          <w:p>
            <w:pPr>
              <w:spacing w:after="0"/>
              <w:rPr>
                <w:sz w:val="19"/>
                <w:szCs w:val="19"/>
                <w:color w:val="auto"/>
              </w:rPr>
            </w:pPr>
          </w:p>
        </w:tc>
        <w:tc>
          <w:tcPr>
            <w:tcW w:w="2000" w:type="dxa"/>
            <w:vAlign w:val="bottom"/>
            <w:gridSpan w:val="3"/>
          </w:tcPr>
          <w:p>
            <w:pPr>
              <w:ind w:left="1020"/>
              <w:spacing w:after="0"/>
              <w:rPr>
                <w:sz w:val="20"/>
                <w:szCs w:val="20"/>
                <w:color w:val="auto"/>
              </w:rPr>
            </w:pPr>
            <w:r>
              <w:rPr>
                <w:rFonts w:ascii="Arial" w:cs="Arial" w:eastAsia="Arial" w:hAnsi="Arial"/>
                <w:sz w:val="18"/>
                <w:szCs w:val="18"/>
                <w:color w:val="auto"/>
              </w:rPr>
              <w:t>16</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Reuters as of July 9,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versus June 30, 2012</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increased $28 million, or 13%, and Restructuring revenue decreased $7 million, or 23%, as compared to the 2012 period.</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M&amp;A and Other Advisory revenue increased $23 million, or 12%, and Capital Raising revenue increased by $5 million, or 26%, as compared to the 2012 period. The increase in M&amp;A and Other Advisory revenue was primarily due to an increase in the average fees paid in respect of transactions involving fees greater than $1 million. Our major clients, which in the aggregate represented a significant portion of our M&amp;A and Other Advisory revenue for the second quarter of 2013, included 3G Capital and Berkshire Hathaway, Anheuser-Busch InBev, CreXus Investment, Eurasian Natural Resources PLC, LNR Property, NV Energy, Permian Mud Service, Pireaus Bank, Qatar Holding and Utex Industries.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decline in Restructuring revenue was generally in line with a relatively low level of corporate restructuring activity. Clients, which in the aggregate represented a significant portion of our Restructuring revenue in the 2013 period, included Consolis, Financial Guaranty Insurance, Official Committee of Unsecured Creditors of Ambac Financial Group and Oman Investment Fund.</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Operating expenses increased $9 million, or 4%, as compared to the 2012 period, and included a $26 million charge in the 2013 period related to the cost saving initiatives. Excluding such charge, operating expenses decreased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$17 million, or 7%. The primary contributors to the decrease were lower compensation and benefits expense due to headcount reductions related to the cost saving initiatives, a reduction in amortization expense associated with deferred compensation awards and decreased travel and communications expense related to the cost saving initiatives, partially offset by higher deal-related costs as a result of transactions that closed in the 2013 period as compared to the 2012 period.</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Financial Advisory operating income in the 2013 period was $24 million (including the impact of the $26 million charge related to the cost saving initiatives), an increase of $13 million as compared to operating income of $11 million in the 2012 period and, as a percentage of net revenue, was 8.9% as compared to 4.7% in the 2012 period. Excluding the impact of such charge in the 2013 period, operating income in the 2013 period was $50 million, an increase of $39 million, as compared to operating income in the 2012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versus June 30, 2012</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decreased $44 million, or 10%, and Restructuring revenue decreased $44 million, or 44%, as compared to the 2012 period.</w:t>
      </w:r>
    </w:p>
    <w:p>
      <w:pPr>
        <w:spacing w:after="0" w:line="13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M&amp;A and Other Advisory revenue decreased $49 million, or 13%, with Capital Raising revenue increasing $5 million, or 15%, as compared to the 2012 period. The decrease in M&amp;A and Other Advisory revenue was primarily due to lower average fees per transaction in the 2013 period as compared to the 2012 period, resulting from significant fees earned in the 2012 period related to our sovereign advisory and middle markets businesses.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decline in Restructuring revenue reflected higher first-half revenue in 2012, which was driven by the closings of several large assignments, and a relatively low level of corporate defaults.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Operating expenses decreased $24 million, or 5%, as compared to the 2012 period, and included a $48 million charge in the 2013 period related to the cost saving initiatives. Excluding such charge, operating expenses decreased $72 million, or 15%. The primary contributors to the decrease were lower compensation and benefits expense due to lower operating revenue, headcount reductions related to the cost saving initiatives, a reduction in amortization expense associated with deferred compensation awards, decreased travel and communications expense related to the cost saving initiatives and lower deal-related costs as a result of transactions that closed in the 2013 period as compared to the 2012 period, partially offset by higher occupancy costs related to the amended lease and build-out of our Rockefeller Center facility.</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Financial Advisory operating loss in the 2013 period was $25 million (including the impact of the $48 million charge related to the cost saving initiatives), a decrease of $64 million as compared to operating income of $39 million in the 2012 period and, as a percentage of net revenue, was (5.8%) as compared to</w:t>
      </w:r>
    </w:p>
    <w:p>
      <w:pPr>
        <w:ind w:right="220"/>
        <w:spacing w:after="0" w:line="261" w:lineRule="auto"/>
        <w:rPr>
          <w:sz w:val="20"/>
          <w:szCs w:val="20"/>
          <w:color w:val="auto"/>
        </w:rPr>
      </w:pPr>
      <w:r>
        <w:rPr>
          <w:rFonts w:ascii="Arial" w:cs="Arial" w:eastAsia="Arial" w:hAnsi="Arial"/>
          <w:sz w:val="18"/>
          <w:szCs w:val="18"/>
          <w:color w:val="auto"/>
        </w:rPr>
        <w:t>7.4% in the 2012 period. Excluding the impact of such charge in the 2013 period, operating income was $23 million, a decrease of $16 million, as compared to operating income in the 2012 period.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9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b w:val="1"/>
                <w:bCs w:val="1"/>
                <w:color w:val="auto"/>
              </w:rPr>
              <w:t>Equity Platforms: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31,509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36,247</w:t>
            </w:r>
          </w:p>
        </w:tc>
        <w:tc>
          <w:tcPr>
            <w:tcW w:w="100" w:type="dxa"/>
            <w:vAlign w:val="bottom"/>
          </w:tcPr>
          <w:p>
            <w:pPr>
              <w:spacing w:after="0"/>
              <w:rPr>
                <w:sz w:val="18"/>
                <w:szCs w:val="18"/>
                <w:color w:val="auto"/>
              </w:rPr>
            </w:pPr>
          </w:p>
        </w:tc>
      </w:tr>
      <w:tr>
        <w:trPr>
          <w:trHeight w:val="230"/>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28,807</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30,890</w:t>
            </w:r>
          </w:p>
        </w:tc>
        <w:tc>
          <w:tcPr>
            <w:tcW w:w="100" w:type="dxa"/>
            <w:vAlign w:val="bottom"/>
            <w:shd w:val="clear" w:color="auto" w:fill="CCEEFF"/>
          </w:tcPr>
          <w:p>
            <w:pPr>
              <w:spacing w:after="0"/>
              <w:rPr>
                <w:sz w:val="19"/>
                <w:szCs w:val="19"/>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26,411</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134,341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138,171</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b w:val="1"/>
                <w:bCs w:val="1"/>
                <w:color w:val="auto"/>
              </w:rPr>
              <w:t>Fixed Income Platforms: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163,289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167,060</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Average AUM for the 2013 and 2012 periods is set forth below. Average AUM is generally based on an average of quarterly ending balances for the respective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Six Months Ended June</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4"/>
          </w:tcPr>
          <w:p>
            <w:pPr>
              <w:ind w:left="500"/>
              <w:spacing w:after="0" w:line="142" w:lineRule="exact"/>
              <w:rPr>
                <w:sz w:val="20"/>
                <w:szCs w:val="20"/>
                <w:color w:val="auto"/>
              </w:rPr>
            </w:pPr>
            <w:r>
              <w:rPr>
                <w:rFonts w:ascii="Arial" w:cs="Arial" w:eastAsia="Arial" w:hAnsi="Arial"/>
                <w:sz w:val="14"/>
                <w:szCs w:val="14"/>
                <w:b w:val="1"/>
                <w:bCs w:val="1"/>
                <w:color w:val="auto"/>
              </w:rPr>
              <w:t>($ in millions)</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$ 167,783</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$ 150,994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$ 169,370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$ 149,203</w:t>
            </w:r>
          </w:p>
        </w:tc>
      </w:tr>
      <w:tr>
        <w:trPr>
          <w:trHeight w:val="20"/>
        </w:trPr>
        <w:tc>
          <w:tcPr>
            <w:tcW w:w="7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Total AUM at June 30, 2013 decreased $4 billion, or 2%, as compared to total AUM of $167 billion at December 31, 2012, primarily due to net outflows. Average AUM for the three month and six month periods ended June 30, 2013 was 11% and 14% higher, respectively, than that for the corresponding periods in 2012. Within the equity platform, Emerging Markets and Global represented 26% and 19%, respectively, of total AUM at June 30, 2013, as compared to 27% and 22%, respectively, as of December 31, 2012.</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June 30, 2013,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clients, which are principally family offices and individuals, and was substantially unchanged from the corresponding percentages at December 31, 2012.</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30, 2013, AUM denominated in foreign currencies represented approximately 62% of our total AUM, substantially unchanged from the corresponding percentage at December 31, 2012. Foreign denominated AUM generally declines in value with the strengthening of the U.S. Dollar and increases in value as the U.S. Dollar weakens.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2013 and 2012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5"/>
          </w:tcPr>
          <w:p>
            <w:pPr>
              <w:jc w:val="right"/>
              <w:ind w:right="960"/>
              <w:spacing w:after="0" w:line="142" w:lineRule="exact"/>
              <w:rPr>
                <w:sz w:val="20"/>
                <w:szCs w:val="20"/>
                <w:color w:val="auto"/>
              </w:rPr>
            </w:pPr>
            <w:r>
              <w:rPr>
                <w:rFonts w:ascii="Arial" w:cs="Arial" w:eastAsia="Arial" w:hAnsi="Arial"/>
                <w:sz w:val="14"/>
                <w:szCs w:val="14"/>
                <w:b w:val="1"/>
                <w:bCs w:val="1"/>
                <w:color w:val="auto"/>
              </w:rPr>
              <w:t>($ 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$171,965</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$156,708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$167,060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$141,039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(4,127)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1,137</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(5,122)</w:t>
            </w:r>
          </w:p>
        </w:tc>
        <w:tc>
          <w:tcPr>
            <w:tcW w:w="66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(4,549)</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AUM—End of Period</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163,289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148,439</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163,289</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148,439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inflows of $8,264 and $7,301 and outflows of $12,391 and $6,164 for the three month periods in 2013 and 2012, respectively, and inflows of $17,356 and $12,609 and outflows of $22,478 and $11,634 for the six month periods in 2013 and 2012, respectively.</w:t>
      </w:r>
    </w:p>
    <w:p>
      <w:pPr>
        <w:spacing w:after="0" w:line="85"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During the first half of 2013, most of the inflows were attributable to the Emerging Markets and Multi-Regional equity platforms and the Emerging Markets fixed income platform. Most of the outflows in the 2013 period were attributable to the Global and Local equity platforms.</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July 29, 2013, AUM was $169.3 billion, a $6.0 billion increase since June 30, 2013. The increase in AUM was due to market and foreign exchange appreciation of $5.1 billion and net inflows of $0.9 billion.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right"/>
              <w:ind w:right="10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217,700</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195,223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$437,692</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$395,083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24,643</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27,189</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211,053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489,524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187,554</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156,616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342,631</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146,893</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108,474</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7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1500" w:type="dxa"/>
            <w:vAlign w:val="bottom"/>
            <w:gridSpan w:val="3"/>
          </w:tcPr>
          <w:p>
            <w:pPr>
              <w:jc w:val="right"/>
              <w:ind w:right="372"/>
              <w:spacing w:after="0"/>
              <w:rPr>
                <w:sz w:val="20"/>
                <w:szCs w:val="20"/>
                <w:color w:val="auto"/>
              </w:rPr>
            </w:pPr>
            <w:r>
              <w:rPr>
                <w:rFonts w:ascii="Arial" w:cs="Arial" w:eastAsia="Arial" w:hAnsi="Arial"/>
                <w:sz w:val="18"/>
                <w:szCs w:val="18"/>
                <w:color w:val="auto"/>
              </w:rPr>
              <w:t>30.0%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2013, includes $0 and $235 for the three month and six month periods, respectively, associated with the implementation of the cost saving initiatives. All periods include indirect support costs (including compensation and benefits expense and other operating expenses related thereto).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versus June 30, 2012</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Asset Management net revenue increased $34 million, or 16%, as compared to the 2012 period. Management fees increased $22 million, or 12%, as compared to the 2012 period, reflecting a $17 billion, or 11%, increase in average AUM. Incentive fees increased $12 million, or 328%, as compared to the 2012 period, primarily due to fees related to traditional investment products. Other revenue remained substantially unchanged.</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Operating expenses increased $31 million, or 20%, as compared to the 2012 period, primarily due to an increase in compensation and benefits expense and mutual fund servicing fees.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Asset Management operating income in the 2013 period was $58 million, an increase of $4 million, or 6%, compared to operating income of $54 million in the 2012 period and, as a percentage of net revenue, was 23.6%, compared to 25.8% in the 2012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versus June 30, 2012</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Asset Management net revenue increased $64 million, or 15%, as compared to the 2012 period. Management fees increased $43 million, or 11%, as compared to the 2012 period, reflecting a $20 billion, or 14%, increase in average AUM. Incentive fees increased $18 million, or 291%, as compared to the 2012 period, primarily due to fees related to traditional investment products. Other revenue increased $3 million, or 12%, as compared to the 2012 period, primarily due to higher commissions as a result of increased market activity.</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Operating expenses increased $26 million, or 8%, as compared to the 2012 period, primarily due to an increase in compensation and benefits expense and mutual fund servicing fees.</w:t>
      </w:r>
    </w:p>
    <w:p>
      <w:pPr>
        <w:spacing w:after="0" w:line="132"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Asset Management operating income in the 2013 period was $147 million, an increase of $38 million, or 35%, compared to operating income of $109 million in the 2012 period and, as a percentage of net revenue, was 30.0%, compared to 25.5% in the 2012 period.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 in thousands)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4,764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(22,257)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(23,189)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w w:val="86"/>
              </w:rPr>
              <w:t>(44,447)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(45,809)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(19,752)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(19,298)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(39,683)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1,273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2,558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9,901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10,773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(18,479)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(16,740)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(29,782)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21,071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3,667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w w:val="98"/>
              </w:rPr>
              <w:t>29,046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41,230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(39,550)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(20,407)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(58,828)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(69,165)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(i) in 2013, $12,617 and $16,689 for the three month and six month periods, respectively, associated with the implementation of the cost saving initiatives, and (ii) in the six month period of 2012, $24,659 relating to the staff reductions.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versus June 30,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substantially unchanged as compared to the 2012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$1 million, or 50%, as compared to the 2012 period, primarily due to decreased net investment gains.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expenses in the 2013 period increased $17 million, as compared to the 2012 period, and included a charge of $12 million associated with the cost saving initiatives. Excluding the impact of such charge, operating expenses in the 2013 period increased $5 million, as compared to the 2012 period, primarily due to higher compensation and benefits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versus June 30,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substantially unchanged as compared to the 2012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$1 million, or 8%, as compared to the 2012 period, primarily due to decreased net investment gains.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Operating expenses in the 2013 period decreased $12 million, or 30%, compared to the 2012 period, and included in the 2013 period a charge of $16 million associated with the cost saving initiatives, while the 2012 period included a charge of $25 million related to staff reductions. Excluding the impact of such charges, operating expenses in the 2013 period decreased $4 million, or 25%, as compared to the 2012 period, primarily due to lower compensation and benefits expense as a result of headcount reductions relating to the cost saving initiatives and lower amortization expense related to deferred compensation awards, partially offset by increased investments in technology.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managing directors and employees and purchases of Class A common stock. M&amp;A,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the first half of 2013, the Company made cash payments, including severance payments, associated with the cost saving initiatives (see “Cost Saving Initiatives” above and Note 14 of Notes to Condensed Consolidated Financial Statements), with the remaining cash payments expected to be paid primarily during the second half of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center"/>
              <w:ind w:right="13"/>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184.7</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196.5</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7"/>
              </w:rPr>
              <w:t>(225.0)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(232.3)</w:t>
            </w:r>
          </w:p>
        </w:tc>
        <w:tc>
          <w:tcPr>
            <w:tcW w:w="0" w:type="dxa"/>
            <w:vAlign w:val="bottom"/>
          </w:tcPr>
          <w:p>
            <w:pPr>
              <w:spacing w:after="0"/>
              <w:rPr>
                <w:sz w:val="1"/>
                <w:szCs w:val="1"/>
                <w:color w:val="auto"/>
              </w:rPr>
            </w:pPr>
          </w:p>
        </w:tc>
      </w:tr>
      <w:tr>
        <w:trPr>
          <w:trHeight w:val="230"/>
        </w:trPr>
        <w:tc>
          <w:tcPr>
            <w:tcW w:w="7500" w:type="dxa"/>
            <w:vAlign w:val="bottom"/>
            <w:gridSpan w:val="2"/>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12"/>
              <w:spacing w:after="0"/>
              <w:rPr>
                <w:sz w:val="20"/>
                <w:szCs w:val="20"/>
                <w:color w:val="auto"/>
              </w:rPr>
            </w:pPr>
            <w:r>
              <w:rPr>
                <w:rFonts w:ascii="Arial" w:cs="Arial" w:eastAsia="Arial" w:hAnsi="Arial"/>
                <w:sz w:val="18"/>
                <w:szCs w:val="18"/>
                <w:color w:val="auto"/>
                <w:w w:val="87"/>
              </w:rPr>
              <w:t>(207.9)</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00" w:type="dxa"/>
            <w:vAlign w:val="bottom"/>
            <w:gridSpan w:val="2"/>
            <w:vMerge w:val="continue"/>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12"/>
              <w:spacing w:after="0"/>
              <w:rPr>
                <w:sz w:val="20"/>
                <w:szCs w:val="20"/>
                <w:color w:val="auto"/>
              </w:rPr>
            </w:pPr>
            <w:r>
              <w:rPr>
                <w:rFonts w:ascii="Arial" w:cs="Arial" w:eastAsia="Arial" w:hAnsi="Arial"/>
                <w:sz w:val="18"/>
                <w:szCs w:val="18"/>
                <w:color w:val="auto"/>
                <w:w w:val="87"/>
              </w:rPr>
              <w:t>(249.8)</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8"/>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845.5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3260" w:type="dxa"/>
            <w:vAlign w:val="bottom"/>
            <w:gridSpan w:val="4"/>
            <w:shd w:val="clear" w:color="auto" w:fill="CCEEFF"/>
          </w:tcPr>
          <w:p>
            <w:pPr>
              <w:jc w:val="right"/>
              <w:ind w:right="472"/>
              <w:spacing w:after="0"/>
              <w:rPr>
                <w:sz w:val="20"/>
                <w:szCs w:val="20"/>
                <w:color w:val="auto"/>
              </w:rPr>
            </w:pPr>
            <w:r>
              <w:rPr>
                <w:rFonts w:ascii="Arial" w:cs="Arial" w:eastAsia="Arial" w:hAnsi="Arial"/>
                <w:sz w:val="18"/>
                <w:szCs w:val="18"/>
                <w:color w:val="auto"/>
              </w:rPr>
              <w:t>$ 595.7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725.4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50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166.2</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172.4</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Loss on sale of intercompany receivable</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60" w:type="dxa"/>
            <w:vAlign w:val="bottom"/>
            <w:gridSpan w:val="4"/>
            <w:shd w:val="clear" w:color="auto" w:fill="CCEEFF"/>
          </w:tcPr>
          <w:p>
            <w:pPr>
              <w:jc w:val="right"/>
              <w:ind w:right="472"/>
              <w:spacing w:after="0"/>
              <w:rPr>
                <w:sz w:val="20"/>
                <w:szCs w:val="20"/>
                <w:color w:val="auto"/>
              </w:rPr>
            </w:pPr>
            <w:r>
              <w:rPr>
                <w:rFonts w:ascii="Arial" w:cs="Arial" w:eastAsia="Arial" w:hAnsi="Arial"/>
                <w:sz w:val="18"/>
                <w:szCs w:val="18"/>
                <w:color w:val="auto"/>
              </w:rPr>
              <w:t>$ 184.7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196.5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300" w:hanging="452"/>
        <w:spacing w:after="0" w:line="323"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settlements of vested restricted stock units (“RSUs”), distributions to members and noncontrolling interest holders and, in the 2012 period, proceeds from the sale of an intercompany receivable to a subsidiary of Lazard Ltd.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Liquidity has also been impacted by cash payments, including severance payments, associated with the cost saving initiatives (see “Cost Saving Initiatives” above and Note 14 of Notes to Condensed Consolidated Financial Statements), with the remaining cash payments expected to be paid primarily during the second half of 2013.</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June 30, 2013, Lazard had approximately $596 million of cash, with such amount including approximately $282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June 30, 2013, Lazard had approximately $262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$52 million (at June 30, 2013 exchange rates) and Edgewater of $55 million. In addition, LFB has access to the Eurosystem Covered Bond Purchase Program of the Banque de France.</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June 30, 2013 and December 31, 2012.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32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8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4"/>
                <w:szCs w:val="14"/>
                <w:color w:val="auto"/>
              </w:rPr>
            </w:pPr>
          </w:p>
        </w:tc>
        <w:tc>
          <w:tcPr>
            <w:tcW w:w="13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 in millions)</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528.5</w:t>
            </w:r>
          </w:p>
        </w:tc>
        <w:tc>
          <w:tcPr>
            <w:tcW w:w="10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528.5</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548.4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1,076.9</w:t>
            </w:r>
          </w:p>
        </w:tc>
        <w:tc>
          <w:tcPr>
            <w:tcW w:w="8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1,076.9</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2013, Lazard Group was in compliance with such ratios, with its Consolidated Leverage Ratio being 1.79 to 1.00 and its Consolidated Interest Coverage Ratio being 8.68 to 1.00. In any event, no amounts were outstanding under the Credit Facility as of June 30, 2013.</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June 30, 2013,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June 30, 2013, total members’ equity was $483 million, as compared to $529 million at December 31, 2012, including $411 million and $453 million attributable to Lazard Group on the respective dates. The net activity in members’ equity during the six month period ended June 30, 2013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Equity—January 1, 2013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83"/>
        </w:trPr>
        <w:tc>
          <w:tcPr>
            <w:tcW w:w="942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Class A common stock</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w w:val="94"/>
              </w:rPr>
              <w:t>Delivery of Class A common stock in connection with share-based incentive compensation and related tax benefit of $1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Distributions to members and noncontrolling interests’ - net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AOCI (including noncontrolling interests’ portion thereof)(a)</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Equity—June 30, 2013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9420" w:type="dxa"/>
            <w:vAlign w:val="bottom"/>
            <w:gridSpan w:val="3"/>
          </w:tcPr>
          <w:p>
            <w:pPr>
              <w:spacing w:after="0"/>
              <w:rPr>
                <w:sz w:val="20"/>
                <w:szCs w:val="20"/>
                <w:color w:val="auto"/>
              </w:rPr>
            </w:pPr>
            <w:r>
              <w:rPr>
                <w:rFonts w:ascii="Arial" w:cs="Arial" w:eastAsia="Arial" w:hAnsi="Arial"/>
                <w:sz w:val="18"/>
                <w:szCs w:val="18"/>
                <w:color w:val="auto"/>
              </w:rPr>
              <w:t>(a) Includes:</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foreign currency translation adjustments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Employee benefit plans and other adjustments</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In February 2011, October 2011, April 2012 and October 2012 the Board of Directors of Lazard Ltd authorized the repurchase of up to $250 million, $125 million, $125 million and $200 million,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respectively. During the six month period ended June 30, 2013 the Company repurchased 1,434,657 shares of Class A common stock, at an aggregate cost of $50 million (no Lazard Group common membership interests were purchased during such six month period). Furthermore, in order to help offset the dilutive effect of our share-based incentive compensation plans, during a given year Lazard intends to repurchase at least as many shares as it expects to ultimately issue pursuant to such plans in respect of year-end incentive compensation attributable to the prior year</w:t>
      </w:r>
      <w:r>
        <w:rPr>
          <w:rFonts w:ascii="Arial" w:cs="Arial" w:eastAsia="Arial" w:hAnsi="Arial"/>
          <w:sz w:val="15"/>
          <w:szCs w:val="15"/>
          <w:i w:val="1"/>
          <w:iCs w:val="1"/>
          <w:color w:val="auto"/>
        </w:rPr>
        <w:t>.</w:t>
      </w:r>
    </w:p>
    <w:p>
      <w:pPr>
        <w:spacing w:after="0" w:line="10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June 30, 2013, $104 million of the current share repurchase amount authorized as of such date remained available under the share repurchase program, all of which expires on December 31, 2014.</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terms of the 2005 Plan and the 2008 Plan, upon the vesting of RSUs, performance-based restricted stock units (“PRSUs”) and delivery of restricted Class A common stock, shares of Class A common stock may be withheld by the Company to meet the minimum statutory tax withholding requirements. In that regard, during the six month period ended June 30, 2013, the Company withheld $120 million to satisfy its withholding tax obligations for certain employees on vested RSUs and delivery of restricted Class A common stock in lieu of issuing 3,327,815 shares of Class A common stock.</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including by repurchasing outstanding shares of Class A common stock, paying distributions to members and repurchasing its outstanding debt.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Note 11 and 12 of Notes to Condensed Consolidated Financial Statements for additional information regarding Lazard’s members’ equity and incentive plans,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$ 1,302,410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75,218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$ 641,280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$ 585,912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Operating Leases (excluding $154,165 of sublease income)</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1,031,146</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81,742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150,360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134,959</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664,085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18,871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27,649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27,649</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$ 2,380,076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$ 187,729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$ 797,201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$ 731,061</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$ 664,085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 These amounts are generally due on demand and therefore are presented in the “less than 1 year” category.</w:t>
      </w:r>
    </w:p>
    <w:p>
      <w:pPr>
        <w:ind w:left="460" w:right="40" w:hanging="452"/>
        <w:spacing w:after="0" w:line="30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2012, the Company recorded gross deferred tax assets of approximately $208 million, with such amount partially offset by a valuation allowance of approximately $103 million due to the uncertainty of realizing the benefits of the book versus tax basis differences and certain net operating loss carry-forwards. In assessing the realizability of deferred tax assets, we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of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“Risk Factors” and Note 17 of Notes to Consolidated Financial Statements in our Form 10-K for additional information regarding income tax matters.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 primarily of debt and equity securities, and interests in alternative investment, debt, equity and private equity funds.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“accumulated other comprehensive income (loss), net of tax” (“AOCI”), to the extent 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The Company holds no “available-for-sale” or “held-to-maturity” securities.</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June 30, 2013(a)</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0"/>
              </w:rPr>
              <w:t>December 31, 2012(a)</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7320" w:type="dxa"/>
            <w:vAlign w:val="bottom"/>
            <w:gridSpan w:val="2"/>
          </w:tcPr>
          <w:p>
            <w:pPr>
              <w:spacing w:after="0"/>
              <w:rPr>
                <w:sz w:val="20"/>
                <w:szCs w:val="20"/>
                <w:color w:val="auto"/>
              </w:rPr>
            </w:pPr>
            <w:r>
              <w:rPr>
                <w:rFonts w:ascii="Arial" w:cs="Arial" w:eastAsia="Arial" w:hAnsi="Arial"/>
                <w:sz w:val="18"/>
                <w:szCs w:val="18"/>
                <w:color w:val="auto"/>
                <w:w w:val="98"/>
              </w:rPr>
              <w:t>Equity securities (net of $3 and $3 of securities sold, not yet purchased, at June 30, 2013 and</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2"/>
          </w:tcPr>
          <w:p>
            <w:pPr>
              <w:ind w:left="220"/>
              <w:spacing w:after="0"/>
              <w:rPr>
                <w:sz w:val="20"/>
                <w:szCs w:val="20"/>
                <w:color w:val="auto"/>
              </w:rPr>
            </w:pPr>
            <w:r>
              <w:rPr>
                <w:rFonts w:ascii="Arial" w:cs="Arial" w:eastAsia="Arial" w:hAnsi="Arial"/>
                <w:sz w:val="18"/>
                <w:szCs w:val="18"/>
                <w:color w:val="auto"/>
              </w:rPr>
              <w:t>December 31, 2012, respectively) (c)</w:t>
            </w: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740" w:type="dxa"/>
            <w:vAlign w:val="bottom"/>
          </w:tcPr>
          <w:p>
            <w:pPr>
              <w:spacing w:after="0"/>
              <w:rPr>
                <w:sz w:val="19"/>
                <w:szCs w:val="19"/>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investment funds (d)</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Debt funds (e)</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 (f)</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7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Private equity funds owned (g)</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(h)</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Net investments</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435</w:t>
            </w:r>
          </w:p>
        </w:tc>
        <w:tc>
          <w:tcPr>
            <w:tcW w:w="74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400</w:t>
            </w:r>
          </w:p>
        </w:tc>
        <w:tc>
          <w:tcPr>
            <w:tcW w:w="6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2,985</w:t>
            </w:r>
          </w:p>
        </w:tc>
        <w:tc>
          <w:tcPr>
            <w:tcW w:w="7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3,048</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6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5"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with an aggregate fair value of $160 million and $101 million at June 30, 2013 and December 31, 2012,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Equity securities primarily consist of seed investments invested in marketable equity securities of large-, mid- and small-cap domestic, international and global companies held within separately managed accounts related to our Asset Management business.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 June 30, 2013 and December 31, 2012, investments in marketable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7"/>
              </w:rPr>
              <w:t>June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900" w:type="dxa"/>
            <w:vAlign w:val="bottom"/>
          </w:tcPr>
          <w:p>
            <w:pPr>
              <w:spacing w:after="0"/>
              <w:rPr>
                <w:sz w:val="12"/>
                <w:szCs w:val="12"/>
                <w:color w:val="auto"/>
              </w:rPr>
            </w:pPr>
          </w:p>
        </w:tc>
        <w:tc>
          <w:tcPr>
            <w:tcW w:w="42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rPr>
              <w:t>30,</w:t>
            </w:r>
          </w:p>
        </w:tc>
        <w:tc>
          <w:tcPr>
            <w:tcW w:w="1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79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96"/>
        </w:trPr>
        <w:tc>
          <w:tcPr>
            <w:tcW w:w="79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90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600" w:type="dxa"/>
            <w:vAlign w:val="bottom"/>
            <w:gridSpan w:val="2"/>
          </w:tcPr>
          <w:p>
            <w:pPr>
              <w:jc w:val="right"/>
              <w:ind w:right="104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7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16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r>
      <w:tr>
        <w:trPr>
          <w:trHeight w:val="216"/>
        </w:trPr>
        <w:tc>
          <w:tcPr>
            <w:tcW w:w="7900" w:type="dxa"/>
            <w:vAlign w:val="bottom"/>
          </w:tcPr>
          <w:p>
            <w:pPr>
              <w:ind w:left="1480"/>
              <w:spacing w:after="0"/>
              <w:rPr>
                <w:sz w:val="20"/>
                <w:szCs w:val="20"/>
                <w:color w:val="auto"/>
              </w:rPr>
            </w:pPr>
            <w:r>
              <w:rPr>
                <w:rFonts w:ascii="Arial" w:cs="Arial" w:eastAsia="Arial" w:hAnsi="Arial"/>
                <w:sz w:val="18"/>
                <w:szCs w:val="18"/>
                <w:color w:val="auto"/>
              </w:rPr>
              <w:t>Energy</w:t>
            </w:r>
          </w:p>
        </w:tc>
        <w:tc>
          <w:tcPr>
            <w:tcW w:w="1600" w:type="dxa"/>
            <w:vAlign w:val="bottom"/>
            <w:gridSpan w:val="2"/>
          </w:tcPr>
          <w:p>
            <w:pPr>
              <w:jc w:val="right"/>
              <w:ind w:right="1180"/>
              <w:spacing w:after="0"/>
              <w:rPr>
                <w:sz w:val="20"/>
                <w:szCs w:val="20"/>
                <w:color w:val="auto"/>
              </w:rPr>
            </w:pPr>
            <w:r>
              <w:rPr>
                <w:rFonts w:ascii="Arial" w:cs="Arial" w:eastAsia="Arial" w:hAnsi="Arial"/>
                <w:sz w:val="18"/>
                <w:szCs w:val="18"/>
                <w:color w:val="auto"/>
              </w:rPr>
              <w:t>6</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7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16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16"/>
        </w:trPr>
        <w:tc>
          <w:tcPr>
            <w:tcW w:w="790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1600" w:type="dxa"/>
            <w:vAlign w:val="bottom"/>
            <w:gridSpan w:val="2"/>
          </w:tcPr>
          <w:p>
            <w:pPr>
              <w:jc w:val="right"/>
              <w:ind w:right="1180"/>
              <w:spacing w:after="0"/>
              <w:rPr>
                <w:sz w:val="20"/>
                <w:szCs w:val="20"/>
                <w:color w:val="auto"/>
              </w:rPr>
            </w:pPr>
            <w:r>
              <w:rPr>
                <w:rFonts w:ascii="Arial" w:cs="Arial" w:eastAsia="Arial" w:hAnsi="Arial"/>
                <w:sz w:val="18"/>
                <w:szCs w:val="18"/>
                <w:color w:val="auto"/>
              </w:rPr>
              <w:t>5</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7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7900" w:type="dxa"/>
            <w:vAlign w:val="bottom"/>
          </w:tcPr>
          <w:p>
            <w:pPr>
              <w:ind w:left="190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104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relating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94"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Comprised primarily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a fund targeting significant noncontrolling-stake investments in established private companies; (iii) Edgewater Growth Capital Partners III, L.P. a fund primarily making growth equity and buyout investments in middle market companies and (iv) COF 2, a Lazard-managed Australian fund targeting Australasian mid-market investments.</w:t>
      </w:r>
    </w:p>
    <w:p>
      <w:pPr>
        <w:spacing w:after="0" w:line="34"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At June 30, 2013 and December 31, 2012, $113 million and $116 million, respectively, of our total investments at a fair value of $435 million and $400 million, respectively, or 26% and 29%, respectively, were classified as Level 3 assets. Substantially all of our Level 3 investments at both dates are priced based on NAV or its equivalent. During the six month periods ended June 30, 2013 and 2012, gains of approximately $3 million and $12 million, respectively, were recognized in “revenue-other” on the consolidated statement of operations pertaining to Level 3 investments.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fluctuations in the fair value of positions held in our investment portfolios” in our Form 10-K.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primarily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Lazard Group and entities in which it has a controlling interest. Lazard determines whether it has a controlling interest in an entity by first evaluating whether such entity is a voting interest entity or a variable interest entity (“VIE”) under U.S. GAAP.</w:t>
      </w:r>
    </w:p>
    <w:p>
      <w:pPr>
        <w:spacing w:after="0" w:line="4" w:lineRule="exact"/>
        <w:rPr>
          <w:sz w:val="20"/>
          <w:szCs w:val="20"/>
          <w:color w:val="auto"/>
        </w:rPr>
      </w:pPr>
    </w:p>
    <w:p>
      <w:pPr>
        <w:ind w:left="1480" w:right="160" w:hanging="446"/>
        <w:spacing w:after="0" w:line="268"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480" w:right="100"/>
        <w:spacing w:after="0" w:line="259" w:lineRule="auto"/>
        <w:rPr>
          <w:sz w:val="20"/>
          <w:szCs w:val="20"/>
          <w:color w:val="auto"/>
        </w:rPr>
      </w:pPr>
      <w:r>
        <w:rPr>
          <w:rFonts w:ascii="Arial" w:cs="Arial" w:eastAsia="Arial" w:hAnsi="Arial"/>
          <w:sz w:val="18"/>
          <w:szCs w:val="18"/>
          <w:color w:val="auto"/>
        </w:rPr>
        <w:t>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59" w:lineRule="exact"/>
        <w:rPr>
          <w:sz w:val="20"/>
          <w:szCs w:val="20"/>
          <w:color w:val="auto"/>
        </w:rPr>
      </w:pPr>
    </w:p>
    <w:p>
      <w:pPr>
        <w:ind w:left="1480" w:right="360" w:hanging="446"/>
        <w:spacing w:after="0" w:line="332" w:lineRule="auto"/>
        <w:tabs>
          <w:tab w:leader="none" w:pos="1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where appropriate,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June 30, 2013, total receivables amounted to $634 million, net of an allowance for doubtful accounts of $25 million. As of that date, Financial Advisory and Asset Management fees, and customer and related party receivables comprised 62%, 18% and 20% of total receivables, respectively. At December 31, 2012, total receivables amounted to $583 million, net of an allowance for doubtful accounts of $23 million. As of that date, Financial Advisory and Asset Management fees, and customer and related party receivables comprised 69%, 9% and 22% of total receivables, respectively. At June 30, 2013 and December 31, 2012, the Company had receivables past due or deemed uncollectible of approximately $28 million and $26 million, respectively. See also “Critical Accounting Policies and Estimates—Revenue Recognition” above and Note 3 of Notes to Condensed Consolidated Financial Statements for additional information regarding receivables.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June 30, 2013 and December 31, 2012, customer receivables included $17 million and $14 million of LFB loans, respectively. Such loans are closely monitored for counterparty creditworthiness to help minimize exposure. In addition, as of June 30, 2013, LFB’s commitments to lend, which are fully collateralized and generally contain requirements for the counterparty to maintain a minimum collateral level, were not significant.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and, in addition, LFB has in place concentration risk limits. At June 30, 2013, excluding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inter-bank counterparties, LFB had no exposure to an individual counterparty that exceeded $6 million. With respect to activities outside LFB, as of June 30, 2013 the Company’s largest individual counterparty exposure was a Financial Advisory fee receivable of $15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related to our Asset Management business. Derivative contracts are recorded at fair value. Derivative assets amounted to $7 million and $1 million at June 30, 2013 and December 31, 2012, respectively, and derivative liabilities, excluding the derivative liability arising from the Company’s obligation pertaining to Lazard Fund Interests and other similar deferred compensation arrangements, amounted to $1 million and $5 million at such respective dates.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$151 million and $98 million at June 30, 2013 and December 31, 2012, respectively.</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June 30, 2013,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June 30, 2013, Lazard estimates that its annual operating income relating to cash and short-term investments and corporate indebtedness would increase by approximately $6 million in the event interest rates were to increase by 1% and decrease by approximately $2 million if rates were to decrease by 1%.</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June 30, 2013, the Company’s cash and cash equivalents totaled approximately $596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00"/>
          </w:cols>
          <w:pgMar w:left="24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8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80" w:type="dxa"/>
            <w:vAlign w:val="bottom"/>
          </w:tcPr>
          <w:p>
            <w:pPr>
              <w:ind w:left="480"/>
              <w:spacing w:after="0"/>
              <w:rPr>
                <w:sz w:val="20"/>
                <w:szCs w:val="20"/>
                <w:color w:val="auto"/>
              </w:rPr>
            </w:pPr>
            <w:r>
              <w:rPr>
                <w:rFonts w:ascii="Arial" w:cs="Arial" w:eastAsia="Arial" w:hAnsi="Arial"/>
                <w:sz w:val="18"/>
                <w:szCs w:val="18"/>
                <w:color w:val="auto"/>
                <w:w w:val="91"/>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80" w:type="dxa"/>
            <w:vAlign w:val="bottom"/>
          </w:tcPr>
          <w:p>
            <w:pPr>
              <w:ind w:left="480"/>
              <w:spacing w:after="0"/>
              <w:rPr>
                <w:sz w:val="20"/>
                <w:szCs w:val="20"/>
                <w:color w:val="auto"/>
              </w:rPr>
            </w:pPr>
            <w:r>
              <w:rPr>
                <w:rFonts w:ascii="Arial" w:cs="Arial" w:eastAsia="Arial" w:hAnsi="Arial"/>
                <w:sz w:val="18"/>
                <w:szCs w:val="18"/>
                <w:color w:val="auto"/>
                <w:w w:val="92"/>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80" w:type="dxa"/>
            <w:vAlign w:val="bottom"/>
          </w:tcPr>
          <w:p>
            <w:pPr>
              <w:ind w:left="480"/>
              <w:spacing w:after="0"/>
              <w:rPr>
                <w:sz w:val="20"/>
                <w:szCs w:val="20"/>
                <w:color w:val="auto"/>
              </w:rPr>
            </w:pPr>
            <w:r>
              <w:rPr>
                <w:rFonts w:ascii="Arial" w:cs="Arial" w:eastAsia="Arial" w:hAnsi="Arial"/>
                <w:sz w:val="18"/>
                <w:szCs w:val="18"/>
                <w:color w:val="auto"/>
                <w:w w:val="92"/>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80" w:type="dxa"/>
            <w:vAlign w:val="bottom"/>
          </w:tcPr>
          <w:p>
            <w:pPr>
              <w:ind w:left="48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80" w:type="dxa"/>
            <w:vAlign w:val="bottom"/>
          </w:tcPr>
          <w:p>
            <w:pPr>
              <w:ind w:left="480"/>
              <w:spacing w:after="0"/>
              <w:rPr>
                <w:sz w:val="20"/>
                <w:szCs w:val="20"/>
                <w:color w:val="auto"/>
              </w:rPr>
            </w:pPr>
            <w:r>
              <w:rPr>
                <w:rFonts w:ascii="Arial" w:cs="Arial" w:eastAsia="Arial" w:hAnsi="Arial"/>
                <w:sz w:val="18"/>
                <w:szCs w:val="18"/>
                <w:color w:val="auto"/>
                <w:w w:val="91"/>
              </w:rPr>
              <w:t>Amendment No. 2, dated as of May 7, 2008,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3.6</w:t>
            </w:r>
          </w:p>
        </w:tc>
        <w:tc>
          <w:tcPr>
            <w:tcW w:w="10580" w:type="dxa"/>
            <w:vAlign w:val="bottom"/>
          </w:tcPr>
          <w:p>
            <w:pPr>
              <w:ind w:left="48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80" w:type="dxa"/>
            <w:vAlign w:val="bottom"/>
          </w:tcPr>
          <w:p>
            <w:pPr>
              <w:ind w:left="480"/>
              <w:spacing w:after="0"/>
              <w:rPr>
                <w:sz w:val="20"/>
                <w:szCs w:val="20"/>
                <w:color w:val="auto"/>
              </w:rPr>
            </w:pPr>
            <w:r>
              <w:rPr>
                <w:rFonts w:ascii="Arial" w:cs="Arial" w:eastAsia="Arial" w:hAnsi="Arial"/>
                <w:sz w:val="18"/>
                <w:szCs w:val="18"/>
                <w:color w:val="auto"/>
                <w:w w:val="92"/>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80" w:type="dxa"/>
            <w:vAlign w:val="bottom"/>
          </w:tcPr>
          <w:p>
            <w:pPr>
              <w:ind w:left="480"/>
              <w:spacing w:after="0"/>
              <w:rPr>
                <w:sz w:val="20"/>
                <w:szCs w:val="20"/>
                <w:color w:val="auto"/>
              </w:rPr>
            </w:pPr>
            <w:r>
              <w:rPr>
                <w:rFonts w:ascii="Arial" w:cs="Arial" w:eastAsia="Arial" w:hAnsi="Arial"/>
                <w:sz w:val="18"/>
                <w:szCs w:val="18"/>
                <w:color w:val="auto"/>
                <w:w w:val="88"/>
              </w:rPr>
              <w:t>First Supplemental Indenture, dated as of May 10, 2005, by and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reference to Exhibit 4.2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80" w:type="dxa"/>
            <w:vAlign w:val="bottom"/>
          </w:tcPr>
          <w:p>
            <w:pPr>
              <w:ind w:left="480"/>
              <w:spacing w:after="0"/>
              <w:rPr>
                <w:sz w:val="20"/>
                <w:szCs w:val="20"/>
                <w:color w:val="auto"/>
              </w:rPr>
            </w:pPr>
            <w:r>
              <w:rPr>
                <w:rFonts w:ascii="Arial" w:cs="Arial" w:eastAsia="Arial" w:hAnsi="Arial"/>
                <w:sz w:val="18"/>
                <w:szCs w:val="18"/>
                <w:color w:val="auto"/>
                <w:w w:val="91"/>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80" w:type="dxa"/>
            <w:vAlign w:val="bottom"/>
          </w:tcPr>
          <w:p>
            <w:pPr>
              <w:ind w:left="480"/>
              <w:spacing w:after="0"/>
              <w:rPr>
                <w:sz w:val="20"/>
                <w:szCs w:val="20"/>
                <w:color w:val="auto"/>
              </w:rPr>
            </w:pPr>
            <w:r>
              <w:rPr>
                <w:rFonts w:ascii="Arial" w:cs="Arial" w:eastAsia="Arial" w:hAnsi="Arial"/>
                <w:sz w:val="18"/>
                <w:szCs w:val="18"/>
                <w:color w:val="auto"/>
              </w:rPr>
              <w:t>Form of Senior Notes (included in Exhibits 4.2 and 4.3).</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580" w:type="dxa"/>
            <w:vAlign w:val="bottom"/>
          </w:tcPr>
          <w:p>
            <w:pPr>
              <w:ind w:left="480"/>
              <w:spacing w:after="0"/>
              <w:rPr>
                <w:sz w:val="20"/>
                <w:szCs w:val="20"/>
                <w:color w:val="auto"/>
              </w:rPr>
            </w:pPr>
            <w:r>
              <w:rPr>
                <w:rFonts w:ascii="Arial" w:cs="Arial" w:eastAsia="Arial" w:hAnsi="Arial"/>
                <w:sz w:val="18"/>
                <w:szCs w:val="18"/>
                <w:color w:val="auto"/>
                <w:w w:val="90"/>
              </w:rPr>
              <w:t>$546 million, 7.125% Senior Notes Due 2015, issued by the Registrant (incorporated by reference to Exhibit 4.5 to the Registrant’s Quarterly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Report (File No. 333-126751) on Form 10-Q filed on November 14,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580" w:type="dxa"/>
            <w:vAlign w:val="bottom"/>
          </w:tcPr>
          <w:p>
            <w:pPr>
              <w:ind w:left="480"/>
              <w:spacing w:after="0"/>
              <w:rPr>
                <w:sz w:val="20"/>
                <w:szCs w:val="20"/>
                <w:color w:val="auto"/>
              </w:rPr>
            </w:pPr>
            <w:r>
              <w:rPr>
                <w:rFonts w:ascii="Arial" w:cs="Arial" w:eastAsia="Arial" w:hAnsi="Arial"/>
                <w:sz w:val="18"/>
                <w:szCs w:val="18"/>
                <w:color w:val="auto"/>
                <w:w w:val="94"/>
              </w:rPr>
              <w:t>Master Separation Agreement, dated as of May 10, 2005, by and among the Registrant, Lazard Ltd, LAZ-MD Holdings LLC and LFCM</w:t>
            </w:r>
          </w:p>
        </w:tc>
      </w:tr>
      <w:tr>
        <w:trPr>
          <w:trHeight w:val="216"/>
        </w:trPr>
        <w:tc>
          <w:tcPr>
            <w:tcW w:w="780" w:type="dxa"/>
            <w:vAlign w:val="bottom"/>
          </w:tcPr>
          <w:p>
            <w:pPr>
              <w:spacing w:after="0"/>
              <w:rPr>
                <w:sz w:val="18"/>
                <w:szCs w:val="18"/>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w w:val="90"/>
              </w:rPr>
              <w:t>Holdings LLC (incorporated by reference to Exhibit 2.1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580" w:type="dxa"/>
            <w:vAlign w:val="bottom"/>
          </w:tcPr>
          <w:p>
            <w:pPr>
              <w:ind w:left="480"/>
              <w:spacing w:after="0"/>
              <w:rPr>
                <w:sz w:val="20"/>
                <w:szCs w:val="20"/>
                <w:color w:val="auto"/>
              </w:rPr>
            </w:pPr>
            <w:r>
              <w:rPr>
                <w:rFonts w:ascii="Arial" w:cs="Arial" w:eastAsia="Arial" w:hAnsi="Arial"/>
                <w:sz w:val="18"/>
                <w:szCs w:val="18"/>
                <w:color w:val="auto"/>
                <w:w w:val="87"/>
              </w:rPr>
              <w:t>Amendment No. 1, dated as of November 6, 2006, to the Master Separation Agreement, dated as of May 10, 2005, by and among to Registrant,</w:t>
            </w:r>
          </w:p>
        </w:tc>
      </w:tr>
      <w:tr>
        <w:trPr>
          <w:trHeight w:val="216"/>
        </w:trPr>
        <w:tc>
          <w:tcPr>
            <w:tcW w:w="780" w:type="dxa"/>
            <w:vAlign w:val="bottom"/>
          </w:tcPr>
          <w:p>
            <w:pPr>
              <w:spacing w:after="0"/>
              <w:rPr>
                <w:sz w:val="18"/>
                <w:szCs w:val="18"/>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w w:val="90"/>
              </w:rPr>
              <w:t>Lazard Ltd and LAZ-MD Holdings LLC (incorporated by reference to Exhibit 10.2 to the Registrant’s Quarterly Report (File No. 333-126751)</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on Form 10-Q filed on November 7, 2006).</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580" w:type="dxa"/>
            <w:vAlign w:val="bottom"/>
          </w:tcPr>
          <w:p>
            <w:pPr>
              <w:ind w:left="480"/>
              <w:spacing w:after="0"/>
              <w:rPr>
                <w:sz w:val="20"/>
                <w:szCs w:val="20"/>
                <w:color w:val="auto"/>
              </w:rPr>
            </w:pPr>
            <w:r>
              <w:rPr>
                <w:rFonts w:ascii="Arial" w:cs="Arial" w:eastAsia="Arial" w:hAnsi="Arial"/>
                <w:sz w:val="18"/>
                <w:szCs w:val="18"/>
                <w:color w:val="auto"/>
                <w:w w:val="88"/>
              </w:rPr>
              <w:t>Second Amendment, dated as of May 7, 2008, to the Master Separation Agreement, dated as of May 10, 2005, as amended, by and among the</w:t>
            </w:r>
          </w:p>
        </w:tc>
      </w:tr>
      <w:tr>
        <w:trPr>
          <w:trHeight w:val="216"/>
        </w:trPr>
        <w:tc>
          <w:tcPr>
            <w:tcW w:w="780" w:type="dxa"/>
            <w:vAlign w:val="bottom"/>
          </w:tcPr>
          <w:p>
            <w:pPr>
              <w:spacing w:after="0"/>
              <w:rPr>
                <w:sz w:val="18"/>
                <w:szCs w:val="18"/>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w w:val="91"/>
              </w:rPr>
              <w:t>Registrant, Lazard Ltd and LAZ-MD Holdings LLC (incorporated by reference to Exhibit 2.1 to the Registrant’s Current Report on Form 8-K</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(File No. 333-126751) filed on May 9, 2008).</w:t>
            </w:r>
          </w:p>
        </w:tc>
      </w:tr>
      <w:tr>
        <w:trPr>
          <w:trHeight w:val="365"/>
        </w:trPr>
        <w:tc>
          <w:tcPr>
            <w:tcW w:w="780" w:type="dxa"/>
            <w:vAlign w:val="bottom"/>
          </w:tcPr>
          <w:p>
            <w:pPr>
              <w:spacing w:after="0"/>
              <w:rPr>
                <w:sz w:val="24"/>
                <w:szCs w:val="24"/>
                <w:color w:val="auto"/>
              </w:rPr>
            </w:pPr>
          </w:p>
        </w:tc>
        <w:tc>
          <w:tcPr>
            <w:tcW w:w="10580" w:type="dxa"/>
            <w:vAlign w:val="bottom"/>
          </w:tcPr>
          <w:p>
            <w:pPr>
              <w:ind w:left="484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Amended and Restated Stockholders’ Agreement, dated as of November 6, 2006, by and among LAZ-MD Holdings LLC, Lazard Ltd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certain members of LAZ-MD Holdings LLC (incorporated by reference to Exhibit 10.4 to the Registrant’s Quarterly Report (File No. 333-</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10.6 to the Registrant’s Quarterly Report (File No. 333-126751)</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Employee Benefits Agreement, dated as of May 10, 2005, by and among the Registrant, Lazard Ltd, LAZ-MD Holdings LLC and LFCM</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Holdings LLC (incorporated by reference to Exhibit 10.4 to Lazard Ltd’s Quarterly Report (File No. 001-32492) on Form 10-Q filed on June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Lazard Ltd’s Quarterly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420"/>
              <w:spacing w:after="0"/>
              <w:rPr>
                <w:sz w:val="20"/>
                <w:szCs w:val="20"/>
                <w:color w:val="auto"/>
              </w:rPr>
            </w:pPr>
            <w:r>
              <w:rPr>
                <w:rFonts w:ascii="Arial" w:cs="Arial" w:eastAsia="Arial" w:hAnsi="Arial"/>
                <w:sz w:val="18"/>
                <w:szCs w:val="18"/>
                <w:color w:val="auto"/>
                <w:w w:val="97"/>
              </w:rPr>
              <w:t>Administrative Services Agreement, dated as of May 10, 2005, by and among LAZ-MD Holdings LLC, LFCM Holdings LLC and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Registrant (incorporated by reference to Exhibit 10.7 to Lazard Ltd’s Quarterly Report (File No. 001-32492) on Form 10-Q filed on June 16,</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Business Alliance Agreement, dated as of May 10, 2005, by and between the Registrant and LFCM Holdings LLC (incorporated by reference to</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10.8 to Lazard Ltd’s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Amendment and Consent, dated February 9, 2009, to the Business Alliance Agreement, dated as of May 10, 2005, by and between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Registrant and LFCM Holdings LLC (incorporated by reference to Exhibit 10.12 to Lazard Ltd’s Annual Report (File No. 001-32492) on Form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S-1/A filed on February 11,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Amendment dated as of February 16, 2001, by and among RCPI Landmark Properties, L.L.C. (as the successor in interest to Rockefeller Center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10.15 to the Registrant’s Quarterly Report (File No. 333-126751) on Form 10-Q filed on April 29, 2011).</w:t>
            </w:r>
          </w:p>
        </w:tc>
      </w:tr>
      <w:tr>
        <w:trPr>
          <w:trHeight w:val="365"/>
        </w:trPr>
        <w:tc>
          <w:tcPr>
            <w:tcW w:w="84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Lazard Ltd’s Registration Statement (File No. 333-121407) on Form 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rPr>
              <w:t>Occupational Lease, dated as of August 9, 2002, by and among Burford (Stratton)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Nominee 1 Limited, Burford (Stratton) Nominee 2 Limited, Burford (Stratton) Limited, Lazard &amp; Co., Limited and Lazard LLC (incorporated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by reference to Exhibit 10.21 to Lazard Ltd’s Registration Statement (File No. 333-121407) on Form S-1/A filed on February 11,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2005 Equity Incentive Plan (incorporated by reference to Exhibit 10.21 to Lazard Ltd’s Registration Statement (File No. 333-</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Lazard Ltd’s 2008 Incentive Compensation Plan (incorporated by reference to Annex B to Lazard Ltd’s Definitive Proxy Statement on Schedule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Lazard Ltd’s 2005 Bonus Plan (incorporated by reference to Exhibit 10.23 to Lazard Ltd’s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Schedule I for, Scott D. Hoffman (incorporated by reference to Exhibit 10.26 to Lazard Ltd’s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333-</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126751)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10.24 to the Registrant’s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333-126751)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Relating to Retention and Noncompetition and Other Covenants (incorporated by reference to Exhibit 10.27 to Lazard Ltd’s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the Registrant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Alexander F. Stern (incorporated by reference to Exhibit 10.28 to Registrant’s Annual Report (File No. 333-126751) on Form 10-K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333-126751)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the Registrant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Kenneth M. Jacobs (incorporated by reference to Exhibit 10.29 to the Registrant’s Annual Report on Form 10-K (File No. 333-126751)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333-126751) filed on March 23, 2010).</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the Registrant and</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Matthieu Bucaille (incorporated by reference to Exhibit 10.30 to the Registrant’s Quarterly Report (File No. 333-126751) on Form 10-Q filed</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on April 29, 2011).</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10.30*</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October 4, 2004, between the Registrant and Matthieu Bucaille (incorporated by reference to Exhibit 10.31 to the Registrant’s Quarterly Report</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(File No. 333-126751) on Form 10-Q filed on April 29, 2011).</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Acknowledgement Letter, dated as of November 6, 2006 from the Registrant to certain managing directors of the Registrant modifying the</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terms of the retention agreements of persons party to the Amended and Restated Stockholders’ Agreement, dated as of November 6, 2006</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(incorporated by reference to Exhibit 10.23 to the Registrant’s Quarterly Report (File No. 333-126751) on Form 10-Q filed on November 7,</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10.32</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reference to Exhibit 10.27 to Lazard Ltd’s Registration Statement (File No. 333-121407) on Form S-1/A filed on March 21, 2005).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Registration Rights Agreement, dated as of May 10, 2005, by and among Lazard Group Finance LLC, the Registrant, Lazard Ltd and IXIS</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Corporate and Investment Bank (incorporated by reference to Exhibit 10.30 to Lazard Ltd’s Quarterly Report (File No. 001-32492) on Form 10-</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 filed on June 16, 2005).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10.34*</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Description of Non-Executive Director Compensation (incorporated by reference to Exhibit 10.33 to Lazard Ltd’s Quarterly Report (File No.</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10.36*</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Form of Agreement evidencing a grant of Restricted Stock Units to Executive Officers under the 2005 Equity Incentive Plan (incorporated by</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 1-32492) filed on January 26, 2006).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10.37*</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10.41 to Lazard Ltd’s Annual Report (File No. 001-32492) on Form 10-K filed on March 2, 2009).</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10.38*</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10.42 to Lazard Ltd’s Annual Report (File No. 00 1-32492) on Form 10-K filed on March 2, 2009).</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10.39*</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Directors’ Fee Deferral Unit Plan (incorporated by reference to Exhibit 10.39 to Lazard Ltd’s Quarterly Report (File No. 001-32492) on Form</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10-Q filed on May 11, 2006).</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10.40*</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First Amended Form of Agreement evidencing a grant of Restricted Stock Units to Executive Officers under the 2005 Equity Incentive Plan</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10.43 to Lazard Ltd’s Annual Report (File No. 00 1-32492) on Form 10-K filed on March 1, 2007).</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10.41</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Asset Management Limited (incorporated by reference to Exhibit 2.1 to Lazard Ltd’s Current Report on Form 8-K (File No. 001-32492) filed</w:t>
            </w:r>
          </w:p>
        </w:tc>
      </w:tr>
      <w:tr>
        <w:trPr>
          <w:trHeight w:val="222"/>
        </w:trPr>
        <w:tc>
          <w:tcPr>
            <w:tcW w:w="9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on August 15, 2008).</w:t>
            </w:r>
          </w:p>
        </w:tc>
      </w:tr>
      <w:tr>
        <w:trPr>
          <w:trHeight w:val="365"/>
        </w:trPr>
        <w:tc>
          <w:tcPr>
            <w:tcW w:w="9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Senior Revolving Credit Agreement, dated as of September 25, 2012, among the Registrant, the Banks from time to time parties thereto, and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Citibank, N.A., as Administrative Agent (incorporated by reference to Exhibit 10.46 to the Registrant’s Quarterly Report (File No. 333-126751)</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on Form 10-Q filed on November 1, 2012).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10.45*</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10.52 to the Registrant’s Quarterly Report (File</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No. 333-126751) on Form 10-Q filed on May 2, 2012).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10.46*</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March 15, 2005, between the Registrant and Ashish Bhutani (incorporated by reference to Exhibit 10.55 to the Registrant’s Quarterly Report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 No., 333-126751) on Form 10-Q filed on August 4, 2011).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10.47*</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of March 18, 2005, and amended on March 23, 2010, among the Registrant, Lazard Ltd and Kenneth M. Jacobs (incorporated by reference to</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10.48*</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March 15, 2005 and amended on August 2, 2011, among the Registrant, Lazard Ltd and Ashish Bhutani (incorporated by reference to Exhibit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10.49 to the Registrant’s Quarterly Report (File No. 333-126751) on Form 10-Q filed on April 30, 2013).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10.49*</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October 4, 2004 and amended on April 1, 2011, among the Registrant, Lazard Ltd and Matthieu Bucaille (incorporated by reference to Exhibit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10.50 to the Registrant’s Quarterly Report (File No. 333-126751) on Form 10-Q filed on April 30, 2013).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10.50*</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May 4, 2005 and amended on May 7, 2008 and February 23, 2011, among the Registrant, Lazard Ltd and Scott D. Hoffman (incorporated by</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reference to Exhibit 10.51 to the Registrant’s Quarterly Report (File No. 333-126751) on Form 10-Q filed on April 30, 2013).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10.51*</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October 4, 2004 and amended on March 23, 2010, among the Registrant, Lazard Ltd and Alexander F. Stern (incorporated by reference to</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10.52*</w:t>
            </w: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Form of Agreement evidencing a grant of Performance-Based Stock Units under the 2008 Incentive Compensation Plan (incorporated by</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reference to Exhibit 10.53 to the Registrant’s Quarterly Report (File No. 333-126751) on Form 10-Q filed on April 30, 2013).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10.53*</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under the 2008 Incentive Compensation Plan</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(incorporated by reference to Exhibit 10.54 to the Registrant’s Quarterly Report (File No. 333-126751) on Form 10-Q filed on April 30, 2013).</w:t>
            </w:r>
          </w:p>
        </w:tc>
      </w:tr>
      <w:tr>
        <w:trPr>
          <w:trHeight w:val="365"/>
        </w:trPr>
        <w:tc>
          <w:tcPr>
            <w:tcW w:w="82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10.54*</w:t>
            </w: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Form of Agreement evidencing a grant of Restricted Stock Units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89"/>
              </w:rPr>
              <w:t>(incorporated by reference to Exhibit 10.55 to the Registrant’s Quarterly Report (File No. 333-126751) on Form 10-Q filed on April 30, 2013).</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12.1</w:t>
            </w:r>
          </w:p>
        </w:tc>
        <w:tc>
          <w:tcPr>
            <w:tcW w:w="1034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34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34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34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34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00"/>
          </w:cols>
          <w:pgMar w:left="240" w:top="45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13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gridSpan w:val="5"/>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84"/>
              </w:rPr>
              <w:t>(dollars in thousands)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121,593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241,791</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$246,809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(181,988)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57,054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116,255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114,998</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121,656</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132,785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161,665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120,214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237,848</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356,789</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368,465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(49,203)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203,694</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44,452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94,211</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$102,249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113,280</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141,413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24,896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20,787</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19,505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116,255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114,998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121,656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132,785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161,665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6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2.11(d)</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2.05(e)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3.03(f)</w:t>
            </w: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1.26(h)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fixed charges to total fixed charges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181,988</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00" w:hanging="452"/>
        <w:spacing w:after="0" w:line="357"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Operating income for the six month period ended June 30, 2013 is presented after giving effect to a charge of $64,703 associated with the cost saving initiatives announced by the Company in October, 2012. Excluding the impact of such charge, the ratio of earnings to fixed charges would have been 3.24.</w:t>
      </w:r>
    </w:p>
    <w:p>
      <w:pPr>
        <w:ind w:left="460" w:right="160" w:hanging="452"/>
        <w:spacing w:after="0" w:line="323"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3.14.</w:t>
      </w:r>
    </w:p>
    <w:p>
      <w:pPr>
        <w:spacing w:after="0" w:line="16" w:lineRule="exact"/>
        <w:rPr>
          <w:rFonts w:ascii="Arial" w:cs="Arial" w:eastAsia="Arial" w:hAnsi="Arial"/>
          <w:sz w:val="15"/>
          <w:szCs w:val="15"/>
          <w:color w:val="auto"/>
        </w:rPr>
      </w:pPr>
    </w:p>
    <w:p>
      <w:pPr>
        <w:ind w:left="460" w:right="28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(ii) a charge of $24,860 relating to the amendment of Lazard’s retirement policy with respect to RSU awards. Excluding the impact of such items, the ratio of earnings to fixed charges would have been 3.95.</w:t>
      </w:r>
    </w:p>
    <w:p>
      <w:pPr>
        <w:sectPr>
          <w:pgSz w:w="11900" w:h="16838" w:orient="portrait"/>
          <w:cols w:equalWidth="0" w:num="1">
            <w:col w:w="11420"/>
          </w:cols>
          <w:pgMar w:left="240" w:top="125" w:right="239" w:bottom="1440" w:gutter="0" w:footer="0" w:header="0"/>
        </w:sectPr>
      </w:pPr>
    </w:p>
    <w:bookmarkStart w:id="84" w:name="page85"/>
    <w:bookmarkEnd w:id="84"/>
    <w:p>
      <w:pPr>
        <w:ind w:left="452" w:hanging="452"/>
        <w:spacing w:after="0" w:line="298" w:lineRule="auto"/>
        <w:tabs>
          <w:tab w:leader="none" w:pos="452"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392"/>
          </w:cols>
          <w:pgMar w:left="248" w:top="280" w:right="25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2013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2013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30,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30,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2"/>
    </w:lvl>
  </w:abstractNum>
  <w:abstractNum w:abstractNumId="7">
    <w:nsid w:val="3804823E"/>
    <w:multiLevelType w:val="hybridMultilevel"/>
    <w:lvl w:ilvl="0">
      <w:lvlJc w:val="left"/>
      <w:lvlText w:val="%1."/>
      <w:numFmt w:val="decimal"/>
      <w:start w:val="3"/>
    </w:lvl>
  </w:abstractNum>
  <w:abstractNum w:abstractNumId="8">
    <w:nsid w:val="77465F01"/>
    <w:multiLevelType w:val="hybridMultilevel"/>
    <w:lvl w:ilvl="0">
      <w:lvlJc w:val="left"/>
      <w:lvlText w:val="%1."/>
      <w:numFmt w:val="decimal"/>
      <w:start w:val="4"/>
    </w:lvl>
  </w:abstractNum>
  <w:abstractNum w:abstractNumId="9">
    <w:nsid w:val="7724C67E"/>
    <w:multiLevelType w:val="hybridMultilevel"/>
    <w:lvl w:ilvl="0">
      <w:lvlJc w:val="left"/>
      <w:lvlText w:val="(%1)"/>
      <w:numFmt w:val="lowerLetter"/>
      <w:start w:val="1"/>
    </w:lvl>
  </w:abstractNum>
  <w:abstractNum w:abstractNumId="10">
    <w:nsid w:val="5C482A97"/>
    <w:multiLevelType w:val="hybridMultilevel"/>
    <w:lvl w:ilvl="0">
      <w:lvlJc w:val="left"/>
      <w:lvlText w:val="(%1)"/>
      <w:numFmt w:val="lowerRoman"/>
      <w:start w:val="3"/>
    </w:lvl>
  </w:abstractNum>
  <w:abstractNum w:abstractNumId="11">
    <w:nsid w:val="2463B9EA"/>
    <w:multiLevelType w:val="hybridMultilevel"/>
    <w:lvl w:ilvl="0">
      <w:lvlJc w:val="left"/>
      <w:lvlText w:val="%1."/>
      <w:numFmt w:val="decimal"/>
      <w:start w:val="5"/>
    </w:lvl>
  </w:abstractNum>
  <w:abstractNum w:abstractNumId="12">
    <w:nsid w:val="5E884ADC"/>
    <w:multiLevelType w:val="hybridMultilevel"/>
    <w:lvl w:ilvl="0">
      <w:lvlJc w:val="left"/>
      <w:lvlText w:val="(%1)"/>
      <w:numFmt w:val="lowerLetter"/>
      <w:start w:val="1"/>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lowerLetter"/>
      <w:start w:val="1"/>
    </w:lvl>
  </w:abstractNum>
  <w:abstractNum w:abstractNumId="15">
    <w:nsid w:val="580BD78F"/>
    <w:multiLevelType w:val="hybridMultilevel"/>
    <w:lvl w:ilvl="0">
      <w:lvlJc w:val="left"/>
      <w:lvlText w:val="%1."/>
      <w:numFmt w:val="decimal"/>
      <w:start w:val="6"/>
    </w:lvl>
  </w:abstractNum>
  <w:abstractNum w:abstractNumId="16">
    <w:nsid w:val="153EA438"/>
    <w:multiLevelType w:val="hybridMultilevel"/>
    <w:lvl w:ilvl="0">
      <w:lvlJc w:val="left"/>
      <w:lvlText w:val="(%1)"/>
      <w:numFmt w:val="lowerLetter"/>
      <w:start w:val="1"/>
    </w:lvl>
  </w:abstractNum>
  <w:abstractNum w:abstractNumId="17">
    <w:nsid w:val="3855585C"/>
    <w:multiLevelType w:val="hybridMultilevel"/>
    <w:lvl w:ilvl="0">
      <w:lvlJc w:val="left"/>
      <w:lvlText w:val="%1."/>
      <w:numFmt w:val="decimal"/>
      <w:start w:val="7"/>
    </w:lvl>
  </w:abstractNum>
  <w:abstractNum w:abstractNumId="18">
    <w:nsid w:val="70A64E2A"/>
    <w:multiLevelType w:val="hybridMultilevel"/>
    <w:lvl w:ilvl="0">
      <w:lvlJc w:val="left"/>
      <w:lvlText w:val="%1."/>
      <w:numFmt w:val="decimal"/>
      <w:start w:val="8"/>
    </w:lvl>
  </w:abstractNum>
  <w:abstractNum w:abstractNumId="19">
    <w:nsid w:val="6A2342EC"/>
    <w:multiLevelType w:val="hybridMultilevel"/>
    <w:lvl w:ilvl="0">
      <w:lvlJc w:val="left"/>
      <w:lvlText w:val="%1"/>
      <w:numFmt w:val="decimal"/>
      <w:start w:val="1"/>
    </w:lvl>
    <w:lvl w:ilvl="1">
      <w:lvlJc w:val="left"/>
      <w:lvlText w:val="(%2)"/>
      <w:numFmt w:val="lowerLetter"/>
      <w:start w:val="1"/>
    </w:lvl>
  </w:abstractNum>
  <w:abstractNum w:abstractNumId="20">
    <w:nsid w:val="2A487CB0"/>
    <w:multiLevelType w:val="hybridMultilevel"/>
    <w:lvl w:ilvl="0">
      <w:lvlJc w:val="left"/>
      <w:lvlText w:val="%1."/>
      <w:numFmt w:val="decimal"/>
      <w:start w:val="9"/>
    </w:lvl>
    <w:lvl w:ilvl="1">
      <w:lvlJc w:val="left"/>
      <w:lvlText w:val="%2"/>
      <w:numFmt w:val="lowerLetter"/>
      <w:start w:val="1"/>
    </w:lvl>
  </w:abstractNum>
  <w:abstractNum w:abstractNumId="21">
    <w:nsid w:val="1D4ED43B"/>
    <w:multiLevelType w:val="hybridMultilevel"/>
    <w:lvl w:ilvl="0">
      <w:lvlJc w:val="left"/>
      <w:lvlText w:val="%1."/>
      <w:numFmt w:val="decimal"/>
      <w:start w:val="10"/>
    </w:lvl>
  </w:abstractNum>
  <w:abstractNum w:abstractNumId="22">
    <w:nsid w:val="725A06FB"/>
    <w:multiLevelType w:val="hybridMultilevel"/>
    <w:lvl w:ilvl="0">
      <w:lvlJc w:val="left"/>
      <w:lvlText w:val="%1."/>
      <w:numFmt w:val="decimal"/>
      <w:start w:val="11"/>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1."/>
      <w:numFmt w:val="decimal"/>
      <w:start w:val="12"/>
    </w:lvl>
  </w:abstractNum>
  <w:abstractNum w:abstractNumId="25">
    <w:nsid w:val="7A6D8D3C"/>
    <w:multiLevelType w:val="hybridMultilevel"/>
    <w:lvl w:ilvl="0">
      <w:lvlJc w:val="left"/>
      <w:lvlText w:val="(%1)"/>
      <w:numFmt w:val="lowerLetter"/>
      <w:start w:val="1"/>
    </w:lvl>
  </w:abstractNum>
  <w:abstractNum w:abstractNumId="26">
    <w:nsid w:val="4B588F54"/>
    <w:multiLevelType w:val="hybridMultilevel"/>
    <w:lvl w:ilvl="0">
      <w:lvlJc w:val="left"/>
      <w:lvlText w:val="(%1)"/>
      <w:numFmt w:val="lowerLetter"/>
      <w:start w:val="1"/>
    </w:lvl>
  </w:abstractNum>
  <w:abstractNum w:abstractNumId="27">
    <w:nsid w:val="542289EC"/>
    <w:multiLevelType w:val="hybridMultilevel"/>
    <w:lvl w:ilvl="0">
      <w:lvlJc w:val="left"/>
      <w:lvlText w:val="%1."/>
      <w:numFmt w:val="decimal"/>
      <w:start w:val="13"/>
    </w:lvl>
  </w:abstractNum>
  <w:abstractNum w:abstractNumId="28">
    <w:nsid w:val="6DE91B18"/>
    <w:multiLevelType w:val="hybridMultilevel"/>
    <w:lvl w:ilvl="0">
      <w:lvlJc w:val="left"/>
      <w:lvlText w:val="(%1)"/>
      <w:numFmt w:val="lowerLetter"/>
      <w:start w:val="1"/>
    </w:lvl>
  </w:abstractNum>
  <w:abstractNum w:abstractNumId="29">
    <w:nsid w:val="38437FDB"/>
    <w:multiLevelType w:val="hybridMultilevel"/>
    <w:lvl w:ilvl="0">
      <w:lvlJc w:val="left"/>
      <w:lvlText w:val="%1."/>
      <w:numFmt w:val="decimal"/>
      <w:start w:val="14"/>
    </w:lvl>
  </w:abstractNum>
  <w:abstractNum w:abstractNumId="30">
    <w:nsid w:val="7644A45C"/>
    <w:multiLevelType w:val="hybridMultilevel"/>
    <w:lvl w:ilvl="0">
      <w:lvlJc w:val="left"/>
      <w:lvlText w:val="%1."/>
      <w:numFmt w:val="decimal"/>
      <w:start w:val="15"/>
    </w:lvl>
  </w:abstractNum>
  <w:abstractNum w:abstractNumId="31">
    <w:nsid w:val="32FFF902"/>
    <w:multiLevelType w:val="hybridMultilevel"/>
    <w:lvl w:ilvl="0">
      <w:lvlJc w:val="left"/>
      <w:lvlText w:val="%1."/>
      <w:numFmt w:val="decimal"/>
      <w:start w:val="16"/>
    </w:lvl>
  </w:abstractNum>
  <w:abstractNum w:abstractNumId="32">
    <w:nsid w:val="684A481A"/>
    <w:multiLevelType w:val="hybridMultilevel"/>
    <w:lvl w:ilvl="0">
      <w:lvlJc w:val="left"/>
      <w:lvlText w:val="%1."/>
      <w:numFmt w:val="decimal"/>
      <w:start w:val="17"/>
    </w:lvl>
  </w:abstractNum>
  <w:abstractNum w:abstractNumId="33">
    <w:nsid w:val="579478FE"/>
    <w:multiLevelType w:val="hybridMultilevel"/>
    <w:lvl w:ilvl="0">
      <w:lvlJc w:val="left"/>
      <w:lvlText w:val="%1."/>
      <w:numFmt w:val="decimal"/>
      <w:start w:val="18"/>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lowerRoman"/>
      <w:start w:val="1"/>
    </w:lvl>
  </w:abstractNum>
  <w:abstractNum w:abstractNumId="42">
    <w:nsid w:val="374A3FE6"/>
    <w:multiLevelType w:val="hybridMultilevel"/>
    <w:lvl w:ilvl="0">
      <w:lvlJc w:val="left"/>
      <w:lvlText w:val="(%1)"/>
      <w:numFmt w:val="lowerRoman"/>
      <w:start w:val="3"/>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2"/>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4"/>
    </w:lvl>
  </w:abstractNum>
  <w:abstractNum w:abstractNumId="58">
    <w:nsid w:val="61574095"/>
    <w:multiLevelType w:val="hybridMultilevel"/>
    <w:lvl w:ilvl="0">
      <w:lvlJc w:val="left"/>
      <w:lvlText w:val="(%1)"/>
      <w:numFmt w:val="lowerLetter"/>
      <w:start w:val="7"/>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lowerLetter"/>
      <w:start w:val="1"/>
    </w:lvl>
    <w:lvl w:ilvl="1">
      <w:lvlJc w:val="left"/>
      <w:lvlText w:val="•"/>
      <w:numFmt w:val="bullet"/>
      <w:start w:val="1"/>
    </w:lvl>
  </w:abstractNum>
  <w:abstractNum w:abstractNumId="62">
    <w:nsid w:val="310C50B3"/>
    <w:multiLevelType w:val="hybridMultilevel"/>
    <w:lvl w:ilvl="0">
      <w:lvlJc w:val="left"/>
      <w:lvlText w:val="(%1)"/>
      <w:numFmt w:val="lowerLetter"/>
      <w:start w:val="7"/>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2019-12-07T09:54:02Z</dcterms:created>
  <dcterms:modified xsi:type="dcterms:W3CDTF">2019-12-07T09:54:02Z</dcterms:modified>
</cp:coreProperties>
</file>