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29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76"/>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As of April 24, 2013,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March 31, 2013 of approximately 98.8% of the common membership interests in Lazard Group. Lazard Ltd controls Lazard Group through two of its indirect wholly-owned subsidiaries who are co-managing members of Lazard Group.</w:t>
      </w:r>
    </w:p>
    <w:p>
      <w:pPr>
        <w:spacing w:after="0" w:line="6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1">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520" w:type="dxa"/>
            <w:vAlign w:val="bottom"/>
            <w:gridSpan w:val="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Financial Condition as of March 31, 2013 and December 31, 2012</w:t>
              </w:r>
            </w:hyperlink>
          </w:p>
        </w:tc>
        <w:tc>
          <w:tcPr>
            <w:tcW w:w="3520" w:type="dxa"/>
            <w:vAlign w:val="bottom"/>
            <w:gridSpan w:val="5"/>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7520" w:type="dxa"/>
            <w:vAlign w:val="bottom"/>
            <w:tcBorders>
              <w:bottom w:val="single" w:sz="8" w:color="0000EE"/>
            </w:tcBorders>
            <w:gridSpan w:val="3"/>
            <w:vMerge w:val="continue"/>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periods ended March 31, 2013 and 2012</w:t>
              </w:r>
            </w:hyperlink>
          </w:p>
        </w:tc>
        <w:tc>
          <w:tcPr>
            <w:tcW w:w="31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 March 31, 2013 and 2012</w:t>
              </w:r>
            </w:hyperlink>
          </w:p>
        </w:tc>
        <w:tc>
          <w:tcPr>
            <w:tcW w:w="22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 March 31,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2"/>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three month periods ended March 31, 2013 and 2012</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140" w:type="dxa"/>
            <w:vAlign w:val="bottom"/>
            <w:tcBorders>
              <w:top w:val="single" w:sz="8" w:color="0000EE"/>
            </w:tcBorders>
            <w:gridSpan w:val="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78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620" w:type="dxa"/>
            <w:vAlign w:val="bottom"/>
          </w:tcPr>
          <w:p>
            <w:pPr>
              <w:jc w:val="right"/>
              <w:ind w:right="16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580,088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254,143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60,484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65,232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$22,805 and $23,017 at March 31, 2013 and December 31, 2012,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368,682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566,040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394,277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402,514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$226,570 and $225,861 at March 31, 2013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2012,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239,575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225,032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$36,158 and $35,281 at March 31, 2013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2012,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2,790,006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3,048,380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 AND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246,792</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211,417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2,334,508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2,519,293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0"/>
              </w:rPr>
              <w:t>Members’ equity (net of 4,232,481 and 10,230,729 shares of Lazard Ltd Class A common stock, at a cost of $128,047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and $295,442 at March 31, 2013 and December 31, 2012,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486,580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545,572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(106,481)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2,790,006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3,048,380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168,104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273,541</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231,137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204,561</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4,729</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423,378</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503,148</w:t>
            </w: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Net revenue</w:t>
            </w: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401,184</w:t>
            </w:r>
          </w:p>
        </w:tc>
        <w:tc>
          <w:tcPr>
            <w:tcW w:w="1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480,528</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277,726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338,303</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29,299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26,277</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18,192</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28,267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22,980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8,327</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9,097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13,465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13,451</w:t>
            </w: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379,960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447,950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21,224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32,578</w:t>
            </w: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18,202</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27,744</w:t>
            </w: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25,565</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18,202</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27,744</w:t>
            </w:r>
          </w:p>
        </w:tc>
        <w:tc>
          <w:tcPr>
            <w:tcW w:w="100" w:type="dxa"/>
            <w:vAlign w:val="bottom"/>
            <w:shd w:val="clear" w:color="auto" w:fill="CCEEFF"/>
          </w:tcPr>
          <w:p>
            <w:pPr>
              <w:spacing w:after="0"/>
              <w:rPr>
                <w:sz w:val="18"/>
                <w:szCs w:val="18"/>
                <w:color w:val="auto"/>
              </w:rPr>
            </w:pPr>
          </w:p>
        </w:tc>
      </w:tr>
      <w:tr>
        <w:trPr>
          <w:trHeight w:val="22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(12,136)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21,589</w:t>
            </w:r>
          </w:p>
        </w:tc>
      </w:tr>
      <w:tr>
        <w:trPr>
          <w:trHeight w:val="322"/>
        </w:trPr>
        <w:tc>
          <w:tcPr>
            <w:tcW w:w="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w:t>
            </w:r>
          </w:p>
        </w:tc>
        <w:tc>
          <w:tcPr>
            <w:tcW w:w="5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16"/>
        </w:trPr>
        <w:tc>
          <w:tcPr>
            <w:tcW w:w="20" w:type="dxa"/>
            <w:vAlign w:val="bottom"/>
          </w:tcPr>
          <w:p>
            <w:pPr>
              <w:spacing w:after="0"/>
              <w:rPr>
                <w:sz w:val="24"/>
                <w:szCs w:val="24"/>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w w:val="94"/>
              </w:rPr>
              <w:t>Actuarial loss (net of tax benefit of $1,795 and $1,282 for the three months ended March 31, 2013 and 2012,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(3,423)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(2,597)</w:t>
            </w:r>
          </w:p>
        </w:tc>
      </w:tr>
      <w:tr>
        <w:trPr>
          <w:trHeight w:val="110"/>
        </w:trPr>
        <w:tc>
          <w:tcPr>
            <w:tcW w:w="20" w:type="dxa"/>
            <w:vAlign w:val="bottom"/>
          </w:tcPr>
          <w:p>
            <w:pPr>
              <w:spacing w:after="0"/>
              <w:rPr>
                <w:sz w:val="9"/>
                <w:szCs w:val="9"/>
                <w:color w:val="auto"/>
              </w:rPr>
            </w:pPr>
          </w:p>
        </w:tc>
        <w:tc>
          <w:tcPr>
            <w:tcW w:w="9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08"/>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Adjustment for items reclassified to earnings (net of tax expense of $402 and $297 for the three months ended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2013 and 2012, respectively)</w:t>
            </w:r>
          </w:p>
        </w:tc>
        <w:tc>
          <w:tcPr>
            <w:tcW w:w="4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5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(14,077)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20,071</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5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47,815</w:t>
            </w:r>
          </w:p>
        </w:tc>
        <w:tc>
          <w:tcPr>
            <w:tcW w:w="100" w:type="dxa"/>
            <w:vAlign w:val="bottom"/>
            <w:shd w:val="clear" w:color="auto" w:fill="CCEEFF"/>
          </w:tcPr>
          <w:p>
            <w:pPr>
              <w:spacing w:after="0"/>
              <w:rPr>
                <w:sz w:val="18"/>
                <w:szCs w:val="18"/>
                <w:color w:val="auto"/>
              </w:rPr>
            </w:pPr>
          </w:p>
        </w:tc>
      </w:tr>
      <w:tr>
        <w:trPr>
          <w:trHeight w:val="331"/>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5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45,568</w:t>
            </w: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18,202</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88,039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93,902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30,635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(77,495)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(13,026)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(147,058)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(174,783)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(74,421)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(29,198)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(26,567)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Sale of intercompany receivable</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(2,617)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Distributions to members</w:t>
            </w:r>
          </w:p>
        </w:tc>
        <w:tc>
          <w:tcPr>
            <w:tcW w:w="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(20,245)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(116,954)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(148,532)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(28,278)</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(15,895)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(265,415)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845,503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820,984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580,088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676,459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center"/>
              <w:ind w:right="438"/>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578"/>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center"/>
              <w:ind w:right="4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Members’</w:t>
            </w:r>
          </w:p>
        </w:tc>
        <w:tc>
          <w:tcPr>
            <w:tcW w:w="240" w:type="dxa"/>
            <w:vAlign w:val="bottom"/>
          </w:tcPr>
          <w:p>
            <w:pPr>
              <w:spacing w:after="0"/>
              <w:rPr>
                <w:sz w:val="12"/>
                <w:szCs w:val="12"/>
                <w:color w:val="auto"/>
              </w:rPr>
            </w:pPr>
          </w:p>
        </w:tc>
        <w:tc>
          <w:tcPr>
            <w:tcW w:w="1440" w:type="dxa"/>
            <w:vAlign w:val="bottom"/>
            <w:gridSpan w:val="3"/>
          </w:tcPr>
          <w:p>
            <w:pPr>
              <w:jc w:val="center"/>
              <w:ind w:right="438"/>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Group Members’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558"/>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2012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$693,596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(79,252)</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614,344</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103,923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25,565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Other comprehensive income (loss) -</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net of tax:</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21,521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98"/>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(2,597)</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 reclassified to earnings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00"/>
              <w:spacing w:after="0"/>
              <w:rPr>
                <w:sz w:val="20"/>
                <w:szCs w:val="20"/>
                <w:color w:val="auto"/>
              </w:rPr>
            </w:pPr>
            <w:r>
              <w:rPr>
                <w:rFonts w:ascii="Arial" w:cs="Arial" w:eastAsia="Arial" w:hAnsi="Arial"/>
                <w:sz w:val="18"/>
                <w:szCs w:val="18"/>
                <w:color w:val="auto"/>
              </w:rPr>
              <w:t>Comprehensive income</w:t>
            </w: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45,568</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47,815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86,136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(20,245)</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(17,999)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(45,236)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9"/>
              </w:rPr>
              <w:t>Delivery of Lazard Ltd Class A common stock in connection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w w:val="99"/>
              </w:rPr>
              <w:t>with share-based incentive compensation and related tax</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expense of $972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(25,897)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(25,897)</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2012 (*)</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713,686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(59,249</w:t>
            </w:r>
          </w:p>
        </w:tc>
        <w:tc>
          <w:tcPr>
            <w:tcW w:w="540" w:type="dxa"/>
            <w:vAlign w:val="bottom"/>
          </w:tcPr>
          <w:p>
            <w:pPr>
              <w:jc w:val="right"/>
              <w:ind w:right="3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654,437</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88,171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at both January 1, 2012 and March 31, 2012. Also includes profit participation interests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THREE MONTH PERIOD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Lazard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Group</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Members’</w:t>
            </w:r>
          </w:p>
        </w:tc>
        <w:tc>
          <w:tcPr>
            <w:tcW w:w="24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2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Members’</w:t>
            </w:r>
          </w:p>
        </w:tc>
        <w:tc>
          <w:tcPr>
            <w:tcW w:w="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Net of Tax</w:t>
            </w:r>
          </w:p>
        </w:tc>
        <w:tc>
          <w:tcPr>
            <w:tcW w:w="26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2013 (*)</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$ 545,572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(92,393)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$ 453,179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75,908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$ 529,087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16,105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(12,147)</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(12,147)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Amortization of interest rate hedge</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80"/>
              <w:spacing w:after="0"/>
              <w:rPr>
                <w:sz w:val="20"/>
                <w:szCs w:val="20"/>
                <w:color w:val="auto"/>
              </w:rPr>
            </w:pPr>
            <w:r>
              <w:rPr>
                <w:rFonts w:ascii="Arial" w:cs="Arial" w:eastAsia="Arial" w:hAnsi="Arial"/>
                <w:sz w:val="18"/>
                <w:szCs w:val="18"/>
                <w:color w:val="auto"/>
              </w:rPr>
              <w:t>Net actuarial loss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(3,423)</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Adjustments for items reclassified to earnings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2,108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70,712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Distributions to noncontrolling interests, net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(2,617)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(30,168)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(30,168)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Delivery of Class A common stock in connection with shared-</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w w:val="97"/>
              </w:rPr>
              <w:t>based incentive compensation and related tax benefit of $862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(116,092)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(116,092)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(116,092)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Lazard Ltd Class A common stock issuable (including</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640"/>
              <w:spacing w:after="0"/>
              <w:rPr>
                <w:sz w:val="20"/>
                <w:szCs w:val="20"/>
                <w:color w:val="auto"/>
              </w:rPr>
            </w:pPr>
            <w:r>
              <w:rPr>
                <w:rFonts w:ascii="Arial" w:cs="Arial" w:eastAsia="Arial" w:hAnsi="Arial"/>
                <w:sz w:val="18"/>
                <w:szCs w:val="18"/>
                <w:color w:val="auto"/>
              </w:rPr>
              <w:t>related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2013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$ 486,580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(106,481)</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$ 380,099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75,399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$ 455,498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6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at both January 1, 2013 and March 31, 2013. Also includes profit participation interests and two managing member interests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LLC,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Lazard Ltd indirectly held approximately 98.8% of all outstanding Lazard Group common membership interests as of March 31, 2013 and December 31, 2012. Lazard Ltd, through its control of the managing members of Lazard Group, controls Lazard Group. LAZ-MD Holdings LLC (“LAZ-MD Holdings”), an entity owned by Lazard Group’s current and former managing directors, held approximately 1.2% of the outstanding Lazard Group common membership interests as of March 31, 2013 and December 31, 2012. Additionally, LAZ-MD Holdings was the sole owner of the one issued and outstanding share of Lazard Ltd’s Class B common stock (the “Class B common stock”) which provided LAZ-MD Holdings with approximately 1.2% of the voting power but no economic rights in Lazard Ltd as of March 31, 2013 and December 31, 2012.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2012 (the “Form 10-K”). The accompanying December 31, 2012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2013 are not necessarily indicative of the results to be expected for any future interim or annual period.</w:t>
      </w:r>
    </w:p>
    <w:p>
      <w:pPr>
        <w:spacing w:after="0" w:line="12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i w:val="1"/>
          <w:iCs w:val="1"/>
          <w:color w:val="auto"/>
        </w:rPr>
        <w:t>Offsetting (Netting) Assets and Liabilities</w:t>
      </w:r>
      <w:r>
        <w:rPr>
          <w:rFonts w:ascii="Arial" w:cs="Arial" w:eastAsia="Arial" w:hAnsi="Arial"/>
          <w:sz w:val="16"/>
          <w:szCs w:val="16"/>
          <w:color w:val="auto"/>
        </w:rPr>
        <w:t>—In the first quarter of 2013, the Company adopted the new disclosure requirements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regarding the nature of an entity’s rights of setoff and related arrangements associated with its financial instruments, including derivatives, repurchase agreements and reverse repurchase agreements and securities borrowing and securities lending transactions that are either (i) offset or (ii) subject to an enforceable master netting arrangement. The new disclosures are designed to make financial statements prepared under U.S. GAAP more comparable to those prepared under International Financial Reporting Standards (“IFRS”) and will enable users of an entity’s financial statements to evaluate the effect or potential effect of netting arrangements on an entity’s financial position. The disclosure requirements are effective for interim and annual reporting periods beginning on or after January 1, 2013, with retrospective application required. The adoption of the new disclosure requirements did not have a material impact on the Company’s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Reclassifications Out of Accumulated Other Comprehensive Income</w:t>
      </w:r>
      <w:r>
        <w:rPr>
          <w:rFonts w:ascii="Arial" w:cs="Arial" w:eastAsia="Arial" w:hAnsi="Arial"/>
          <w:sz w:val="16"/>
          <w:szCs w:val="16"/>
          <w:color w:val="auto"/>
        </w:rPr>
        <w:t>—In the first quarter of 2013, the Company adopted the FASB’s amended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presentation of amounts reclassified out of accumulated other comprehensive income. The amendment required that the amounts reclassified out of accumulated other comprehensive income be presented by component and disclosed where the respective line item was reported in the consolidated statement of operations. The amendment was to be applied prospectively, and is effective with interim and annual periods beginning after December 15, 2012, with early adoption permitted. The adoption of the amended guidance did not have a material impact on the Company’s consolidated financial statements.</w:t>
      </w:r>
    </w:p>
    <w:p>
      <w:pPr>
        <w:spacing w:after="0" w:line="23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receivables from fees, customers and other and related parties.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$22,805 and $23,017 at March 31, 2013 and December 31, 2012, respectively, for past due amounts and for specific accounts deemed uncollectible, which may include situations where a fee is in dispute. The Company recorded bad debt expense, net of recoveries, of $148 and $1,281 for the three month periods ended March 31, 2013 and 2012, respectively. In addition, the Company recorded charge-offs, foreign currency translation and other adjustments, which resulted in a net increase (decrease) to the allowance for doubtful accounts of $(360) and $441 for the three month periods ended March 31, 2013 and 2012, respectively. At March 31, 2013 and December 31, 2012, the Company had receivables deemed past due or uncollectible of $24,729 and $25,604, respectively.</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Of the Company’s total receivables at March 31, 2013 and December 31, 2012, $68,381 and $76,481, respectively, represented interest-bearing financing fee receivables. In addition, at March 31, 2013 and December 31, 2012, the Company had interest-bearing related parties receivables of $103,376 and $101,833, respectively. Based upon our historical loss experience and the credit quality of the counterparties, and as there were no past due or uncollectible amounts, there was no allowance for doubtful accounts required at those dates related to such receivables.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$394,283 and $404,316 at March 31, 2013 and December 31, 2012, respectively, approximates fair value.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2013 and December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(including interest-bearing deposits of $579 and $578, respectively)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49,180</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Alternative investments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56,961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145,341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154,310</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112,444</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330,625</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344,562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394,277</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402,514</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100" w:type="dxa"/>
            <w:vAlign w:val="bottom"/>
            <w:shd w:val="clear" w:color="auto" w:fill="CCEEFF"/>
          </w:tcPr>
          <w:p>
            <w:pPr>
              <w:spacing w:after="0"/>
              <w:rPr>
                <w:sz w:val="18"/>
                <w:szCs w:val="18"/>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386,686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394,924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$7,797, $16,525 and $72,751, respectively, at March 31, 2013 and $5,054, $18,615 and $76,907, respectively, at December 31, 2012,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Interests in alternative investment funds primarily consist of interests in various Lazard-managed hedge funds and fund of funds.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a private equity fund targeting significant noncontrolling-stake investments in established public and private companies, (iii) Edgewater Growth Capital Partners III, L.P. (“EGCP III”), a private equity fund primarily making equity and buyout investments in middle market companies and (iv) Lazard Australia Corporate Opportunities Fund (“COF2”), a Lazard-managed Australian private equity fund targeting Australian mid-market investments.</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 which aggregated $12,508 and $11,490 at March 31, 2013 and December 31, 2012, respectively (see Note 10 of Notes to Condensed Consolidated Financial Statements).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 periods ended March 31, 2013 and 2012, the Company reported in revenue-other on its condensed consolidated statements of operations gross unrealized investment gains and losses pertaining to “trading” securities as follows (including, for the three month period ended March 31, 2012, restated amounts pertaining to certain non-broker dealer subsidiaries):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1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3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14,312</w:t>
            </w:r>
          </w:p>
        </w:tc>
        <w:tc>
          <w:tcPr>
            <w:tcW w:w="100" w:type="dxa"/>
            <w:vAlign w:val="bottom"/>
            <w:shd w:val="clear" w:color="auto" w:fill="CCEEFF"/>
          </w:tcPr>
          <w:p>
            <w:pPr>
              <w:spacing w:after="0"/>
              <w:rPr>
                <w:sz w:val="18"/>
                <w:szCs w:val="18"/>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4380" w:type="dxa"/>
            <w:vAlign w:val="bottom"/>
            <w:gridSpan w:val="3"/>
          </w:tcPr>
          <w:p>
            <w:pPr>
              <w:jc w:val="right"/>
              <w:ind w:right="200"/>
              <w:spacing w:after="0"/>
              <w:rPr>
                <w:sz w:val="20"/>
                <w:szCs w:val="20"/>
                <w:color w:val="auto"/>
              </w:rPr>
            </w:pPr>
            <w:r>
              <w:rPr>
                <w:rFonts w:ascii="Arial" w:cs="Arial" w:eastAsia="Arial" w:hAnsi="Arial"/>
                <w:sz w:val="18"/>
                <w:szCs w:val="18"/>
                <w:color w:val="auto"/>
              </w:rPr>
              <w:t>$1,465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bl>
    <w:p>
      <w:pPr>
        <w:spacing w:after="0" w:line="26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Company’s investments in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fair value of investments in alternative investment funds is classified as either Level 2 or Level 3 depending on the time frame of any applicable redemption restriction, and is valued at NAV or its equivalent, which is primarily determined based on information provided by external fund administrators.</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fair value of investments in debt funds are considered Level 1 assets when the fair values are primarily based on the reported closing price for the fund or Level 2 assets when the fair values are primarily based on NAV or its equivalent and are redeemable within the near term.</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 of investments in equity funds is classified as Level 1, 2 or 3 as follows: publicly traded asset management funds are classified as Level 1 and are valued based on the reported closing price for the fund; investments in asset management funds redeemable in the near term are classified as Level 2 and are valued at NAV or its equivalent, which is primarily determined based on information provided by external fund administrators; and Level 3 represents funds valued based on NAV or its equivalent that are not redeemable within the near term.</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fair value of investments in private equity funds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 of interest rate swaps is based on the interest rate yield curve; and the fair value of derivative liabilities related to Lazard Fund Interests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external fund administrators or pricing services, the Company reviews such information to ascertain at which level within the fair value hierarchy to classify the investment.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the categorization of investments and certain other assets and liabilities measured at fair value on a recurring basis as of March 31, 2013 and December 31, 2012 within the fair value hierarchy: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90"/>
              </w:rPr>
              <w:t>March 31, 2013</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49,180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55,657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135,436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145,341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110,496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203,742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75,132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111,984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390,858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159,370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159,370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159,370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162,545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 2012</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44,992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57,890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19,918</w:t>
            </w:r>
          </w:p>
        </w:tc>
        <w:tc>
          <w:tcPr>
            <w:tcW w:w="0" w:type="dxa"/>
            <w:vAlign w:val="bottom"/>
          </w:tcPr>
          <w:p>
            <w:pPr>
              <w:spacing w:after="0"/>
              <w:rPr>
                <w:sz w:val="1"/>
                <w:szCs w:val="1"/>
                <w:color w:val="auto"/>
              </w:rPr>
            </w:pPr>
          </w:p>
        </w:tc>
      </w:tr>
      <w:tr>
        <w:trPr>
          <w:trHeight w:val="216"/>
        </w:trPr>
        <w:tc>
          <w:tcPr>
            <w:tcW w:w="5300" w:type="dxa"/>
            <w:vAlign w:val="bottom"/>
          </w:tcPr>
          <w:p>
            <w:pPr>
              <w:ind w:left="880"/>
              <w:spacing w:after="0"/>
              <w:rPr>
                <w:sz w:val="20"/>
                <w:szCs w:val="20"/>
                <w:color w:val="auto"/>
              </w:rPr>
            </w:pPr>
            <w:r>
              <w:rPr>
                <w:rFonts w:ascii="Arial" w:cs="Arial" w:eastAsia="Arial" w:hAnsi="Arial"/>
                <w:sz w:val="18"/>
                <w:szCs w:val="18"/>
                <w:color w:val="auto"/>
              </w:rPr>
              <w:t>Equity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145,231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9,069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154,310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112,444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211,390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68,366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116,101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395,857</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Derivatives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102,492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102,492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102,551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105,247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2013 and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 2013</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Equity funds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vMerge w:val="continue"/>
          </w:tcPr>
          <w:p>
            <w:pPr>
              <w:spacing w:after="0"/>
              <w:rPr>
                <w:sz w:val="19"/>
                <w:szCs w:val="19"/>
                <w:color w:val="auto"/>
              </w:rPr>
            </w:pPr>
          </w:p>
        </w:tc>
        <w:tc>
          <w:tcPr>
            <w:tcW w:w="2000" w:type="dxa"/>
            <w:vAlign w:val="bottom"/>
            <w:gridSpan w:val="4"/>
          </w:tcPr>
          <w:p>
            <w:pPr>
              <w:jc w:val="right"/>
              <w:ind w:right="120"/>
              <w:spacing w:after="0"/>
              <w:rPr>
                <w:sz w:val="20"/>
                <w:szCs w:val="20"/>
                <w:color w:val="auto"/>
              </w:rPr>
            </w:pPr>
            <w:r>
              <w:rPr>
                <w:rFonts w:ascii="Arial" w:cs="Arial" w:eastAsia="Arial" w:hAnsi="Arial"/>
                <w:sz w:val="18"/>
                <w:szCs w:val="18"/>
                <w:color w:val="auto"/>
              </w:rPr>
              <w:t>$ 116,101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776</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 2012</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Realized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Included</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In Revenue-</w:t>
            </w:r>
          </w:p>
        </w:tc>
        <w:tc>
          <w:tcPr>
            <w:tcW w:w="6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Other (a)</w:t>
            </w:r>
          </w:p>
        </w:tc>
        <w:tc>
          <w:tcPr>
            <w:tcW w:w="6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Alternative investment funds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Private equity funds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7,564</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(17,872)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5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(22,265)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1940" w:hanging="5612"/>
        <w:spacing w:after="0" w:line="440"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three month periods ended March 31, 2013 and 2012 include net unrealized gains of $670 and $6,080, respectively.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2013 and December 31, 2012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March 31, 2013</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gridSpan w:val="6"/>
          </w:tcPr>
          <w:p>
            <w:pPr>
              <w:ind w:left="20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Investments Not Redeemable</w:t>
            </w:r>
          </w:p>
        </w:tc>
        <w:tc>
          <w:tcPr>
            <w:tcW w:w="198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Investments Redeemable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80" w:type="dxa"/>
            <w:vAlign w:val="bottom"/>
            <w:tcBorders>
              <w:top w:val="single" w:sz="8" w:color="auto"/>
            </w:tcBorders>
          </w:tcPr>
          <w:p>
            <w:pPr>
              <w:jc w:val="right"/>
              <w:ind w:right="144"/>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Next</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220" w:type="dxa"/>
            <w:vAlign w:val="bottom"/>
          </w:tcPr>
          <w:p>
            <w:pPr>
              <w:spacing w:after="0"/>
              <w:rPr>
                <w:sz w:val="12"/>
                <w:szCs w:val="12"/>
                <w:color w:val="auto"/>
              </w:rPr>
            </w:pPr>
          </w:p>
        </w:tc>
        <w:tc>
          <w:tcPr>
            <w:tcW w:w="84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Redemption</w:t>
            </w: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Alternative investment funds</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Redeemable</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w w:val="93"/>
              </w:rPr>
              <w:t>Frequency</w:t>
            </w: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Notice Period</w:t>
            </w:r>
          </w:p>
        </w:tc>
        <w:tc>
          <w:tcPr>
            <w:tcW w:w="0" w:type="dxa"/>
            <w:vAlign w:val="bottom"/>
          </w:tcPr>
          <w:p>
            <w:pPr>
              <w:spacing w:after="0"/>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tcPr>
          <w:p>
            <w:pPr>
              <w:spacing w:after="0"/>
              <w:rPr>
                <w:sz w:val="18"/>
                <w:szCs w:val="18"/>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4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&lt;30-120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9,905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20"/>
                <w:szCs w:val="20"/>
                <w:color w:val="auto"/>
              </w:rPr>
            </w:pPr>
            <w:r>
              <w:rPr>
                <w:rFonts w:ascii="Arial" w:cs="Arial" w:eastAsia="Arial" w:hAnsi="Arial"/>
                <w:sz w:val="18"/>
                <w:szCs w:val="18"/>
                <w:color w:val="auto"/>
              </w:rPr>
              <w:t>(c)</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&lt;30-90 days</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110,496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31,501</w:t>
            </w:r>
          </w:p>
        </w:tc>
        <w:tc>
          <w:tcPr>
            <w:tcW w:w="10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177,366</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31,501</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 weekly (9%), monthly (43%) and quarterly (38%)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daily (36%) and monthly (64%)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December 31, 2012</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Investments Not Redeemable</w:t>
            </w:r>
          </w:p>
        </w:tc>
        <w:tc>
          <w:tcPr>
            <w:tcW w:w="220" w:type="dxa"/>
            <w:vAlign w:val="bottom"/>
          </w:tcPr>
          <w:p>
            <w:pPr>
              <w:spacing w:after="0"/>
              <w:rPr>
                <w:sz w:val="14"/>
                <w:szCs w:val="14"/>
                <w:color w:val="auto"/>
              </w:rPr>
            </w:pPr>
          </w:p>
        </w:tc>
        <w:tc>
          <w:tcPr>
            <w:tcW w:w="19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Investments Redeemable</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Unfunded</w:t>
            </w:r>
          </w:p>
        </w:tc>
        <w:tc>
          <w:tcPr>
            <w:tcW w:w="3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Redemption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Fair value</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0"/>
              </w:rPr>
              <w:t>Frequency</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223"/>
        </w:trPr>
        <w:tc>
          <w:tcPr>
            <w:tcW w:w="20" w:type="dxa"/>
            <w:vAlign w:val="bottom"/>
          </w:tcPr>
          <w:p>
            <w:pPr>
              <w:spacing w:after="0"/>
              <w:rPr>
                <w:sz w:val="19"/>
                <w:szCs w:val="19"/>
                <w:color w:val="auto"/>
              </w:rPr>
            </w:pPr>
          </w:p>
        </w:tc>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Alternative investment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&lt;30-120 days</w:t>
            </w: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Debt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820" w:type="dxa"/>
            <w:vAlign w:val="bottom"/>
          </w:tcPr>
          <w:p>
            <w:pPr>
              <w:jc w:val="center"/>
              <w:spacing w:after="0"/>
              <w:rPr>
                <w:sz w:val="20"/>
                <w:szCs w:val="20"/>
                <w:color w:val="auto"/>
              </w:rPr>
            </w:pPr>
            <w:r>
              <w:rPr>
                <w:rFonts w:ascii="Arial" w:cs="Arial" w:eastAsia="Arial" w:hAnsi="Arial"/>
                <w:sz w:val="18"/>
                <w:szCs w:val="18"/>
                <w:color w:val="auto"/>
              </w:rPr>
              <w:t>NA</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(b)</w:t>
            </w:r>
          </w:p>
        </w:tc>
        <w:tc>
          <w:tcPr>
            <w:tcW w:w="1000" w:type="dxa"/>
            <w:vAlign w:val="bottom"/>
          </w:tcPr>
          <w:p>
            <w:pPr>
              <w:spacing w:after="0"/>
              <w:rPr>
                <w:sz w:val="20"/>
                <w:szCs w:val="20"/>
                <w:color w:val="auto"/>
              </w:rPr>
            </w:pPr>
            <w:r>
              <w:rPr>
                <w:rFonts w:ascii="Arial" w:cs="Arial" w:eastAsia="Arial" w:hAnsi="Arial"/>
                <w:sz w:val="18"/>
                <w:szCs w:val="18"/>
                <w:color w:val="auto"/>
              </w:rPr>
              <w:t>30 days</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w:t>
            </w:r>
          </w:p>
        </w:tc>
        <w:tc>
          <w:tcPr>
            <w:tcW w:w="1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98"/>
              </w:rPr>
              <w:t>30-120 days</w:t>
            </w: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112,444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40" w:type="dxa"/>
            <w:vAlign w:val="bottom"/>
            <w:gridSpan w:val="2"/>
          </w:tcPr>
          <w:p>
            <w:pPr>
              <w:jc w:val="right"/>
              <w:ind w:right="8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48%</w:t>
            </w:r>
          </w:p>
        </w:tc>
        <w:tc>
          <w:tcPr>
            <w:tcW w:w="1160" w:type="dxa"/>
            <w:vAlign w:val="bottom"/>
            <w:gridSpan w:val="3"/>
          </w:tcPr>
          <w:p>
            <w:pPr>
              <w:ind w:left="220"/>
              <w:spacing w:after="0"/>
              <w:rPr>
                <w:sz w:val="20"/>
                <w:szCs w:val="20"/>
                <w:color w:val="auto"/>
              </w:rPr>
            </w:pPr>
            <w:r>
              <w:rPr>
                <w:rFonts w:ascii="Arial" w:cs="Arial" w:eastAsia="Arial" w:hAnsi="Arial"/>
                <w:sz w:val="18"/>
                <w:szCs w:val="18"/>
                <w:color w:val="auto"/>
              </w:rPr>
              <w:t>NA</w:t>
            </w: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frequency as follows:</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 weekly (9%), monthly (38%) and quarterly (43%)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(37%) and monthly (61%)</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See Note 4 of Notes to Condensed Consolidated Financial Statements for discussion of significant investment strategies for investments with value based on NAV.</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2013, the maximum unfunded commitments by the Company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related to (i) CP II, amounting to $1,940 for potential “follow-on investments” and/or for fund expenses through the earlier of February 25, 2017 or the liquidation of the fund, (ii) EGCP III, amounting to $21,435,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investment period) for investments and/or expenses (with a portion of the undrawn amount of such commitment as of that date remaining committed until October 12, 2023 in respect of “follow-on investments” and/or fund expenses) or the liquidation of the fund and (iii) COF2, amounting to $8,126, through the earlier of November 11, 2016 (</w:t>
      </w:r>
      <w:r>
        <w:rPr>
          <w:rFonts w:ascii="Arial" w:cs="Arial" w:eastAsia="Arial" w:hAnsi="Arial"/>
          <w:sz w:val="18"/>
          <w:szCs w:val="18"/>
          <w:i w:val="1"/>
          <w:iCs w:val="1"/>
          <w:color w:val="auto"/>
        </w:rPr>
        <w:t>i.e</w:t>
      </w:r>
      <w:r>
        <w:rPr>
          <w:rFonts w:ascii="Arial" w:cs="Arial" w:eastAsia="Arial" w:hAnsi="Arial"/>
          <w:sz w:val="18"/>
          <w:szCs w:val="18"/>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6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 other”, depending on the nature of the underlying item, on the consolidated statements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and other similar deferred compensation arrangements, which are reported in “revenue-other” in the consolidated statements of operations.</w:t>
      </w:r>
    </w:p>
    <w:p>
      <w:pPr>
        <w:spacing w:after="0" w:line="12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tables below represent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(see Note 12 of Notes to Condensed Consolidated Financial Statements) on the accompanying condensed consolidated statements of financial condition as of March 31, 2013 and December 31,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 (a)</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4,172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Equity and fixed income swaps (a)</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159,370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54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18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equity and fixed income swaps, amounts represent the netting of gross derivative assets and liabilities of $1,171 and $1,268 as of March 31, 2013, respectively, and $0 and $4,342 as of December 31, 2012, respectively, for contracts with the same counterparty under legally enforceable master netting agreements. Such amounts are offset in “other assets” against receivables for net cash collateral under such contracts of $12,599 and $15,304 as of March 31, 2013 and December 31, 2012,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gains (losses) with respect to derivative instruments (predominantly reflected in “revenue-other”) and the Company’s derivative liabilities relating to its obligations pertaining to Lazard Fund Interests and other similar deferred compensation arrangements (included in “compensation and benefits” expense) as reflected on the accompanying condensed consolidated statements of operations for the three month periods ended March 31, 2013 and 2012,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$ 5,231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(1,922)</w:t>
            </w:r>
          </w:p>
        </w:tc>
        <w:tc>
          <w:tcPr>
            <w:tcW w:w="10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(3,725)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w:t>
            </w: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660" w:type="dxa"/>
            <w:vAlign w:val="bottom"/>
          </w:tcPr>
          <w:p>
            <w:pPr>
              <w:spacing w:after="0"/>
              <w:rPr>
                <w:sz w:val="19"/>
                <w:szCs w:val="19"/>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(2,982)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(14,546)</w:t>
            </w:r>
          </w:p>
        </w:tc>
      </w:tr>
      <w:tr>
        <w:trPr>
          <w:trHeight w:val="20"/>
        </w:trPr>
        <w:tc>
          <w:tcPr>
            <w:tcW w:w="9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2013 and December 31, 2012,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Estimated</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16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160" w:type="dxa"/>
            <w:vAlign w:val="bottom"/>
          </w:tcPr>
          <w:p>
            <w:pPr>
              <w:spacing w:after="0"/>
              <w:rPr>
                <w:sz w:val="14"/>
                <w:szCs w:val="14"/>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Life in Years</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$161,639</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166,560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680" w:type="dxa"/>
            <w:vAlign w:val="bottom"/>
          </w:tcPr>
          <w:p>
            <w:pPr>
              <w:jc w:val="right"/>
              <w:spacing w:after="0"/>
              <w:rPr>
                <w:sz w:val="20"/>
                <w:szCs w:val="20"/>
                <w:color w:val="auto"/>
              </w:rPr>
            </w:pPr>
            <w:r>
              <w:rPr>
                <w:rFonts w:ascii="Arial" w:cs="Arial" w:eastAsia="Arial" w:hAnsi="Arial"/>
                <w:sz w:val="18"/>
                <w:szCs w:val="18"/>
                <w:color w:val="auto"/>
              </w:rPr>
              <w:t>153,477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143,408</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122,124</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466,145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450,893</w:t>
            </w:r>
          </w:p>
        </w:tc>
        <w:tc>
          <w:tcPr>
            <w:tcW w:w="8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225,861</w:t>
            </w:r>
          </w:p>
        </w:tc>
        <w:tc>
          <w:tcPr>
            <w:tcW w:w="80" w:type="dxa"/>
            <w:vAlign w:val="bottom"/>
          </w:tcPr>
          <w:p>
            <w:pPr>
              <w:spacing w:after="0"/>
              <w:rPr>
                <w:sz w:val="19"/>
                <w:szCs w:val="19"/>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239,575</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225,032</w:t>
            </w:r>
          </w:p>
        </w:tc>
        <w:tc>
          <w:tcPr>
            <w:tcW w:w="8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2013 and December 31, 2012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5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$365,649</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364,328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Other intangible assets (net of accumulated amortization)</w:t>
            </w:r>
          </w:p>
        </w:tc>
        <w:tc>
          <w:tcPr>
            <w:tcW w:w="28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393,317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392,822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60" w:type="dxa"/>
            <w:vAlign w:val="bottom"/>
            <w:vMerge w:val="restart"/>
          </w:tcPr>
          <w:p>
            <w:pPr>
              <w:jc w:val="right"/>
              <w:ind w:right="2379"/>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At March 31, 2013 and December 31, 2012, goodwill of $301,108 and $299,787, respectively, was attributable to the Company’s Financial Advisory segment and, at each such respective date,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2013 and 2012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$364,328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Business acquisition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Balance, March 31</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365,649</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360,638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2013 and December 31, 2012,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33,086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25,480</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7,606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33,035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24,603</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8,432</w:t>
            </w:r>
          </w:p>
        </w:tc>
        <w:tc>
          <w:tcPr>
            <w:tcW w:w="100" w:type="dxa"/>
            <w:vAlign w:val="bottom"/>
          </w:tcPr>
          <w:p>
            <w:pPr>
              <w:spacing w:after="0"/>
              <w:rPr>
                <w:sz w:val="18"/>
                <w:szCs w:val="18"/>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63,826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27,668</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63,775</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28,494</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2013 and 2012 was $877 and $1,118,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720" w:type="dxa"/>
            <w:vAlign w:val="bottom"/>
            <w:gridSpan w:val="4"/>
          </w:tcPr>
          <w:p>
            <w:pPr>
              <w:ind w:left="28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gridSpan w:val="4"/>
            <w:vMerge w:val="continue"/>
          </w:tcPr>
          <w:p>
            <w:pPr>
              <w:spacing w:after="0"/>
              <w:rPr>
                <w:sz w:val="12"/>
                <w:szCs w:val="12"/>
                <w:color w:val="auto"/>
              </w:rPr>
            </w:pPr>
          </w:p>
        </w:tc>
        <w:tc>
          <w:tcPr>
            <w:tcW w:w="28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2013 (April 1 through December 31)</w:t>
            </w: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0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260" w:hanging="4707"/>
        <w:spacing w:after="0" w:line="440" w:lineRule="auto"/>
        <w:tabs>
          <w:tab w:leader="none" w:pos="14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2013 and December 31, 2012: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Annual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0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90"/>
              </w:rPr>
              <w:t>Interest</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$550,000</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7.125%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600,000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9/25/15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On September 25, 2012, Lazard Group entered into a $150,000, three-year senior revolving credit facility with a group of lenders (the “Credit Facility”), which expires in September 2015. The Credit Facility replaced a similar revolving credit facility which was terminated as a condition to effectiveness of the Credit Facility. Interest rates under the Credit Facility vary and are based on either a Federal Funds rate or a Eurodollar rate, in each case plus an applicable margin. As of March 31, 2013, the annual interest rate for a loan accruing interest (based on the Federal Funds overnight rate), including the applicable margin, was 0.88%. At March 31, 2013 and December 31, 2012, no amounts were outstanding under the Credit Facility.</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the supplemental indentures relating to Lazard Group’s senior notes, contain certain covenants, events of default and other customary provisions, including a customary make-whole provision in the event of early redemption, where applicable. As of March 31, 2013, the Company was in compliance with all of these provisions. All of the Company’s senior debt obligations are unsecured.</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2013, the Company had approximately $274,000 in unused lines of credit available to it, including the Credit Facility, and unused lines of credit available to LFB of approximately $64,000 (at March 31, 2013 exchange rates) and Edgewater of $55,000. In addition, LFB has access to the Eurosystem Covered Bond Purchase Program of the Banque de France.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senior debt at March 31, 2013 and December 31, 2012 is carried at historical amounts. At those dates, the fair value of such senior debt outstanding was approximately $1,204,000 and $1,207,000, respectively, and exceeded the aggregate carrying value by approximately $127,000 and $130,000, respectively. The fair value of the Company’s senior debt was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2013, LFB had $4,671 of such indemnifications and held $3,845 of collateral/counter-guarantees to secure these commitments. The Company believes the likelihood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loss with respect to these indemnities is remote. Accordingly, no liability is recorded in the condensed consolidated statement of financial condition.</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As of March 31, 2013 and December 31, 2012, 1,323,439 and 1,209,154 shares, respectively, have been earned because applicable performance thresholds have been satisfied. Such shares are no longer subject to any contingencies. As of December 31, 2012, 686,004 of such shares have been settled, and no additional shares have been settled as of March 31, 2013.</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Consideration Relating To Other Business Acquisitions</w:t>
      </w:r>
      <w:r>
        <w:rPr>
          <w:rFonts w:ascii="Arial" w:cs="Arial" w:eastAsia="Arial" w:hAnsi="Arial"/>
          <w:sz w:val="18"/>
          <w:szCs w:val="18"/>
          <w:color w:val="auto"/>
        </w:rPr>
        <w:t>—For a business acquired in 2013, the Company is obligated to issue a maximum of 107,617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Class A common stock if certain performance thresholds are achieved.</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business acquired in 2012, at December 31, 2012 170,988 shares of Class A common stock (including dividend equivalent shares) were issuable on a non-contingent basis. Such shares were delivered in the first quarter of 2013. The Company is obligated to issue a maximum of 202,650 additional shares of Class A common stock if certain performance thresholds are achieved.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 business acquired in 2011, the Company is obligated to pay earnout consideration if certain performance thresholds are achieved. The maximum potential earnout consideration payable by the Company cannot exceed $7,000. Through March 31, 2013, no cash payments relating to the earnout consideration were required.</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2013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underwriter. The settlement of such transactions are not expected to have a material adverse effect on the Company’s consolidated financial position or results of operations. At March 31, 2013, LFB had no such underwriting commitments.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2013 and 2012,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5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586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Subsidiaries of Lazard Ltd</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19,164</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20,245</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—During the three month period ended March 31, 2012, Lazard Ltd issued 85,196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in connection with the exchange of a like number of Lazard Group common membership interests (received from members of LAZ-MD Holdings in exchange for a like number of LAZ-MD Holdings exchangeable interests). No such exchange occurred during the three month period ended March 31,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April 2012 and October 2012 the Board of Directors of Lazard Ltd authorized,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cumulative basis, the repurchase of up to $250,000, $125,000, $125,000 and $200,000,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three month period ended March 31, 2013, Lazard Group made purchases of 831,157 Class A common shares, at an aggregate cost of $30,168 (no Lazard Group common membership interests were purchased during such three month period).</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March 31, 2013, $123,898 of the current share repurchase amount authorized as of such date remained available under the share repurchase program, all of which expires December 31, 2014. In addition, under the terms of the 2005 Plan and the 2008 Plan, upon the vesting of restricted stock units (“RSUs”), performance-based restricted stock units (“PRSUs”) and delivery of restricted Class A common stock, shares of Class A common stock may be withheld by the Company to cover its minimum statutory tax withholding requirements (see Note 12 of Notes to Condensed Consolidated Financial Statements).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 below reflects the components of AOCI at March 31,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three month period ended March 31, 2013: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Interest</w:t>
            </w:r>
          </w:p>
        </w:tc>
        <w:tc>
          <w:tcPr>
            <w:tcW w:w="2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Employee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Attributable 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Benefit</w:t>
            </w:r>
          </w:p>
        </w:tc>
        <w:tc>
          <w:tcPr>
            <w:tcW w:w="14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Total</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Lazard Ltd</w:t>
            </w: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Adjustments</w:t>
            </w:r>
          </w:p>
        </w:tc>
        <w:tc>
          <w:tcPr>
            <w:tcW w:w="8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Hedge</w:t>
            </w:r>
          </w:p>
        </w:tc>
        <w:tc>
          <w:tcPr>
            <w:tcW w:w="20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Plans</w:t>
            </w:r>
          </w:p>
        </w:tc>
        <w:tc>
          <w:tcPr>
            <w:tcW w:w="14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($2,502)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($128,536)</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92,381)</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92,393)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Activity January 1, 2013 to March 31, 2013: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(15,559)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(15,570)</w:t>
            </w:r>
          </w:p>
        </w:tc>
        <w:tc>
          <w:tcPr>
            <w:tcW w:w="0" w:type="dxa"/>
            <w:vAlign w:val="bottom"/>
          </w:tcPr>
          <w:p>
            <w:pPr>
              <w:spacing w:after="0"/>
              <w:rPr>
                <w:sz w:val="1"/>
                <w:szCs w:val="1"/>
                <w:color w:val="auto"/>
              </w:rPr>
            </w:pPr>
          </w:p>
        </w:tc>
      </w:tr>
      <w:tr>
        <w:trPr>
          <w:trHeight w:val="223"/>
        </w:trPr>
        <w:tc>
          <w:tcPr>
            <w:tcW w:w="516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(14,077)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(14,088)</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26,521</w:t>
            </w:r>
          </w:p>
        </w:tc>
        <w:tc>
          <w:tcPr>
            <w:tcW w:w="12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2,238)</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130,741)</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w w:val="74"/>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106,458)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106,481)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LAZARD GROUP LLC</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6"/>
              </w:rPr>
              <w:t>NOTES TO CONDENSED CONSOLIDATED FINANCIAL STATEMENTS—(Continued)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5"/>
              </w:rPr>
              <w:t>(dollars in thousands, unless otherwise noted)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gridSpan w:val="2"/>
          </w:tcPr>
          <w:p>
            <w:pPr>
              <w:ind w:left="440"/>
              <w:spacing w:after="0"/>
              <w:rPr>
                <w:sz w:val="20"/>
                <w:szCs w:val="20"/>
                <w:color w:val="auto"/>
              </w:rPr>
            </w:pPr>
            <w:r>
              <w:rPr>
                <w:rFonts w:ascii="Arial" w:cs="Arial" w:eastAsia="Arial" w:hAnsi="Arial"/>
                <w:sz w:val="18"/>
                <w:szCs w:val="18"/>
                <w:color w:val="auto"/>
                <w:w w:val="91"/>
              </w:rPr>
              <w:t>The table below reflects adjustments for items reclassified out of AOCI, by component, for the three month period ended March 31, 2013: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interest rate hedge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1"/>
        </w:trPr>
        <w:tc>
          <w:tcPr>
            <w:tcW w:w="10480" w:type="dxa"/>
            <w:vAlign w:val="bottom"/>
            <w:gridSpan w:val="3"/>
          </w:tcPr>
          <w:p>
            <w:pPr>
              <w:spacing w:after="0"/>
              <w:rPr>
                <w:sz w:val="20"/>
                <w:szCs w:val="20"/>
                <w:color w:val="auto"/>
              </w:rPr>
            </w:pPr>
            <w:r>
              <w:rPr>
                <w:rFonts w:ascii="Arial" w:cs="Arial" w:eastAsia="Arial" w:hAnsi="Arial"/>
                <w:sz w:val="18"/>
                <w:szCs w:val="18"/>
                <w:color w:val="auto"/>
              </w:rPr>
              <w:t>Amortization expense relating to employee benefit plans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1,620</w:t>
            </w:r>
          </w:p>
        </w:tc>
        <w:tc>
          <w:tcPr>
            <w:tcW w:w="440" w:type="dxa"/>
            <w:vAlign w:val="bottom"/>
          </w:tcPr>
          <w:p>
            <w:pPr>
              <w:ind w:left="4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tax expense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gridSpan w:val="3"/>
          </w:tcPr>
          <w:p>
            <w:pPr>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1,218</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1,482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 of operations.</w:t>
      </w:r>
    </w:p>
    <w:p>
      <w:pPr>
        <w:spacing w:after="0" w:line="15"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2013 and 2012 and noncontrolling interests as of March 31, 2013 and December 31, 2012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7"/>
              </w:rPr>
              <w:t>Net Income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0" w:type="dxa"/>
            <w:vAlign w:val="bottom"/>
            <w:gridSpan w:val="9"/>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Attributable to 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5"/>
              </w:rPr>
              <w:t>Interests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jc w:val="center"/>
              <w:ind w:left="346"/>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8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gridSpan w:val="9"/>
          </w:tcPr>
          <w:p>
            <w:pPr>
              <w:ind w:left="36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March 31,</w:t>
            </w: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$ 75,011</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$ 75,399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40" w:type="dxa"/>
            <w:vAlign w:val="bottom"/>
            <w:vMerge w:val="restart"/>
          </w:tcPr>
          <w:p>
            <w:pPr>
              <w:jc w:val="right"/>
              <w:ind w:right="275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2013 and 2012,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RSUs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3"/>
                <w:szCs w:val="13"/>
                <w:color w:val="auto"/>
              </w:rPr>
            </w:pPr>
          </w:p>
        </w:tc>
        <w:tc>
          <w:tcPr>
            <w:tcW w:w="18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620" w:type="dxa"/>
            <w:vAlign w:val="bottom"/>
          </w:tcPr>
          <w:p>
            <w:pPr>
              <w:spacing w:after="0"/>
              <w:rPr>
                <w:sz w:val="14"/>
                <w:szCs w:val="14"/>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9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RSUs (a)</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$64,942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$81,891</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Restricted stock (b)</w:t>
            </w:r>
          </w:p>
        </w:tc>
        <w:tc>
          <w:tcPr>
            <w:tcW w:w="580" w:type="dxa"/>
            <w:vAlign w:val="bottom"/>
          </w:tcPr>
          <w:p>
            <w:pPr>
              <w:jc w:val="right"/>
              <w:spacing w:after="0"/>
              <w:rPr>
                <w:sz w:val="20"/>
                <w:szCs w:val="20"/>
                <w:color w:val="auto"/>
              </w:rPr>
            </w:pPr>
            <w:r>
              <w:rPr>
                <w:rFonts w:ascii="Arial" w:cs="Arial" w:eastAsia="Arial" w:hAnsi="Arial"/>
                <w:sz w:val="18"/>
                <w:szCs w:val="18"/>
                <w:color w:val="auto"/>
              </w:rPr>
              <w:t>5,261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4,175</w:t>
            </w:r>
          </w:p>
        </w:tc>
        <w:tc>
          <w:tcPr>
            <w:tcW w:w="100" w:type="dxa"/>
            <w:vAlign w:val="bottom"/>
          </w:tcPr>
          <w:p>
            <w:pPr>
              <w:spacing w:after="0"/>
              <w:rPr>
                <w:sz w:val="18"/>
                <w:szCs w:val="18"/>
                <w:color w:val="auto"/>
              </w:rPr>
            </w:pPr>
          </w:p>
        </w:tc>
      </w:tr>
      <w:tr>
        <w:trPr>
          <w:trHeight w:val="230"/>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r>
      <w:tr>
        <w:trPr>
          <w:trHeight w:val="222"/>
        </w:trPr>
        <w:tc>
          <w:tcPr>
            <w:tcW w:w="962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70,677</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86,101</w:t>
            </w:r>
          </w:p>
        </w:tc>
        <w:tc>
          <w:tcPr>
            <w:tcW w:w="10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76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$4,455 relating to the Cost Saving Initiatives (see Note 14 of Notes to Condensed Consolidated Financial Statements).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$233 relating to the Cost Saving Initiatives.</w:t>
      </w:r>
    </w:p>
    <w:p>
      <w:pPr>
        <w:spacing w:after="0" w:line="165"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RSUs issued after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 ended March 31, 2012 dividend participation rights required the issuance of 101,597 RSUs (there were no dividends on Class A common stock during the three month period ended March 31, 2013 due to the accelerated dividend paid by Lazard Ltd in December 2012).</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There were no such DSUs granted during the three month periods ended March 31, 2013 and 2012.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three month period ended March 31, 2012.</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2013 and 2012, 1,886 and 2,522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2013 and 2012:</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21,481,131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204,496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4,297,664</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37.33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(45,907)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(8,268,744)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17,464,144</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206,382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20,751,829</w:t>
            </w:r>
          </w:p>
        </w:tc>
        <w:tc>
          <w:tcPr>
            <w:tcW w:w="2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140,660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101,597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7,147,059</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(76,264)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33.14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(3,270,375)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24,552,249</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34.54</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143,182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RSUs which vested during the three month periods ended March 31, 2013 and 2012, the Company satisfied its minimum statutory tax withholding requirements in lieu of issuing 3,231,285 and 802,810 shares of Class A common stock in the respective three month periods. Accordingly, 5,037,459 and 2,467,565 shares of Class A common stock held by the Company were delivered during the three month periods ended March 31, 2013 and 2012, respectively.</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During the fourth quarter of 2012, 958,213 RSUs were modified through forward purchase agreements into liability awards. Such liability awards were settled on March 1, 2013 for $28,612. During the three month period ended March 31, 2013, compensation expense of $1,690 was recorded for such liability awards.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March 31, 2013, unrecognized RSU compensation expense, adjusted for estimated forfeitures, was approximately $280,000, with such unrecognized compensation expense expected to be recognized over a weighted average period of approximately 1.7 years subsequent to March 31, 2013.</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2013 and 2012:</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Restricted</w:t>
            </w:r>
          </w:p>
        </w:tc>
        <w:tc>
          <w:tcPr>
            <w:tcW w:w="10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1,972,609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388,763</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(1,715,275)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642,828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r>
      <w:tr>
        <w:trPr>
          <w:trHeight w:val="20"/>
        </w:trPr>
        <w:tc>
          <w:tcPr>
            <w:tcW w:w="702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color w:val="auto"/>
              </w:rPr>
              <w:t>Balance, January 1, 2012</w:t>
            </w:r>
          </w:p>
        </w:tc>
        <w:tc>
          <w:tcPr>
            <w:tcW w:w="820" w:type="dxa"/>
            <w:vAlign w:val="bottom"/>
          </w:tcPr>
          <w:p>
            <w:pPr>
              <w:jc w:val="right"/>
              <w:spacing w:after="0"/>
              <w:rPr>
                <w:sz w:val="20"/>
                <w:szCs w:val="20"/>
                <w:color w:val="auto"/>
              </w:rPr>
            </w:pPr>
            <w:r>
              <w:rPr>
                <w:rFonts w:ascii="Arial" w:cs="Arial" w:eastAsia="Arial" w:hAnsi="Arial"/>
                <w:sz w:val="18"/>
                <w:szCs w:val="18"/>
                <w:color w:val="auto"/>
              </w:rPr>
              <w:t>95,332</w:t>
            </w:r>
          </w:p>
        </w:tc>
        <w:tc>
          <w:tcPr>
            <w:tcW w:w="3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Granted/Exchanged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577,323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Vested/Converted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(119,552)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553,103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three month periods ended March 31, 2013 and 2012, the Company satisfied its minimum statutory tax withholding requirements in lieu of delivering 12,308 and 25,661 shares of Class A common stock during the respective three month periods. Accordingly, 1,702,967 and 93,891 shares of Class A common stock held by the Company were delivered during the three month periods ended March 31, 2013 and 2012, respectively.</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March 31, 2013, unrecognized restricted stock expense was approximately $15,000, with such expense to be recognized over a weighted average period of approximately 2.0 years subsequent to March 31, 2013.</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March 2013, the Company granted 448,128 PRSUs. The PRSUs are subject to both performance-based and service-based vesting conditions. The number of shares of Class A common stock that a recipient will receive upon vesting of a PRSU will be calculated by reference to certain performance metrics that relate to the Company’s performance over the three-year period beginning on January 1, 2012 and ending on December 31, 2014. The target number of shares of Class A common stock subject to each PRSU is one; however, based on the achievement of the performance criteria, the number of shares of Class A common stock that may be received in connection with each PRSU can range from zero to three times the target number. The PRSUs granted in March 2013 will vest 33% in March 2015 and 67% in March 2016, provided the applicable service and performance conditions are satisfied. In addition, the performance metrics applicable to each PRSU will be evaluated on an annual basis at the end of each fiscal year during the performance period and, if the Company has achieved a threshold level of performance with respect to the fiscal year, 25% of the target number of shares of Class A common stock subject to each PRSU will no longer be at risk of forfeiture based on the achievement of performance criteria.</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of $36.11 per share. As of March 31, 2013, the total estimated unrecognized compensation expense for PRSUs granted in March 2013 was approximately $16,000, and the Company expects to amortize such expense over a weighted-average period of approximately 2.1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periods ended March 31, 2012 and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47,445</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72,182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right"/>
              <w:ind w:right="54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Change in fair value related to: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in fair value of underlying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Adjustment for estimated forfeitures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106,724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89"/>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5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w w:val="99"/>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64,598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(6,185)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fair value of underlying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76,357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2.1 years subsequent to March 31,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months periods ended March 31, 2013 and 2012:</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2013</w:t>
            </w:r>
          </w:p>
        </w:tc>
        <w:tc>
          <w:tcPr>
            <w:tcW w:w="12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 (a)</w:t>
            </w:r>
          </w:p>
        </w:tc>
        <w:tc>
          <w:tcPr>
            <w:tcW w:w="1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$13,049</w:t>
            </w:r>
          </w:p>
        </w:tc>
        <w:tc>
          <w:tcPr>
            <w:tcW w:w="6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6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during the three month period ended March 31, 2013, $917 relating to the Cost Saving Initiatives.</w:t>
      </w:r>
    </w:p>
    <w:p>
      <w:pPr>
        <w:spacing w:after="0" w:line="29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The post-retirement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did not make a contribution to the U.S. pension plans during the three month period ended March 31, 2013.</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agreed to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inclusive.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amounts in the account security arrangement at March 31, 2013 and December 31, 2012 of approximately $15,500 and $16,500, respectively, have been recorded in “cash deposited with clearing organizations and other segregated cash” on the accompanying condensed consolidated statements of financial condition. Income on the account security arrangement accretes to the Company and is recorded in interest income.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period ended March 31, 2013, no contribution to these U.K. pension plans was required to be made, and no contributions were required to be made to other non-U.S. pension plans.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periods ended March 31, 2013 and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Pension Plans</w:t>
            </w:r>
          </w:p>
        </w:tc>
        <w:tc>
          <w:tcPr>
            <w:tcW w:w="240" w:type="dxa"/>
            <w:vAlign w:val="bottom"/>
          </w:tcPr>
          <w:p>
            <w:pPr>
              <w:spacing w:after="0"/>
              <w:rPr>
                <w:sz w:val="14"/>
                <w:szCs w:val="14"/>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20" w:type="dxa"/>
            <w:vAlign w:val="bottom"/>
            <w:tcBorders>
              <w:top w:val="single" w:sz="8" w:color="auto"/>
              <w:bottom w:val="single" w:sz="8" w:color="auto"/>
            </w:tcBorders>
            <w:gridSpan w:val="8"/>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Three Months Ended March 31,</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$ 10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6,902</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w w:val="87"/>
              </w:rPr>
              <w:t>(6,797)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(6,672)</w:t>
            </w: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1,890</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300" w:type="dxa"/>
            <w:vAlign w:val="bottom"/>
          </w:tcPr>
          <w:p>
            <w:pPr>
              <w:spacing w:after="0"/>
              <w:rPr>
                <w:sz w:val="19"/>
                <w:szCs w:val="19"/>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$ 57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SAVING INITIATIVES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October 2012, the Company announced a number of cost saving initiatives (the “Cost Saving Initiatives”) relating to the Company’s operations. These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Cost Saving Initiatives, the Company incurred pre-tax implementation expense, by segment, as reflected in the tables below:</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Financial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Advisory</w:t>
            </w:r>
          </w:p>
        </w:tc>
        <w:tc>
          <w:tcPr>
            <w:tcW w:w="46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b w:val="1"/>
                <w:bCs w:val="1"/>
                <w:color w:val="auto"/>
              </w:rPr>
              <w:t>Management</w:t>
            </w: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 Period Ended March 31, 2013:</w:t>
            </w: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$20,394</w:t>
            </w:r>
          </w:p>
        </w:tc>
        <w:tc>
          <w:tcPr>
            <w:tcW w:w="28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4,041</w:t>
            </w:r>
          </w:p>
        </w:tc>
        <w:tc>
          <w:tcPr>
            <w:tcW w:w="6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$24,671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22,015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4,072</w:t>
            </w:r>
          </w:p>
        </w:tc>
        <w:tc>
          <w:tcPr>
            <w:tcW w:w="6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Financial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Advisory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Through March 31, 2013:</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$96,527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12,292</w:t>
            </w:r>
          </w:p>
        </w:tc>
        <w:tc>
          <w:tcPr>
            <w:tcW w:w="1220" w:type="dxa"/>
            <w:vAlign w:val="bottom"/>
            <w:gridSpan w:val="4"/>
          </w:tcPr>
          <w:p>
            <w:pPr>
              <w:jc w:val="right"/>
              <w:ind w:right="600"/>
              <w:spacing w:after="0"/>
              <w:rPr>
                <w:sz w:val="20"/>
                <w:szCs w:val="20"/>
                <w:color w:val="auto"/>
              </w:rPr>
            </w:pPr>
            <w:r>
              <w:rPr>
                <w:rFonts w:ascii="Arial" w:cs="Arial" w:eastAsia="Arial" w:hAnsi="Arial"/>
                <w:sz w:val="18"/>
                <w:szCs w:val="18"/>
                <w:color w:val="auto"/>
                <w:w w:val="85"/>
              </w:rPr>
              <w:t>$ 15,839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5"/>
              </w:rPr>
              <w:t>$124,658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99,547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13,024</w:t>
            </w:r>
          </w:p>
        </w:tc>
        <w:tc>
          <w:tcPr>
            <w:tcW w:w="1220" w:type="dxa"/>
            <w:vAlign w:val="bottom"/>
            <w:gridSpan w:val="4"/>
          </w:tcPr>
          <w:p>
            <w:pPr>
              <w:jc w:val="right"/>
              <w:ind w:right="600"/>
              <w:spacing w:after="0"/>
              <w:rPr>
                <w:sz w:val="20"/>
                <w:szCs w:val="20"/>
                <w:color w:val="auto"/>
              </w:rPr>
            </w:pPr>
            <w:r>
              <w:rPr>
                <w:rFonts w:ascii="Arial" w:cs="Arial" w:eastAsia="Arial" w:hAnsi="Arial"/>
                <w:sz w:val="18"/>
                <w:szCs w:val="18"/>
                <w:color w:val="auto"/>
                <w:w w:val="85"/>
              </w:rPr>
              <w:t>$ 16,327</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128,898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expect implementation of the Cost Saving Initiatives to be completed by June 30, 2013, which we expect will include additional cost savings that we have identified. We expect to incur additional implementation expenses in the second quarter of 2013 associated with such additional cost savings. We expect that such additional implementation expenses will not exceed the level of implementation expenses incurred in the first quarter of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Activity related to the obligations pursuant to the Cost Saving Initiatives during the three month period ended March 31, 2013 was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Accrued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32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2013</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1,714</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$ 47,842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New charges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1,651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26,322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Non-cash charges</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(5,605)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Balance, March 31, 2013</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45,576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w w:val="97"/>
              </w:rPr>
              <w:t>2,781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$ 48,357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recorded income tax provisions of $3,022 and $4,834 for the three month periods ended March 31, 2013 and 2012, respectively, representing effective tax rates of 14.2% and 14.8%, respectively. The difference between the U.S. federal statutory rate of 35.0% and the effective tax rates reflected above principally relates to (i) Lazard Group primarily operating as a limited liability company in the U.S., (ii) taxes payable to foreign jurisdictions and (iii) U.S. state and local taxes (primarily UBT), which are incremental to the U.S. federal statutory tax rate.</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8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LFCM Holdings LLC (“LFCM Holdings”)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15,169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206,155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211,417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the three month periods ended March 31, 2013 and 2012, amounts recorded by Lazard Group relating to the administrative services agreement amounted to $632 and $813, respectively, and net referral fees for underwriting, private placement, M&amp;A and restructuring transactions under the business alliance agreement amounted to $500 and $814,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Receivables from LFCM Holdings and its subsidiaries as of March 31, 2013 and December 31, 2012 include $10,007 and $14,299, respectively, related to administrative and support services and other receivables which include sublease income and reimbursement of expenses incurred on behalf of LFCM Holdings, and $5,162 and $6,230, respectively, related to referral fees for underwriting and private placement transactions. Payables to LFCM Holdings and its subsidiaries at March 31, 2013 and December 31, 2012 include $3,626 and $2,943, respectively, primarily relating to certain advances and referral fees for Financial Advisory transactions.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Lazard Group’s receivables from subsidiaries of Lazard Ltd at March 31, 2013 and December 31, 2012 included interest-bearing loans of $103,376 and $101,833, respectively, including accrued interest thereon. Interest income relating to interest-bearing loans with subsidiaries of Lazard Ltd amounted to $1,542 and $2,580 for the three month periods ended March 31, 2013 and 2012, respectively.</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of both March 31, 2013 and December 31, 2012, Lazard Group’s payables to subsidiaries of Lazard Ltd included $3,410 in connection with Lazard Group’s prior year business acquisitions. In addition, as of March 31, 2013 and December 31, 2012, Lazard Group’s payables to subsidiaries of Lazard Ltd included interest-bearing loans, plus accrued interest thereon, of approximately $202,600 and $202,000, respectively. Such amounts at March 31, 2013 and December 31, 2012 included approximately $86,000 resulting from the sale in the first quarter of 2012 of an interest-bearing intercompany receivable due from a Lazard Group subsidiary to a Lazard Ltd subsidiary, which was sold at a discount to reflect arm’s-length terms, resulting in a loss to Lazard Group of $5,638. Interest expense relating to interest-bearing loans with subsidiaries of Lazard Ltd amounted to $2,039 and $2,198 for the three month periods ended March 31, 2013 and 2012, respectively.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Other receivables and payables at March 31, 2013 and December 31, 2012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2013 and 2012, such charges amounted to $250 and $188, respectively.</w:t>
      </w:r>
    </w:p>
    <w:p>
      <w:pPr>
        <w:spacing w:after="0" w:line="26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total aggregate indebtedness recorded in LFNY’s Financial and Operational Combined Uniform Single (“FOCUS”) report filed with the Financial Industry Regulatory Authority (“FINRA”), or $100, whichever is greater. At March 31, 2013, LFNY’s regulatory net capital was $16,939, which exceeded the minimum requirement by $12,976.</w:t>
      </w:r>
    </w:p>
    <w:p>
      <w:pPr>
        <w:spacing w:after="0" w:line="11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Conduct Authority, which replaced the Financial Services Authority as the U.K. Subsidiaries’ regulator effective April 1, 2013. At March 31, 2013, the aggregate regulatory net capital of the U.K. Subsidiaries was $79,618, which exceeded the minimum requirement by $59,936.</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subsidiary, LFB. In addition, the investment services activities of the Paris group, exercised through LFB and other subsidiaries of CFLF, primarily LFG (asset management), are subject to regulation and supervision by the Autorité des Marchés Financiers. At March 31, 2013, the consolidated regulatory net capital of CFLF was $172,243, which exceeded the minimum requirement set for regulatory capital levels by $139,002.</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2013, for those subsidiaries with regulatory capital requirements, their aggregate net capital was $79,617, which exceeded the minimum required capital by $54,974.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2013, each of these subsidiaries individually was in compliance with its regulatory capital requirements.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which we continue to examine, LFB, as a European credit institution, is required to be supervised on a consolidated basis by another regulatory body, either in the U.S., by the Board of Governors of the Federal Reserve, or in the European Union. The Dodd-Frank Act and the rules and regulations that may be adopted thereunder (including regulations that have not yet been proposed) could affect us in other ways. We continue to monitor the process as such rules are proposed and adopted.</w:t>
      </w:r>
    </w:p>
    <w:p>
      <w:pPr>
        <w:spacing w:after="0" w:line="24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2013 and 2012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9"/>
              </w:rPr>
              <w:t>2013(a)</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100" w:type="dxa"/>
            <w:vAlign w:val="bottom"/>
            <w:tcBorders>
              <w:top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ind w:left="16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(48,446)</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Asset Management</w:t>
            </w:r>
          </w:p>
        </w:tc>
        <w:tc>
          <w:tcPr>
            <w:tcW w:w="6100" w:type="dxa"/>
            <w:vAlign w:val="bottom"/>
          </w:tcPr>
          <w:p>
            <w:pPr>
              <w:ind w:left="168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244,025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ind w:left="1680"/>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88,948</w:t>
            </w:r>
          </w:p>
        </w:tc>
        <w:tc>
          <w:tcPr>
            <w:tcW w:w="240" w:type="dxa"/>
            <w:vAlign w:val="bottom"/>
          </w:tcPr>
          <w:p>
            <w:pPr>
              <w:spacing w:after="0"/>
              <w:rPr>
                <w:sz w:val="19"/>
                <w:szCs w:val="19"/>
                <w:color w:val="auto"/>
              </w:rPr>
            </w:pP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54,037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(11,303)</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ind w:left="16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(19,278)</w:t>
            </w:r>
          </w:p>
        </w:tc>
        <w:tc>
          <w:tcPr>
            <w:tcW w:w="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(48,758)</w:t>
            </w:r>
          </w:p>
        </w:tc>
        <w:tc>
          <w:tcPr>
            <w:tcW w:w="0" w:type="dxa"/>
            <w:vAlign w:val="bottom"/>
          </w:tcPr>
          <w:p>
            <w:pPr>
              <w:spacing w:after="0"/>
              <w:rPr>
                <w:sz w:val="1"/>
                <w:szCs w:val="1"/>
                <w:color w:val="auto"/>
              </w:rPr>
            </w:pPr>
          </w:p>
        </w:tc>
      </w:tr>
      <w:tr>
        <w:trPr>
          <w:trHeight w:val="330"/>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6100" w:type="dxa"/>
            <w:vAlign w:val="bottom"/>
          </w:tcPr>
          <w:p>
            <w:pPr>
              <w:ind w:left="1680"/>
              <w:spacing w:after="0"/>
              <w:rPr>
                <w:sz w:val="20"/>
                <w:szCs w:val="20"/>
                <w:color w:val="auto"/>
              </w:rPr>
            </w:pPr>
            <w:r>
              <w:rPr>
                <w:rFonts w:ascii="Arial" w:cs="Arial" w:eastAsia="Arial" w:hAnsi="Arial"/>
                <w:sz w:val="18"/>
                <w:szCs w:val="18"/>
                <w:color w:val="auto"/>
              </w:rPr>
              <w:t>Net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401,184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610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100" w:type="dxa"/>
            <w:vAlign w:val="bottom"/>
          </w:tcPr>
          <w:p>
            <w:pPr>
              <w:ind w:left="1680"/>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21,224</w:t>
            </w:r>
          </w:p>
        </w:tc>
        <w:tc>
          <w:tcPr>
            <w:tcW w:w="240" w:type="dxa"/>
            <w:vAlign w:val="bottom"/>
          </w:tcPr>
          <w:p>
            <w:pPr>
              <w:spacing w:after="0"/>
              <w:rPr>
                <w:sz w:val="19"/>
                <w:szCs w:val="19"/>
                <w:color w:val="auto"/>
              </w:rPr>
            </w:pP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Note 14 of Notes to Condensed Consolidated Financial Statements for information regarding the Cost Saving Initiatives, and the impact on each of the Company’s business segments during the three month period ended March 31, 2013.</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March 31,</w:t>
            </w:r>
          </w:p>
        </w:tc>
        <w:tc>
          <w:tcPr>
            <w:tcW w:w="118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4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703,961</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793,007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1,593,427</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1,688,696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2,790,006</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3,048,380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80" w:type="dxa"/>
            <w:vAlign w:val="bottom"/>
            <w:vMerge w:val="restart"/>
          </w:tcPr>
          <w:p>
            <w:pPr>
              <w:jc w:val="right"/>
              <w:ind w:right="2612"/>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2012 (the “Form 10-K”). All references to “2013”, “2012”, “first quarter” or “the period” refer to, as the context requires, the three month periods ended March 31, 2013 and March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decline in overall mergers and acquisitions (“M&amp;A”) activity, our share of the M&amp;A market or our assets under management (“AUM”),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risks and uncertainties are not exhaustive. Other sections of the Form 10-K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13"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and its subsidiaries (collectively referred to as “LAM”).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xml:space="preserve"> Our websites and the information contained therein or connected thereto shall not be deemed to be incorporated into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40 cities in key business and financial centers across 26 countries throughout Europe, North America, Asia, Australia, the Middle East and Central and South America.</w:t>
      </w:r>
    </w:p>
    <w:p>
      <w:pPr>
        <w:spacing w:after="0" w:line="11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and outstanding indebtedness, as well as certain commercial banking activities of Lazard Group’s Paris-based Lazard Frères Banque SA (“LFB”).</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5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3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tcPr>
          <w:p>
            <w:pPr>
              <w:jc w:val="right"/>
              <w:ind w:right="752"/>
              <w:spacing w:after="0"/>
              <w:rPr>
                <w:sz w:val="20"/>
                <w:szCs w:val="20"/>
                <w:color w:val="auto"/>
              </w:rPr>
            </w:pPr>
            <w:r>
              <w:rPr>
                <w:rFonts w:ascii="Arial" w:cs="Arial" w:eastAsia="Arial" w:hAnsi="Arial"/>
                <w:sz w:val="18"/>
                <w:szCs w:val="18"/>
                <w:color w:val="auto"/>
              </w:rPr>
              <w:t>61</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(3)</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60" w:type="dxa"/>
            <w:vAlign w:val="bottom"/>
            <w:vMerge w:val="continue"/>
          </w:tcPr>
          <w:p>
            <w:pPr>
              <w:spacing w:after="0"/>
              <w:rPr>
                <w:sz w:val="19"/>
                <w:szCs w:val="19"/>
                <w:color w:val="auto"/>
              </w:rPr>
            </w:pPr>
          </w:p>
        </w:tc>
        <w:tc>
          <w:tcPr>
            <w:tcW w:w="132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260" w:firstLine="8"/>
        <w:spacing w:after="0" w:line="281" w:lineRule="auto"/>
        <w:tabs>
          <w:tab w:leader="none" w:pos="2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(see Note 10 of Notes to Condensed Consolidated Financial Statements), (ii) Lazard Australia Corporate Opportunities Fund 2 (“COF2”), a Lazard-managed Australian private equity fund targeting Australasian mid-market investments,</w:t>
      </w:r>
    </w:p>
    <w:p>
      <w:pPr>
        <w:spacing w:after="0" w:line="1" w:lineRule="exact"/>
        <w:rPr>
          <w:rFonts w:ascii="Arial" w:cs="Arial" w:eastAsia="Arial" w:hAnsi="Arial"/>
          <w:sz w:val="16"/>
          <w:szCs w:val="16"/>
          <w:color w:val="auto"/>
        </w:rPr>
      </w:pPr>
    </w:p>
    <w:p>
      <w:pPr>
        <w:ind w:right="20" w:firstLine="8"/>
        <w:spacing w:after="0" w:line="292" w:lineRule="auto"/>
        <w:tabs>
          <w:tab w:leader="none" w:pos="3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mezzanine fund, which invests in mezzanine debt of a diversified selection of small-to mid cap European companies and (iv) a private equity fund targeting significant non-controlling investments in established public and private companies.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Overall, equity market indices at March 31, 2013 generally increased in both the U.S., and outside the U.S., when compared to such indices at December 31, 2012. On an industry-wide basis, during the first quarter of 2013 the value of completed M&amp;A transactions increased due to a few high value transactions, while the number of completed transactions decreased as compared to the same period last year. Restructuring volume and the number of corporate defaults also declined in the first quarter of 2013, as compared to the same period last year.</w:t>
      </w:r>
    </w:p>
    <w:p>
      <w:pPr>
        <w:spacing w:after="0" w:line="11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In early 2013, interest rates remain low and corporate cash balances remain high. Global macroeconomic conditions appear to be improving but remain uncertain, especially with respect to Europe. The breadth of our businesses has mitigated the impact of the European financial crisis. Although completed European M&amp;A activity declined in the first quarter of 2013 and contributed to the revenue decrease in our Financial Advisory business, we believe other advisory opportunities, including opportunities for our Sovereign Advisory and Capital Raising businesses, may offset the slowdown. In our Asset Management business, most of LAM’s European clients are invested with LAM primarily outside of Europe. Many of those who are invested in Europe are invested in European fixed income, which has not had a significant impact on our Asset Management business. Nonetheless, the business situation in Europe remains challenging.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and, in October 2012, announced a number of cost saving initiatives (the “cost saving initiatives”) relating to our operations. See “Cost Saving Initiatives” below and Note 14 of Notes to Condensed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right="20" w:hanging="345"/>
        <w:spacing w:after="0" w:line="289"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We continue to develop our range of advisory capabilities, in particular in Europe, with our Sovereign Advisory, Restructuring and Capital Raising businesses. In addition, we believe our businesses throughout the emerging markets, Japan and Australia position us for growth in these markets, while strengthening and distinguishing our relationships with clients in developed economies. We recently integrated our Brazilian operations based in São Paulo. We also established the Lazard Africa initiative, to leverage our sovereign and corporate expertise in the rapidly growing region, for our clients in both developed and developing countries.</w:t>
      </w:r>
    </w:p>
    <w:p>
      <w:pPr>
        <w:spacing w:after="0" w:line="37" w:lineRule="exact"/>
        <w:rPr>
          <w:rFonts w:ascii="Arial" w:cs="Arial" w:eastAsia="Arial" w:hAnsi="Arial"/>
          <w:sz w:val="16"/>
          <w:szCs w:val="16"/>
          <w:color w:val="auto"/>
        </w:rPr>
      </w:pPr>
    </w:p>
    <w:p>
      <w:pPr>
        <w:ind w:left="920" w:right="40" w:hanging="345"/>
        <w:spacing w:after="0" w:line="290" w:lineRule="auto"/>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recently seen increased investor demand across regions and investment platforms. In the short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recently extended the global footprint of our Asset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306" w:lineRule="auto"/>
        <w:rPr>
          <w:sz w:val="20"/>
          <w:szCs w:val="20"/>
          <w:color w:val="auto"/>
        </w:rPr>
      </w:pPr>
      <w:r>
        <w:rPr>
          <w:rFonts w:ascii="Arial" w:cs="Arial" w:eastAsia="Arial" w:hAnsi="Arial"/>
          <w:sz w:val="16"/>
          <w:szCs w:val="16"/>
          <w:color w:val="auto"/>
        </w:rPr>
        <w:t>Management business by opening new offices in Zurich and Singapore. We are continually developing and seeding new investment strategies that extend our existing platforms. Recent examples of growth initiatives include the following investment strategies: Emerging Market Debt, Core Emerging Markets Equity, Real Estate, Managed Volatility Strategies, Asian Equities and Global Trend Equity.</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and earnings growth and stockholder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reflected in the following table, which sets forth global industry statistics for the first quarter of 2013 and 2012, the value of completed and announced M&amp;A transactions increased compared to the first quarter of 2012, primarily due to a few high value transactions, while the number of completed and announced transactions decreased.</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129"/>
        </w:trPr>
        <w:tc>
          <w:tcPr>
            <w:tcW w:w="5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56"/>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Pr>
          <w:p>
            <w:pPr>
              <w:spacing w:after="0"/>
              <w:rPr>
                <w:sz w:val="14"/>
                <w:szCs w:val="14"/>
                <w:color w:val="auto"/>
              </w:rPr>
            </w:pPr>
          </w:p>
        </w:tc>
        <w:tc>
          <w:tcPr>
            <w:tcW w:w="920" w:type="dxa"/>
            <w:vAlign w:val="bottom"/>
          </w:tcPr>
          <w:p>
            <w:pPr>
              <w:jc w:val="right"/>
              <w:ind w:right="536"/>
              <w:spacing w:after="0"/>
              <w:rPr>
                <w:sz w:val="20"/>
                <w:szCs w:val="20"/>
                <w:color w:val="auto"/>
              </w:rPr>
            </w:pPr>
            <w:r>
              <w:rPr>
                <w:rFonts w:ascii="Arial" w:cs="Arial" w:eastAsia="Arial" w:hAnsi="Arial"/>
                <w:sz w:val="14"/>
                <w:szCs w:val="14"/>
                <w:b w:val="1"/>
                <w:bCs w:val="1"/>
                <w:color w:val="auto"/>
                <w:w w:val="89"/>
              </w:rPr>
              <w:t>2012</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Incr / (Decr)</w:t>
            </w:r>
          </w:p>
        </w:tc>
      </w:tr>
      <w:tr>
        <w:trPr>
          <w:trHeight w:val="156"/>
        </w:trPr>
        <w:tc>
          <w:tcPr>
            <w:tcW w:w="5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660"/>
              <w:spacing w:after="0" w:line="155" w:lineRule="exact"/>
              <w:rPr>
                <w:sz w:val="20"/>
                <w:szCs w:val="20"/>
                <w:color w:val="auto"/>
              </w:rPr>
            </w:pPr>
            <w:r>
              <w:rPr>
                <w:rFonts w:ascii="Arial" w:cs="Arial" w:eastAsia="Arial" w:hAnsi="Arial"/>
                <w:sz w:val="14"/>
                <w:szCs w:val="14"/>
                <w:b w:val="1"/>
                <w:bCs w:val="1"/>
                <w:color w:val="auto"/>
              </w:rPr>
              <w:t>($ in billions)</w:t>
            </w: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Completed M&amp;A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9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499</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96"/>
              <w:spacing w:after="0"/>
              <w:rPr>
                <w:sz w:val="20"/>
                <w:szCs w:val="20"/>
                <w:color w:val="auto"/>
              </w:rPr>
            </w:pPr>
            <w:r>
              <w:rPr>
                <w:rFonts w:ascii="Arial" w:cs="Arial" w:eastAsia="Arial" w:hAnsi="Arial"/>
                <w:sz w:val="18"/>
                <w:szCs w:val="18"/>
                <w:color w:val="auto"/>
              </w:rPr>
              <w:t>402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3"/>
              </w:rPr>
              <w:t>6,162</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3"/>
              </w:rPr>
              <w:t>7,600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Global Announced M&amp;A Transactions: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510</w:t>
            </w:r>
          </w:p>
        </w:tc>
        <w:tc>
          <w:tcPr>
            <w:tcW w:w="7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478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2"/>
        </w:trPr>
        <w:tc>
          <w:tcPr>
            <w:tcW w:w="59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w w:val="93"/>
              </w:rPr>
              <w:t>8,403</w:t>
            </w:r>
          </w:p>
        </w:tc>
        <w:tc>
          <w:tcPr>
            <w:tcW w:w="760" w:type="dxa"/>
            <w:vAlign w:val="bottom"/>
          </w:tcPr>
          <w:p>
            <w:pPr>
              <w:spacing w:after="0"/>
              <w:rPr>
                <w:sz w:val="19"/>
                <w:szCs w:val="19"/>
                <w:color w:val="auto"/>
              </w:rPr>
            </w:pPr>
          </w:p>
        </w:tc>
        <w:tc>
          <w:tcPr>
            <w:tcW w:w="920" w:type="dxa"/>
            <w:vAlign w:val="bottom"/>
          </w:tcPr>
          <w:p>
            <w:pPr>
              <w:jc w:val="right"/>
              <w:ind w:right="396"/>
              <w:spacing w:after="0"/>
              <w:rPr>
                <w:sz w:val="20"/>
                <w:szCs w:val="20"/>
                <w:color w:val="auto"/>
              </w:rPr>
            </w:pPr>
            <w:r>
              <w:rPr>
                <w:rFonts w:ascii="Arial" w:cs="Arial" w:eastAsia="Arial" w:hAnsi="Arial"/>
                <w:sz w:val="18"/>
                <w:szCs w:val="18"/>
                <w:color w:val="auto"/>
                <w:w w:val="93"/>
              </w:rPr>
              <w:t>9,545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Source:Thomson Reuters as of April 9, 2013.</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Global restructuring activity during the first quarter of 2013, as measured by the value of debt defaults, decreased from the corresponding period in 2012, with the number of issuers defaulting decreasing to 20 in the first quarter of 2013, according to Moody’s Investors Service, Inc., as compared to 24 in the corresponding period of 2012.</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shown in the table below, major equity market indices at March 31, 2013 generally increased when compared to such indices at December 31 and March 31,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Percentage Changes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84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March 31, 2013 vs.</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6840" w:type="dxa"/>
            <w:vAlign w:val="bottom"/>
          </w:tcPr>
          <w:p>
            <w:pPr>
              <w:spacing w:after="0"/>
              <w:rPr>
                <w:sz w:val="11"/>
                <w:szCs w:val="11"/>
                <w:color w:val="auto"/>
              </w:rPr>
            </w:pPr>
          </w:p>
        </w:tc>
        <w:tc>
          <w:tcPr>
            <w:tcW w:w="19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1"/>
                <w:szCs w:val="11"/>
                <w:color w:val="auto"/>
              </w:rPr>
            </w:pPr>
          </w:p>
        </w:tc>
      </w:tr>
      <w:tr>
        <w:trPr>
          <w:trHeight w:val="161"/>
        </w:trPr>
        <w:tc>
          <w:tcPr>
            <w:tcW w:w="6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2012</w:t>
            </w:r>
          </w:p>
        </w:tc>
        <w:tc>
          <w:tcPr>
            <w:tcW w:w="1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 Stoxx</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volatility and changes in our AUM product mix will impact the level of revenues we receive from our Asset Management business when comparing periodic results. A substantial portion of our AUM is invested in equities, and market movements reflected in the changes in Lazard’s AUM during the period generally correspond to the changes in global equity market indices. Our AUM at March 31, 2013 increased 3% versus AUM at December 31, 2012 primarily due to market appreciation, and our average AUM for the first quarter of 2013 increased 14% as compared to our average AUM for the corresponding period of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Saving Initiatives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October 2012, we announced cost saving initiatives that we expected to result in approximately $125 million in annual savings from the compensation and non-compensation cost base at that time. Implementation began in the fourth quarter of 2012, with the goal of completion by the end of the second quarter of 2013.</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cost saving initiatives are intended to improve our profitability with minimal impact on revenue growth. The initiatives include: streamlining our corporate structure and consolidating support functions; realigning our investments into areas with potential for the greatest long-term return; and creating greater flexibility to retain and attract the best people and invest in new growth areas.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Most of the cost saving initiatives have been completed. In the first quarter of 2013, associated implementation expenses were approximately $26 million, and in the fourth quarter of 2012, associated implementation expenses were approximately $103 million, for a total of approximately $129 million.</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planned, we expect implementation of the initiatives to be finished by the end of the second quarter of 2013, which we expect will include additional cost savings that we have identified. We anticipate that the ratio of these additional cost savings to expenses will approximate the ratio expected for the initiatives currently underway. We expect that the expenses in the second quarter that are associated with the additional savings will not exceed the level of first-quarter 2013 expenses. We believe the full impact of all the savings will be reflected in our 2014 results.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14 of Notes to Condensed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 funds, such as hedge funds and private equity funds, and lower fees earned on fixed income and cash management products.</w:t>
      </w:r>
    </w:p>
    <w:p>
      <w:pPr>
        <w:spacing w:after="0" w:line="12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The incentive fees received at the end of the measurement period are not subject to reversal or payback. Incentive fees on hedge funds generally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principal investments in equities and alternative investment funds and “equity method” investments, net hedging activities, as well as gains and losses on investments held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connection with Lazard Fund Interests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2013 represented (3)% of Lazard’s net revenue, total assets in the Corporate segment represented 57% of Lazard’s consolidated total assets as of March 31, 2013, which is attributable to investments in government bonds and money market funds, fixed income funds, alternative investment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2005 Equity Incentive Plan (the “2005 Plan”) and the Lazard Ltd 2008 Incentive Compensation Plan (the “2008 Plan”) and (b) Lazard Fund Interests awards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2013, 2012 and 2011 related to the 2012, 2011 and 2010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Based on a similar level and mix of revenues from our business as in 2012 and a gradual improvement in the macroeconomic environment, we believe that over the cycle we can attain a ratio of awarded compensation and benefits expense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operating revenue in the mid-to-high-50s percentage range, which compares to 59.3% for the year ended December 31, 2012. While we have begun to implement initiatives, including the cost saving initiatives announced in October 2012 (see “Cost Saving Initiatives” above)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changes in the mix of revenues from our businesses or various other factors could prevent us from attaining this goal.</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 in the 2012 period, the relevant portion of the expense relating to the first quarter 2012 staff reductions and (ii) in the 2013 period, the relevant portion of the expense relating to the implementation of the cost saving initiatives. Amortization of intangible assets relates primarily to the acquisition of Edgewater.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Noncontrolling interests primarily relate to the amount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76"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401,184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480,528</w:t>
            </w:r>
          </w:p>
        </w:tc>
        <w:tc>
          <w:tcPr>
            <w:tcW w:w="0" w:type="dxa"/>
            <w:vAlign w:val="bottom"/>
          </w:tcPr>
          <w:p>
            <w:pPr>
              <w:spacing w:after="0"/>
              <w:rPr>
                <w:sz w:val="1"/>
                <w:szCs w:val="1"/>
                <w:color w:val="auto"/>
              </w:rPr>
            </w:pPr>
          </w:p>
        </w:tc>
      </w:tr>
      <w:tr>
        <w:trPr>
          <w:trHeight w:val="330"/>
        </w:trPr>
        <w:tc>
          <w:tcPr>
            <w:tcW w:w="6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277,726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101,357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2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379,960</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447,950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21,224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18,202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16,105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25,565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760" w:type="dxa"/>
            <w:vAlign w:val="bottom"/>
            <w:gridSpan w:val="3"/>
          </w:tcPr>
          <w:p>
            <w:pPr>
              <w:jc w:val="right"/>
              <w:ind w:right="300"/>
              <w:spacing w:after="0"/>
              <w:rPr>
                <w:sz w:val="20"/>
                <w:szCs w:val="20"/>
                <w:color w:val="auto"/>
              </w:rPr>
            </w:pPr>
            <w:r>
              <w:rPr>
                <w:rFonts w:ascii="Arial" w:cs="Arial" w:eastAsia="Arial" w:hAnsi="Arial"/>
                <w:sz w:val="18"/>
                <w:szCs w:val="18"/>
                <w:color w:val="auto"/>
              </w:rPr>
              <w:t>$401,184</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$480,528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Other interest expense (a)</w:t>
            </w:r>
          </w:p>
        </w:tc>
        <w:tc>
          <w:tcPr>
            <w:tcW w:w="3760" w:type="dxa"/>
            <w:vAlign w:val="bottom"/>
            <w:gridSpan w:val="3"/>
          </w:tcPr>
          <w:p>
            <w:pPr>
              <w:jc w:val="right"/>
              <w:ind w:right="300"/>
              <w:spacing w:after="0"/>
              <w:rPr>
                <w:sz w:val="20"/>
                <w:szCs w:val="20"/>
                <w:color w:val="auto"/>
              </w:rPr>
            </w:pPr>
            <w:r>
              <w:rPr>
                <w:rFonts w:ascii="Arial" w:cs="Arial" w:eastAsia="Arial" w:hAnsi="Arial"/>
                <w:sz w:val="18"/>
                <w:szCs w:val="18"/>
                <w:color w:val="auto"/>
              </w:rPr>
              <w:t>21,887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3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(4,322)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gridSpan w:val="2"/>
          </w:tcPr>
          <w:p>
            <w:pPr>
              <w:ind w:left="420"/>
              <w:spacing w:after="0"/>
              <w:rPr>
                <w:sz w:val="20"/>
                <w:szCs w:val="20"/>
                <w:color w:val="auto"/>
              </w:rPr>
            </w:pPr>
            <w:r>
              <w:rPr>
                <w:rFonts w:ascii="Arial" w:cs="Arial" w:eastAsia="Arial" w:hAnsi="Arial"/>
                <w:sz w:val="18"/>
                <w:szCs w:val="18"/>
                <w:color w:val="auto"/>
              </w:rPr>
              <w:t>Gains on investments pertaining to Lazard Fund</w:t>
            </w:r>
          </w:p>
        </w:tc>
        <w:tc>
          <w:tcPr>
            <w:tcW w:w="2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640"/>
              <w:spacing w:after="0"/>
              <w:rPr>
                <w:sz w:val="20"/>
                <w:szCs w:val="20"/>
                <w:color w:val="auto"/>
              </w:rPr>
            </w:pPr>
            <w:r>
              <w:rPr>
                <w:rFonts w:ascii="Arial" w:cs="Arial" w:eastAsia="Arial" w:hAnsi="Arial"/>
                <w:sz w:val="18"/>
                <w:szCs w:val="18"/>
                <w:color w:val="auto"/>
              </w:rPr>
              <w:t>Interests (c)</w:t>
            </w:r>
          </w:p>
        </w:tc>
        <w:tc>
          <w:tcPr>
            <w:tcW w:w="27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(3,725)</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415,024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is not considered to be a cost directly related to the revenue of our business.</w:t>
      </w:r>
    </w:p>
    <w:p>
      <w:pPr>
        <w:ind w:left="460" w:right="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660" w:hanging="452"/>
        <w:spacing w:after="0" w:line="361"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980" w:type="dxa"/>
            <w:vAlign w:val="bottom"/>
            <w:gridSpan w:val="3"/>
          </w:tcPr>
          <w:p>
            <w:pPr>
              <w:jc w:val="right"/>
              <w:ind w:right="435"/>
              <w:spacing w:after="0" w:line="142"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2"/>
                <w:szCs w:val="12"/>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$277,726</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$338,303</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3260" w:type="dxa"/>
            <w:vAlign w:val="bottom"/>
            <w:gridSpan w:val="3"/>
          </w:tcPr>
          <w:p>
            <w:pPr>
              <w:jc w:val="right"/>
              <w:ind w:right="492"/>
              <w:spacing w:after="0"/>
              <w:rPr>
                <w:sz w:val="20"/>
                <w:szCs w:val="20"/>
                <w:color w:val="auto"/>
              </w:rPr>
            </w:pPr>
            <w:r>
              <w:rPr>
                <w:rFonts w:ascii="Arial" w:cs="Arial" w:eastAsia="Arial" w:hAnsi="Arial"/>
                <w:sz w:val="18"/>
                <w:szCs w:val="18"/>
                <w:color w:val="auto"/>
              </w:rPr>
              <w:t>(1,121)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(1,080)</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Lazard Fund Interests (b)</w:t>
            </w:r>
          </w:p>
        </w:tc>
        <w:tc>
          <w:tcPr>
            <w:tcW w:w="32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rPr>
              <w:t>(3,725)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w:t>
            </w:r>
          </w:p>
        </w:tc>
      </w:tr>
      <w:tr>
        <w:trPr>
          <w:trHeight w:val="216"/>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Costs related to staff reductions (c)</w:t>
            </w:r>
          </w:p>
        </w:tc>
        <w:tc>
          <w:tcPr>
            <w:tcW w:w="1960" w:type="dxa"/>
            <w:vAlign w:val="bottom"/>
          </w:tcPr>
          <w:p>
            <w:pPr>
              <w:spacing w:after="0"/>
              <w:rPr>
                <w:sz w:val="18"/>
                <w:szCs w:val="18"/>
                <w:color w:val="auto"/>
              </w:rPr>
            </w:pPr>
          </w:p>
        </w:tc>
        <w:tc>
          <w:tcPr>
            <w:tcW w:w="13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(21,754)</w:t>
            </w:r>
          </w:p>
        </w:tc>
      </w:tr>
      <w:tr>
        <w:trPr>
          <w:trHeight w:val="216"/>
        </w:trPr>
        <w:tc>
          <w:tcPr>
            <w:tcW w:w="7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saving initiatives (c)</w:t>
            </w:r>
          </w:p>
        </w:tc>
        <w:tc>
          <w:tcPr>
            <w:tcW w:w="1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(24,671)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19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248,209</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312,702</w:t>
            </w:r>
          </w:p>
        </w:tc>
        <w:tc>
          <w:tcPr>
            <w:tcW w:w="2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32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59.8%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changes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40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expenses related to the first quarter 2012 staff reductions and the cost saving initiatives announced by the Company in the fourth quarter of 2012 for (i) severance costs and benefit payments and (ii) the acceleration of unrecognized amortization expense of deferred incentive compensation previously granted to individuals whose employment was being terminated.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$101,357</w:t>
            </w:r>
          </w:p>
        </w:tc>
        <w:tc>
          <w:tcPr>
            <w:tcW w:w="6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$108,529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560" w:type="dxa"/>
            <w:vAlign w:val="bottom"/>
            <w:gridSpan w:val="3"/>
          </w:tcPr>
          <w:p>
            <w:pPr>
              <w:jc w:val="right"/>
              <w:ind w:right="492"/>
              <w:spacing w:after="0"/>
              <w:rPr>
                <w:sz w:val="20"/>
                <w:szCs w:val="20"/>
                <w:color w:val="auto"/>
              </w:rPr>
            </w:pPr>
            <w:r>
              <w:rPr>
                <w:rFonts w:ascii="Arial" w:cs="Arial" w:eastAsia="Arial" w:hAnsi="Arial"/>
                <w:sz w:val="18"/>
                <w:szCs w:val="18"/>
                <w:color w:val="auto"/>
              </w:rPr>
              <w:t>(458)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 related to staff reductions (b)</w:t>
            </w:r>
          </w:p>
        </w:tc>
        <w:tc>
          <w:tcPr>
            <w:tcW w:w="2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Cost saving initiatives (b)</w:t>
            </w:r>
          </w:p>
        </w:tc>
        <w:tc>
          <w:tcPr>
            <w:tcW w:w="2260" w:type="dxa"/>
            <w:vAlign w:val="bottom"/>
          </w:tcPr>
          <w:p>
            <w:pPr>
              <w:spacing w:after="0"/>
              <w:rPr>
                <w:sz w:val="19"/>
                <w:szCs w:val="19"/>
                <w:color w:val="auto"/>
              </w:rPr>
            </w:pPr>
          </w:p>
        </w:tc>
        <w:tc>
          <w:tcPr>
            <w:tcW w:w="1300" w:type="dxa"/>
            <w:vAlign w:val="bottom"/>
            <w:gridSpan w:val="2"/>
          </w:tcPr>
          <w:p>
            <w:pPr>
              <w:jc w:val="right"/>
              <w:ind w:right="492"/>
              <w:spacing w:after="0"/>
              <w:rPr>
                <w:sz w:val="20"/>
                <w:szCs w:val="20"/>
                <w:color w:val="auto"/>
              </w:rPr>
            </w:pPr>
            <w:r>
              <w:rPr>
                <w:rFonts w:ascii="Arial" w:cs="Arial" w:eastAsia="Arial" w:hAnsi="Arial"/>
                <w:sz w:val="18"/>
                <w:szCs w:val="18"/>
                <w:color w:val="auto"/>
              </w:rPr>
              <w:t>(1,651)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2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$ 99,248</w:t>
            </w:r>
          </w:p>
        </w:tc>
        <w:tc>
          <w:tcPr>
            <w:tcW w:w="6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104,983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3"/>
            <w:vMerge w:val="continue"/>
          </w:tcPr>
          <w:p>
            <w:pPr>
              <w:spacing w:after="0"/>
              <w:rPr>
                <w:sz w:val="18"/>
                <w:szCs w:val="18"/>
                <w:color w:val="auto"/>
              </w:rPr>
            </w:pPr>
          </w:p>
        </w:tc>
        <w:tc>
          <w:tcPr>
            <w:tcW w:w="3560" w:type="dxa"/>
            <w:vAlign w:val="bottom"/>
            <w:gridSpan w:val="3"/>
          </w:tcPr>
          <w:p>
            <w:pPr>
              <w:jc w:val="right"/>
              <w:ind w:right="412"/>
              <w:spacing w:after="0"/>
              <w:rPr>
                <w:sz w:val="20"/>
                <w:szCs w:val="20"/>
                <w:color w:val="auto"/>
              </w:rPr>
            </w:pPr>
            <w:r>
              <w:rPr>
                <w:rFonts w:ascii="Arial" w:cs="Arial" w:eastAsia="Arial" w:hAnsi="Arial"/>
                <w:sz w:val="18"/>
                <w:szCs w:val="18"/>
                <w:color w:val="auto"/>
              </w:rPr>
              <w:t>23.9%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40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Non-compensation costs associated with the first quarter 2012 staff reductions and the cost saving initiatives are excluded to enhance comparability of adjusted non-compensation expense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415,024</w:t>
            </w:r>
          </w:p>
        </w:tc>
        <w:tc>
          <w:tcPr>
            <w:tcW w:w="7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495,436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100" w:type="dxa"/>
            <w:vAlign w:val="bottom"/>
          </w:tcPr>
          <w:p>
            <w:pPr>
              <w:spacing w:after="0"/>
              <w:rPr>
                <w:sz w:val="18"/>
                <w:szCs w:val="18"/>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8"/>
                <w:szCs w:val="18"/>
                <w:color w:val="auto"/>
                <w:w w:val="88"/>
              </w:rPr>
              <w:t>(248,209)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(312,702)</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(99,248)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(104,983)</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67,567</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77,751</w:t>
            </w:r>
          </w:p>
        </w:tc>
        <w:tc>
          <w:tcPr>
            <w:tcW w:w="2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207"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-15875</wp:posOffset>
            </wp:positionV>
            <wp:extent cx="19037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73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Money management fees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Revenue</w:t>
            </w: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w:t>
            </w: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9"/>
              </w:rPr>
              <w:t>March 31,</w:t>
            </w:r>
          </w:p>
        </w:tc>
        <w:tc>
          <w:tcPr>
            <w:tcW w:w="14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13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Headcount:</w:t>
            </w: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2013(a)</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2012(a)</w:t>
            </w:r>
          </w:p>
        </w:tc>
        <w:tc>
          <w:tcPr>
            <w:tcW w:w="10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100" w:type="dxa"/>
            <w:vAlign w:val="bottom"/>
            <w:gridSpan w:val="2"/>
            <w:vMerge w:val="continue"/>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Managing Directors: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Asset Management</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1480" w:type="dxa"/>
            <w:vAlign w:val="bottom"/>
            <w:gridSpan w:val="5"/>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00" w:type="dxa"/>
            <w:vAlign w:val="bottom"/>
            <w:gridSpan w:val="2"/>
          </w:tcPr>
          <w:p>
            <w:pPr>
              <w:ind w:left="220"/>
              <w:spacing w:after="0"/>
              <w:rPr>
                <w:sz w:val="20"/>
                <w:szCs w:val="20"/>
                <w:color w:val="auto"/>
              </w:rPr>
            </w:pPr>
            <w:r>
              <w:rPr>
                <w:rFonts w:ascii="Arial" w:cs="Arial" w:eastAsia="Arial" w:hAnsi="Arial"/>
                <w:sz w:val="18"/>
                <w:szCs w:val="18"/>
                <w:color w:val="auto"/>
              </w:rPr>
              <w:t>Other Employees: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1,097</w:t>
            </w:r>
          </w:p>
        </w:tc>
        <w:tc>
          <w:tcPr>
            <w:tcW w:w="1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4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1,132</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1,165</w:t>
            </w:r>
          </w:p>
        </w:tc>
        <w:tc>
          <w:tcPr>
            <w:tcW w:w="1000" w:type="dxa"/>
            <w:vAlign w:val="bottom"/>
            <w:gridSpan w:val="2"/>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1,204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2,466</w:t>
            </w:r>
          </w:p>
        </w:tc>
        <w:tc>
          <w:tcPr>
            <w:tcW w:w="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2,513</w:t>
            </w:r>
          </w:p>
        </w:tc>
        <w:tc>
          <w:tcPr>
            <w:tcW w:w="1000" w:type="dxa"/>
            <w:vAlign w:val="bottom"/>
            <w:tcBorders>
              <w:right w:val="single" w:sz="8" w:color="CCEEFF"/>
            </w:tcBorders>
            <w:gridSpan w:val="2"/>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2,530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-2872105</wp:posOffset>
            </wp:positionV>
            <wp:extent cx="342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-2040255</wp:posOffset>
            </wp:positionV>
            <wp:extent cx="26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-1885950</wp:posOffset>
            </wp:positionV>
            <wp:extent cx="260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-1868805</wp:posOffset>
            </wp:positionV>
            <wp:extent cx="26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-1568450</wp:posOffset>
            </wp:positionV>
            <wp:extent cx="34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-1371600</wp:posOffset>
            </wp:positionV>
            <wp:extent cx="34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-265430</wp:posOffset>
            </wp:positionV>
            <wp:extent cx="26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-111125</wp:posOffset>
            </wp:positionV>
            <wp:extent cx="260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-93980</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ind w:left="460" w:right="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full impact of recent headcount reductions relating to the cost saving initiatives will not be reflected until later in 2013, which impact could be offset in part by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2013 period of $16 million, as compared to net income of $26 million in the 2012 period. The changes in the Company’s operating results during these periods are described below.</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in the 2013 period decreased $79 million, or 17%, with operating revenue decreasing $80 million, or 16%, as compared to the 2012 period. Fee revenue from investment banking and other advisory activities decreased $105 million, or 39%, primarily due to decreases in M&amp;A and Other Advisory fees and Restructuring fees. The decrease in M&amp;A and Other Advisory fee revenue was primarily due to market conditions, significant fees earned in the 2012 period related to our sovereign advisory and middle market businesses and the timing of transaction closings. The decline in Restructuring revenue reflected high first-quarter 2012 revenue, which was driven by the closings of several large assignments in that period, as well as the industry-wide low level of corporate restructuring activity. Money management fees, including incentive fees, increased $27 million, or 13%, principally reflecting a $20 billion, or 14%, increase in average AUM as compared to the 2012 period. In the aggregate, interest income, other revenue and interest expense was substantially unchanged as compared to the 2012 period, as lower investment gains in the 2013 period were offset by a loss in the 2012 period on the sale of an intercompany receivable to a subsidiary of Lazard Ltd.</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Compensation and benefits expense in the 2013 period decreased $61 million, or 18%, compared to the 2012 period. Factors contributing to the decrease included lower compensation costs driven by the decline in operating revenue, lower headcount in the 2013 period and reduced amortization expense associated with deferred incentive compensation awards related to 2008 deferred compensation (the “2008 grant”). The 2008 grant had a comparatively longer, four year vesting period and was fully vested as of March 1, 2013. Compensation and benefits expense in the 2013 period also included a $24 million charge related to cost saving initiatives, as compared to a $22 million charge in the 2012 period related to the staff reductions.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interim periods as described above), was $248 million in the 2013 period, a decrease of $65 million, or 21%, when compared to $313 million in the 2012 period. The ratio of adjusted compensation and benefits expense to operating revenue was reduced to 59.8% for the 2013 period, as compared to 63.1% for the 2012 period. The first quarter 2013 ratio of adjusted compensation and benefits expense to operating revenue assumed, based on current market conditions, a ratio of awarded compensation and benefits expense to operating revenue of approximately 58.5% for the full year of 2013, as compared to 59.3% for the full year of 2012.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currently expect that amortization of deferred incentive compensation awards will approximate $307 million for the full year of 2013, a decrease of $28 million as compared to $335 million for the year ended December 31, 2012. The expected reduction is primarily related to the full vesting of the 2008 grant in early 2013.</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Non-compensation expense in the 2013 period decreased $7 million, or 7%, as compared to the 2012 period. Non-compensation expense in the 2013 period included a first quarter charge of $2 million related to the cost saving initiatives and, in the first quarter 2012, a charge of $3 million associated with the staff reductions. When excluding such charges, as well as non-compensation costs relating to noncontrolling interests, adjusted non-compensation expense in the 2013 period decreased $6 million, or 5%, primarily attributable to decreases in (i) marketing and business development expense associated with lower expenses for travel and (ii) deal-related costs, which were higher in the first quarter of 2012 as a result of transactions that closed in that period. Such decreases were partially offset by increased investments in technology and higher occupancy costs related to the amended lease and build-out of our Rockefeller Center facility. The ratio of adjusted non-compensation expense to operating revenue was 23.9% in the 2013 period versus 21.2% in the 2012 period, with the higher ratio in the 2013 period primarily attributable to lower operating revenue in the 2013 period compared to the 2012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substantially unchanged, as compared to the 2012 period.</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Operating income in the 2013 period (including the $26 million charge described above relating to the cost saving initiatives) decreased $11 million, or 35%, as compared to operating income in the 2012 period (including the $25 million charge described above relating to the staff reductions). Operating income, as a percentage of net revenue, was 5.3%, as compared to 6.8% in the 2012 period.</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Earnings from operations decreased $10 million, or 13%, when compared to the 2012 period, and, as a percentage of operating revenue, was 16.3% in the 2013 period, as compared to 15.7% in the 2012 period.</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provision for income taxes decreased $2 million, or 37%, when compared to the 2012 period, and reflected an effective tax rate of 14.2%, as compared to 14.8% for the 2012 period. The decrease in the effective tax rate is primarily reflective of the change in the geographic mix of earnings.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when compared to the 2012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1560" w:type="dxa"/>
            <w:vAlign w:val="bottom"/>
            <w:gridSpan w:val="3"/>
          </w:tcPr>
          <w:p>
            <w:pPr>
              <w:jc w:val="center"/>
              <w:ind w:left="498"/>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$120,756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192,611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Capital Raising</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206,981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33,020</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277,196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216,908</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249,897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w w:val="87"/>
              </w:rPr>
              <w:t>$ (48,446)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27,299</w:t>
            </w:r>
          </w:p>
        </w:tc>
        <w:tc>
          <w:tcPr>
            <w:tcW w:w="0" w:type="dxa"/>
            <w:vAlign w:val="bottom"/>
          </w:tcPr>
          <w:p>
            <w:pPr>
              <w:spacing w:after="0"/>
              <w:rPr>
                <w:sz w:val="1"/>
                <w:szCs w:val="1"/>
                <w:color w:val="auto"/>
              </w:rPr>
            </w:pPr>
          </w:p>
        </w:tc>
      </w:tr>
      <w:tr>
        <w:trPr>
          <w:trHeight w:val="20"/>
        </w:trPr>
        <w:tc>
          <w:tcPr>
            <w:tcW w:w="908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 As A Percentage Of Net Revenue</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3"/>
            <w:vMerge w:val="continue"/>
          </w:tcPr>
          <w:p>
            <w:pPr>
              <w:spacing w:after="0"/>
              <w:rPr>
                <w:sz w:val="18"/>
                <w:szCs w:val="18"/>
                <w:color w:val="auto"/>
              </w:rPr>
            </w:pPr>
          </w:p>
        </w:tc>
        <w:tc>
          <w:tcPr>
            <w:tcW w:w="1460" w:type="dxa"/>
            <w:vAlign w:val="bottom"/>
            <w:gridSpan w:val="2"/>
          </w:tcPr>
          <w:p>
            <w:pPr>
              <w:jc w:val="right"/>
              <w:ind w:right="51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2013, includes $22,015 associated with the implementation of the cost saving initiatives. Both periods include indirect support costs (including compensation and benefits expense and other operating expenses related thereto).</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Net revenue trends in Financial Advisory for M&amp;A and Other Advisory and Restructuring are generally correlated to the volume of completed industry-wide M&amp;A transactions and restructuring transactions occurring subsequent to corporate debt defaults, respectively. However, deviations from this relationship can occur in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the industry statistics for global M&amp;A transactions described above reflect a 24% increase in the value of closings in the 2013 period as compared to the 2012 period, which was driven by a few high value transactions in the 2013 period, while the number of closings in the 2013 period decreased 19% as compared to the 2012 period. Our M&amp;A and Other Advisory revenue (which includes Sovereign and Government Advisory revenue) decreased 37% in the 2013 period as compared to the 2012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3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64</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50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9"/>
              </w:rPr>
              <w:t>41%</w:t>
            </w: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Reuters as of April 9, 2013.</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and Other Advisory and Capital Raising businesses, decreased $71 million, or 35%, and Restructuring revenue decreased $37 million, or 53%, as compared to the 2012 period.</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M&amp;A and Other Advisory revenue decreased $72 million, or 37%, with Capital Raising revenue substantially unchanged as compared to the 2012 period. The decrease in M&amp;A and Other Advisory revenue was primarily due to market conditions, significant fees earned in the 2012 period related to our sovereign advisory and middle markets businesses and the timing of transaction closings. Our major clients, which in the aggregate represented a significant portion of our M&amp;A and Other Advisory revenue for the first quarter of 2013, included Axtel S.A.B. de C.V, Cerberus Capital Management, EADS, Paradigm Precision, PPG Industries, Principal Financial Group, Sportingbet, Unilever and United Technologies.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decline in Restructuring revenue reflected high first-quarter 2012 revenue, which was driven by the closings of several large assignments. The decrease in Restructuring revenue in the 2013 period was generally in line with the continued industry-wide low level of corporate restructuring activity. Notable assignments completed in the 2013 period included assignments for A123 Systems, Eastman Kodak, Mediannuaire Holding, Indianapolis Downs and Italtel.</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Operating expenses decreased $33 million, or 13%, as compared to the 2012 period. The primary contributors to the decrease were a reduction in amortization expense associated with the 2008 grant and lower levels of compensation and benefits expense as a result of the decrease in revenue, as well as headcount reductions related to the cost saving initiatives, lower deal-related costs, which were higher in the first quarter of 2012 as a result of transactions that closed in that period, and lower expenses for travel and market data. Such decreases were partially offset by a $22 million charge in the 2013 period related to the cost saving initiatives and higher occupancy costs related to the amended lease and build-out of our Rockefeller Center facility.</w:t>
      </w:r>
    </w:p>
    <w:p>
      <w:pPr>
        <w:spacing w:after="0" w:line="1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Financial Advisory operating loss in the 2013 period was $48 million (including the impact of the $22 million charge related to the cost saving initiatives), a decrease of $75 million as compared to operating income of $27 million in the 2012 period and, as a percentage of net revenue, was (28.8)% as compared to</w:t>
      </w:r>
    </w:p>
    <w:p>
      <w:pPr>
        <w:ind w:right="60"/>
        <w:spacing w:after="0" w:line="261" w:lineRule="auto"/>
        <w:rPr>
          <w:sz w:val="20"/>
          <w:szCs w:val="20"/>
          <w:color w:val="auto"/>
        </w:rPr>
      </w:pPr>
      <w:r>
        <w:rPr>
          <w:rFonts w:ascii="Arial" w:cs="Arial" w:eastAsia="Arial" w:hAnsi="Arial"/>
          <w:sz w:val="18"/>
          <w:szCs w:val="18"/>
          <w:color w:val="auto"/>
        </w:rPr>
        <w:t>9.8% in the 2012 period. Excluding the impact of such charge in the 2013 period, operating loss in the 2013 period was $26 million, a decrease of $54 million, as compared to operating income in the 2012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39,871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Equities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20,158</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142,802</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138,171</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16,587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Fixed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171,965</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167,060</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Average AUM for the 2013 and 2012 periods is set forth below. Average AUM is generally based on an average of quarterly ending balances for the respective periods.</w:t>
      </w:r>
    </w:p>
    <w:p>
      <w:pPr>
        <w:spacing w:after="0" w:line="168"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$ 170,665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$ 150,315</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AUM at March 31, 2013 increased $5 billion, or 3%, as compared to total AUM of $167 billion at December 31, 2012, primarily due to market appreciation. Average AUM for the three month period ended March 31, 2013 was 14% higher than that for the three month period ended March 31, 2012. International, Global and U.S. equities represented 23%, 48% and 12% of total AUM at March 31, 2013, substantially unchanged from the respective percentages at December 31, 2012.</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March 31, 2013, approximately 90% of our AUM was managed on behalf of institutional clients, including corporations, labor unions, public pension funds, insurance companies and banks, and through sub-advisory relationships, mutual fund sponsors, broker-dealers and registered advisors, and approximately 10% of our AUM was managed on behalf of individual client relationships, which are principally with family offices and individuals, and was substantially unchanged from the corresponding percentages at December 31, 2012.</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March 31, 2013, AUM denominated in foreign currencies represented approximately 63% of our total AUM, substantially unchanged from the corresponding percentage at December 31, 2012. Foreign denominated AUM generally declines in value with the strengthening of the U.S. Dollar and increases in value as the U.S. Dollar weakens.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2013 and 2012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$167,060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$141,039</w:t>
            </w: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171,965</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156,708</w:t>
            </w: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inflows of $9,092 and $5,308 and outflows of $10,087 and $5,470 for the 2013 and 2012 periods, respectively.</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During the 2013 period, most of the inflows were attributable to Global, International and Emerging Market Equities and Emerging Markets Debt products, primarily due to increased investments in existing accounts. Most of the outflows in the 2013 period were attributable to Global Thematic, Emerging Markets and U.S. Equity products, due to withdrawals from existing accounts and accounts lost.</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April 23, 2013, AUM was $171 billion, a $1 billion decrease since March 31, 2013. The decrease in AUM was due net outflows of $2 billion, partially offset by market and foreign exchange appreciation of $1 billion.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219,992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199,860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214,527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Expenses(a)</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155,077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160,490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2013, includes $235 associated with the implementation of the cost saving initiatives. Both periods include indirect support costs (including compensation and benefits expense and other operating expenses related thereto).</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64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9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66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5920" w:type="dxa"/>
            <w:vAlign w:val="bottom"/>
            <w:vMerge w:val="restart"/>
          </w:tcPr>
          <w:p>
            <w:pPr>
              <w:jc w:val="right"/>
              <w:ind w:right="3332"/>
              <w:spacing w:after="0"/>
              <w:rPr>
                <w:sz w:val="20"/>
                <w:szCs w:val="20"/>
                <w:color w:val="auto"/>
              </w:rPr>
            </w:pPr>
            <w:r>
              <w:rPr>
                <w:rFonts w:ascii="Arial" w:cs="Arial" w:eastAsia="Arial" w:hAnsi="Arial"/>
                <w:sz w:val="18"/>
                <w:szCs w:val="18"/>
                <w:color w:val="auto"/>
              </w:rPr>
              <w:t>55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Asset Management net revenue increased $29 million, or 14%, as compared to the 2012 period. Management fees increased $20 million, or 10%, as compared to the 2012 period, reflecting a $20 billion, or 14%, increase in average AUM. Incentive fees increased $6 million, as compared to the 2012 period, primarily due to fees related to traditional investment products. Other revenue increased $3 million, or 26%, as compared to the 2012 period, primarily due to higher commissions as a result of increased market activity.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decreased $5 million, or 3%, as compared to the 2012 period, primarily due to a decrease in compensation and benefits expense.</w:t>
      </w:r>
    </w:p>
    <w:p>
      <w:pPr>
        <w:spacing w:after="0" w:line="19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Asset Management operating income in the 2013 period was $89 million, an increase of $35 million, or 65%, compared to operating income of $54 million in the 2012 period and, as a percentage of net revenue, was 36.5%, compared to 25.2%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3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66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40" w:type="dxa"/>
            <w:vAlign w:val="bottom"/>
            <w:gridSpan w:val="4"/>
          </w:tcPr>
          <w:p>
            <w:pPr>
              <w:jc w:val="center"/>
              <w:ind w:left="481"/>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3,210</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5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(22,190)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(22,620)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3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(19,410)</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3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4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(11,195)</w:t>
            </w: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3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37,563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(19,278)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(48,758)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(i) in 2013, $4,072 associated with the implementation of the cost saving initiatives and (ii) in 2012, $24,659 relating to the staff reductions.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 versus March 31,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was substantially unchanged as compared to the 2012 period.</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revenue was substantially unchanged as compared to the 2012 period, as lower investment gains in the 2013 period were offset by a loss in the 2012 period on the sale of an intercompany receivable to a subsidiary of Lazard Ltd.</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Operating expenses in the 2013 period decreased $30 million, or 79%, compared to the 2012 period. The 2013 period included a charge of $4 million associated with the cost saving initiatives, while the 2012 period included a charge of $25 million related to staff reductions. Excluding the impact of such charges, operating expenses in the 2013 period decreased $9 million, or 70%, as compared to the 2012 period, primarily due to lower compensation and benefits expense as a result of the decrease in revenue, as well as headcount reductions relating to the cost saving initiatives, partially offset by increased investments in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Class A common stock. M&amp;A,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first quarter of 2013, the Company made cash payments, including severance payments, associated with the cost saving initiatives (see “Cost Saving Initiatives” above and Note 14 of Notes to Condensed Consolidated Financial Statements), and possible additional cash payments are expected in the second quarter of 2013.</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tcPr>
          <w:p>
            <w:pPr>
              <w:jc w:val="right"/>
              <w:ind w:right="353"/>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(189.6)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(234.3)</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8"/>
        </w:trPr>
        <w:tc>
          <w:tcPr>
            <w:tcW w:w="920" w:type="dxa"/>
            <w:vAlign w:val="bottom"/>
          </w:tcPr>
          <w:p>
            <w:pPr>
              <w:spacing w:after="0"/>
              <w:rPr>
                <w:sz w:val="2"/>
                <w:szCs w:val="2"/>
                <w:color w:val="auto"/>
              </w:rPr>
            </w:pPr>
          </w:p>
        </w:tc>
        <w:tc>
          <w:tcPr>
            <w:tcW w:w="8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(144.5)</w:t>
            </w:r>
          </w:p>
        </w:tc>
        <w:tc>
          <w:tcPr>
            <w:tcW w:w="0" w:type="dxa"/>
            <w:vAlign w:val="bottom"/>
          </w:tcPr>
          <w:p>
            <w:pPr>
              <w:spacing w:after="0"/>
              <w:rPr>
                <w:sz w:val="1"/>
                <w:szCs w:val="1"/>
                <w:color w:val="auto"/>
              </w:rPr>
            </w:pPr>
          </w:p>
        </w:tc>
      </w:tr>
      <w:tr>
        <w:trPr>
          <w:trHeight w:val="218"/>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6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$ 580.1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66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966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9660" w:type="dxa"/>
            <w:vAlign w:val="bottom"/>
            <w:gridSpan w:val="2"/>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300" w:hanging="452"/>
        <w:spacing w:after="0" w:line="323"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Consists primarily of purchases of shares of Class A common stock, settlements of vested restricted stock units (“RSUs”), distributions to members and noncontrolling interest holders and, in the 2012 period, proceeds from the sale of an intercompany receivable to a subsidiary of Lazard Ltd.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w:t>
      </w:r>
    </w:p>
    <w:p>
      <w:pPr>
        <w:spacing w:after="0" w:line="6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 We expect liquidity also to be impacted by cash payments, including severance payments, associated with the cost saving initiatives (see “Cost Saving Initiatives” above and Note 14 of Notes to Condensed Consolidated Financial Statements), including possible additional cash payments during the second quarter of 2013.</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March 31, 2013, Lazard had approximately $580 million of cash, with such amount including approximately $300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2013, Lazard had approximately $274 million in unused lines of credit available to it, including a $150 million, three-year, senior revolving credit facility with a group of lenders that expires in September 2015 (the “Credit Facility”) (see “—Financing Activities” below) and unused lines of credit available to LFB of approximately $64 million (at March 31, 2013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2013 and December 31, 2012.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2013, Lazard Group was in compliance with such ratios, with its Consolidated Leverage Ratio being 1.89 to 1.00 and its Consolidated Interest Coverage Ratio being 8.11 to 1.00. In any event, no amounts were outstanding under the Credit Facility as of March 31, 2013.</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2013,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At March 31, 2013, total members’ equity was $455 million, as compared to $529 million at December 31, 2012, including $380 million and $453 million attributable to Lazard Group on the respective dates. The net activity in members’ equity during the three month period ended March 31, 2013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Equity—January 1, 2013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83"/>
        </w:trPr>
        <w:tc>
          <w:tcPr>
            <w:tcW w:w="948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w w:val="93"/>
              </w:rPr>
              <w:t>Delivery of Class A common stock in connection with share-based incentive compensation and related tax benefit of $0.9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AOCI (including noncontrolling interests’ portion thereof)(a)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Equity—March 31, 2013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9480" w:type="dxa"/>
            <w:vAlign w:val="bottom"/>
            <w:gridSpan w:val="3"/>
          </w:tcPr>
          <w:p>
            <w:pPr>
              <w:spacing w:after="0"/>
              <w:rPr>
                <w:sz w:val="20"/>
                <w:szCs w:val="20"/>
                <w:color w:val="auto"/>
              </w:rPr>
            </w:pPr>
            <w:r>
              <w:rPr>
                <w:rFonts w:ascii="Arial" w:cs="Arial" w:eastAsia="Arial" w:hAnsi="Arial"/>
                <w:sz w:val="18"/>
                <w:szCs w:val="18"/>
                <w:color w:val="auto"/>
              </w:rPr>
              <w:t>(a) Includes:</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February 2011, October 2011, April 2012 and October 2012 the Board of Directors of Lazard Ltd authorized the repurchase of up to $250 million, $125 million, $125 million and $200 million, respectively, in aggregate cost of Class A common stock and Lazard Group common membership interests through December 31, 2012, December 31, 2013, December 31, 2013 and December 31, 2014, respectively. The Company’s prior share repurchase authorizations expired on December 31, 2009 and December 31, 2011, respectively. During the three month period ended March 31, 2013 Lazard Group repurchased 831,157 shares of Class A common stock, at an aggregate cost of $30 million (no Lazard Group common membership interests were purchased during such three month period). Furthermore, in order to help offset the dilutive effect of our share-based incentive compensation plans, during a given year Lazard intends to repurchase at least as many shares as it expects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ultimately issue pursuant to such plans in respect of year-end incentive compensation attributable to the prior year</w:t>
      </w:r>
      <w:r>
        <w:rPr>
          <w:rFonts w:ascii="Arial" w:cs="Arial" w:eastAsia="Arial" w:hAnsi="Arial"/>
          <w:sz w:val="18"/>
          <w:szCs w:val="18"/>
          <w:i w:val="1"/>
          <w:iCs w:val="1"/>
          <w:color w:val="auto"/>
        </w:rPr>
        <w:t>.</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March 31, 2013, $124 million of the current share repurchase amount authorized as of such date remained available under the share repurchase program, all of which expires on December 31, 2014.</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terms of the 2005 Plan and the 2008 Plan, upon the vesting of RSUs, performance-based restricted stock units (“PRSUs”) and delivery of restricted Class A common stock, shares of Class A common stock may be withheld by the Company to meet the minimum statutory tax withholding requirements. In that regard, during the three month period ended March 31, 2013, the Company withheld $117 million to satisfy its withholding tax obligations for certain employees on vested RSUs and delivery of restricted Class A common stock in lieu of issuing 3,243,593 shares of Class A common stock.</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plans to continue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See Note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3-5 Years</w:t>
            </w:r>
          </w:p>
        </w:tc>
        <w:tc>
          <w:tcPr>
            <w:tcW w:w="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$ 1,340,018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$ 660,107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$ 604,693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Operating Leases (excluding $156,194 of sublease income)</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1,037,748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78,842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147,672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133,178</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678,056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19,286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31,501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31,501</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$ 2,428,553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$ 188,647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$ 813,394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$ 748,456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$ 678,056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 These amounts are generally due on demand and therefore are presented in the “less than 1 year” category.</w:t>
      </w:r>
    </w:p>
    <w:p>
      <w:pPr>
        <w:ind w:left="460" w:right="24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table above excludes contingent obligations, as well as any possible payments for uncertain tax positions, given the inability to estimate the possible amounts and timing of any such payments. See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Notes 10, 12, 13 and 15 of Notes to Condensed Consolidated Financial Statements regarding information in connection with commitments, incentive plans, employee benefit plans and income taxes,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2012, the Company recorded gross deferred tax assets of approximately $208 million, with such amount partially offset by a valuation allowance of approximately $103 million due to the uncertainty of realizing the benefits of the book versus tax basis differences and certain net operating loss carry-forwards.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w:t>
      </w:r>
    </w:p>
    <w:p>
      <w:pPr>
        <w:spacing w:after="0" w:line="10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records tax positions taken or expected to be taken in a tax return based upon the amount that is more likely than not to be realized or paid, including in connection with the resolution of any related appeals or other legal processes. Accordingly, the Company recognizes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of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17 of Notes to Consolidated Financial Statements in our Form 10-K for additional information regarding income tax matters.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 primarily of debt and equity securities, and interests in alternative investment, debt, equity and private equity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“accumulated other comprehensive income (loss), net of tax”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The Company holds no “available-for-sale” or “held-to-maturity”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March 31, 2013(a)</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0"/>
              </w:rPr>
              <w:t>December 31, 2012(a)</w:t>
            </w: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7240" w:type="dxa"/>
            <w:vAlign w:val="bottom"/>
            <w:gridSpan w:val="2"/>
          </w:tcPr>
          <w:p>
            <w:pPr>
              <w:spacing w:after="0"/>
              <w:rPr>
                <w:sz w:val="20"/>
                <w:szCs w:val="20"/>
                <w:color w:val="auto"/>
              </w:rPr>
            </w:pPr>
            <w:r>
              <w:rPr>
                <w:rFonts w:ascii="Arial" w:cs="Arial" w:eastAsia="Arial" w:hAnsi="Arial"/>
                <w:sz w:val="18"/>
                <w:szCs w:val="18"/>
                <w:color w:val="auto"/>
              </w:rPr>
              <w:t>Equity securities (net of $3 of securities sold, not yet purchased, at March 31, 2013 and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ind w:left="220"/>
              <w:spacing w:after="0"/>
              <w:rPr>
                <w:sz w:val="20"/>
                <w:szCs w:val="20"/>
                <w:color w:val="auto"/>
              </w:rPr>
            </w:pPr>
            <w:r>
              <w:rPr>
                <w:rFonts w:ascii="Arial" w:cs="Arial" w:eastAsia="Arial" w:hAnsi="Arial"/>
                <w:sz w:val="18"/>
                <w:szCs w:val="18"/>
                <w:color w:val="auto"/>
              </w:rPr>
              <w:t>December 31, 2012) (c)</w:t>
            </w:r>
          </w:p>
        </w:tc>
        <w:tc>
          <w:tcPr>
            <w:tcW w:w="140" w:type="dxa"/>
            <w:vAlign w:val="bottom"/>
          </w:tcPr>
          <w:p>
            <w:pPr>
              <w:spacing w:after="0"/>
              <w:rPr>
                <w:sz w:val="19"/>
                <w:szCs w:val="19"/>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46</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42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investment funds (d)</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Debt funds (e)</w:t>
            </w:r>
          </w:p>
        </w:tc>
        <w:tc>
          <w:tcPr>
            <w:tcW w:w="14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funds (f)</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145</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Private equity funds owned (g)</w:t>
            </w:r>
          </w:p>
        </w:tc>
        <w:tc>
          <w:tcPr>
            <w:tcW w:w="14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(h)</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7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400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$ 2,790</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3,048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6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$97 million and $101 million at March 31, 2013 and December 31, 2012,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 and non-U.S. government debt securities.</w:t>
      </w:r>
    </w:p>
    <w:p>
      <w:pPr>
        <w:spacing w:after="0" w:line="5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Equity securities primarily consist of seed investments invested in marketable equity securities of large-, mid- and small-cap domestic, international and global companies held within separately managed accounts related to our Asset Management business.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March 31, 2013 and December 31, 2012, investments in marketable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2"/>
              </w:rPr>
              <w:t>March</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420" w:type="dxa"/>
            <w:vAlign w:val="bottom"/>
          </w:tcPr>
          <w:p>
            <w:pPr>
              <w:jc w:val="right"/>
              <w:ind w:right="38"/>
              <w:spacing w:after="0" w:line="149" w:lineRule="exact"/>
              <w:rPr>
                <w:sz w:val="20"/>
                <w:szCs w:val="20"/>
                <w:color w:val="auto"/>
              </w:rPr>
            </w:pPr>
            <w:r>
              <w:rPr>
                <w:rFonts w:ascii="Arial" w:cs="Arial" w:eastAsia="Arial" w:hAnsi="Arial"/>
                <w:sz w:val="14"/>
                <w:szCs w:val="14"/>
                <w:b w:val="1"/>
                <w:bCs w:val="1"/>
                <w:color w:val="auto"/>
              </w:rPr>
              <w:t>31,</w:t>
            </w:r>
          </w:p>
        </w:tc>
        <w:tc>
          <w:tcPr>
            <w:tcW w:w="11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79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196"/>
        </w:trPr>
        <w:tc>
          <w:tcPr>
            <w:tcW w:w="790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Energy</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6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16"/>
        </w:trPr>
        <w:tc>
          <w:tcPr>
            <w:tcW w:w="790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600" w:type="dxa"/>
            <w:vAlign w:val="bottom"/>
            <w:gridSpan w:val="2"/>
          </w:tcPr>
          <w:p>
            <w:pPr>
              <w:jc w:val="right"/>
              <w:ind w:right="1180"/>
              <w:spacing w:after="0"/>
              <w:rPr>
                <w:sz w:val="20"/>
                <w:szCs w:val="20"/>
                <w:color w:val="auto"/>
              </w:rPr>
            </w:pPr>
            <w:r>
              <w:rPr>
                <w:rFonts w:ascii="Arial" w:cs="Arial" w:eastAsia="Arial" w:hAnsi="Arial"/>
                <w:sz w:val="18"/>
                <w:szCs w:val="18"/>
                <w:color w:val="auto"/>
              </w:rPr>
              <w:t>6</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7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22"/>
        </w:trPr>
        <w:tc>
          <w:tcPr>
            <w:tcW w:w="7900" w:type="dxa"/>
            <w:vAlign w:val="bottom"/>
          </w:tcPr>
          <w:p>
            <w:pPr>
              <w:ind w:left="190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10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Debt funds primarily consist of seed investments in funds related to our Asset Management business, which invest in debt securities, and amounts related to Lazard Fund Interests discussed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Equity funds primarily consist of seed investments in funds related to our Asset Management business, which are invested in equity securities, and amounts relating to Lazard Fund Interests discussed above.</w:t>
      </w:r>
    </w:p>
    <w:p>
      <w:pPr>
        <w:spacing w:after="0" w:line="50"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Comprised primarily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a private equity fund targeting significant noncontrolling investments in established public and private companies; (iii) Edgewater Growth Capital Partners III, L.P. a private equity fund primarily making growth equity and buyout investments in high-quality, lower middle market companies and (iv) COF 2, a Lazard-managed Australian private equity fund targeting Australasian mid-market investments.</w:t>
      </w:r>
    </w:p>
    <w:p>
      <w:pPr>
        <w:spacing w:after="0" w:line="34" w:lineRule="exact"/>
        <w:rPr>
          <w:rFonts w:ascii="Arial" w:cs="Arial" w:eastAsia="Arial" w:hAnsi="Arial"/>
          <w:sz w:val="16"/>
          <w:szCs w:val="16"/>
          <w:color w:val="auto"/>
        </w:rPr>
      </w:pPr>
    </w:p>
    <w:p>
      <w:pPr>
        <w:ind w:left="460" w:right="100" w:hanging="452"/>
        <w:spacing w:after="0" w:line="259"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At March 31, 2013 and December 31, 2012, $112 million and $116 million, respectively, of our total investments at a fair value of $391 million and $400 million, respectively, or 29% and 29%, respectively, were classified as Level 3 assets. Substantially all of our Level 3 investments at both dates are priced based on NAV or its equivalent. During the three month periods ended March 31, 2013 and 2012, gains of approximately $1 million and $8 million, respectively, were recognized in “revenue-other” on the consolidated statement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fluctuations in the fair value of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primarily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consolidated financial statements include the accounts of Lazard Group and entities in which it has a controlling interest. Lazard determines whether it has a controlling interest in an entity by first evaluating whether the entity is a voting interest entity or a variable interest entity (“VIE”) under U.S. GAAP.</w:t>
      </w:r>
    </w:p>
    <w:p>
      <w:pPr>
        <w:spacing w:after="0" w:line="4" w:lineRule="exact"/>
        <w:rPr>
          <w:sz w:val="20"/>
          <w:szCs w:val="20"/>
          <w:color w:val="auto"/>
        </w:rPr>
      </w:pPr>
    </w:p>
    <w:p>
      <w:pPr>
        <w:ind w:left="1480" w:hanging="446"/>
        <w:spacing w:after="0" w:line="256" w:lineRule="auto"/>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where appropriate,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2013, total receivables amounted to $566 million, net of an allowance for doubtful accounts of $23 million. As of that date, Financial Advisory and Asset Management fees, and customer and related party receivables comprised 65%, 13% and 22% of total receivables, respectively. At December 31, 2012, total receivables amounted to $583 million, net of an allowance for doubtful accounts of $23 million. As of that date, Financial Advisory and Asset Management fees, and customer and related party receivables comprised 69%, 9% and 22% of total receivables, respectively. At March 31, 2013 and December 31, 2012, the Company had receivables past due of approximately $25 million and $26 million, respectively. See also “Critical Accounting Policies and Estimates—Revenue Recognition” above and Note 3 of Notes to Condensed Consolidated Financial Statements for additional information regarding receivables.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At March 31, 2013 and December 31, 2012, customer receivables included $13 million and $14 million of LFB loans, respectively. Such loans are closely monitored for counterparty creditworthiness to help minimize exposure. In addition, as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March 31 2013, LFB had commitments to lend totaling $22 million, which are fully collateralized and generally contain requirements for the counterparty to maintain a minimum collateral level.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March 31, 2013, excluding inter-bank counterparties, LFB had no exposure to an individual counterparty that exceeded $22 million, with such amount being fully collateralized. With respect to activities outside LFB, as of March 31, 2013 the Company’s largest individual counterparty exposure was a Financial Advisory fee receivable of $12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seed investments related to our Asset Management business. Derivative contracts are recorded at fair value. Derivative assets amounted to $4 million and $1 million at March 31, 2013 and December 31, 2012, respectively, and derivative liabilities, excluding the derivative liability arising from the Company’s obligation pertaining to Lazard Fund Interests and other similar deferred compensation arrangements, amounted to $.5 million and $5 million at such respective dates.</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$159 million and $98 million at March 31, 2013 and December 31, 2012, respectively.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March 31, 2013, the impact of potential significant movements in either the currency or interest rate markets on LFB’s positions would not materially affect the Company’s annual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Short-Term Investments and Corporate Indebtedness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March 31, 2013, Lazard estimates that its annual operating income relating to cash and short-term investments and corporate indebtedness would increase by approximately $6 million in the event interest rates were to increase by 1% and decrease by approximately $2 million if rates were to decrease by 1%.</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31, 2013, the Company’s cash and cash equivalents totaled approximately $580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8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80" w:type="dxa"/>
            <w:vAlign w:val="bottom"/>
          </w:tcPr>
          <w:p>
            <w:pPr>
              <w:ind w:left="480"/>
              <w:spacing w:after="0"/>
              <w:rPr>
                <w:sz w:val="20"/>
                <w:szCs w:val="20"/>
                <w:color w:val="auto"/>
              </w:rPr>
            </w:pPr>
            <w:r>
              <w:rPr>
                <w:rFonts w:ascii="Arial" w:cs="Arial" w:eastAsia="Arial" w:hAnsi="Arial"/>
                <w:sz w:val="18"/>
                <w:szCs w:val="18"/>
                <w:color w:val="auto"/>
                <w:w w:val="92"/>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80" w:type="dxa"/>
            <w:vAlign w:val="bottom"/>
          </w:tcPr>
          <w:p>
            <w:pPr>
              <w:ind w:left="4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the Registrant and The Bank of New York, as</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trustee (and incorporated by reference to Exhibit 4.1 to the Registrants’ Current Report on Form 8-K (Commission File No. 333-126751) filed</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8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$546 million, 7.125% Senior Notes Due 2015, issued by the Registrant (incorporated by reference to Exhibit 4.5 to the Registrant’s Quarterly</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Report (File No. 333-126751) on Form 10-Q filed on November 14,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580" w:type="dxa"/>
            <w:vAlign w:val="bottom"/>
          </w:tcPr>
          <w:p>
            <w:pPr>
              <w:ind w:left="480"/>
              <w:spacing w:after="0"/>
              <w:rPr>
                <w:sz w:val="20"/>
                <w:szCs w:val="20"/>
                <w:color w:val="auto"/>
              </w:rPr>
            </w:pPr>
            <w:r>
              <w:rPr>
                <w:rFonts w:ascii="Arial" w:cs="Arial" w:eastAsia="Arial" w:hAnsi="Arial"/>
                <w:sz w:val="18"/>
                <w:szCs w:val="18"/>
                <w:color w:val="auto"/>
                <w:w w:val="94"/>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580" w:type="dxa"/>
            <w:vAlign w:val="bottom"/>
          </w:tcPr>
          <w:p>
            <w:pPr>
              <w:ind w:left="4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to Registrant,</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0"/>
              </w:rPr>
              <w:t>Lazard Ltd and LAZ-MD Holdings LLC (incorporated by reference to Exhibit 10.2 to the Registrant’s Quarterly Report (File No. 333-126751)</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on Form 10-Q filed on November 7, 2006).</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580" w:type="dxa"/>
            <w:vAlign w:val="bottom"/>
          </w:tcPr>
          <w:p>
            <w:pPr>
              <w:ind w:left="480"/>
              <w:spacing w:after="0"/>
              <w:rPr>
                <w:sz w:val="20"/>
                <w:szCs w:val="20"/>
                <w:color w:val="auto"/>
              </w:rPr>
            </w:pPr>
            <w:r>
              <w:rPr>
                <w:rFonts w:ascii="Arial" w:cs="Arial" w:eastAsia="Arial" w:hAnsi="Arial"/>
                <w:sz w:val="18"/>
                <w:szCs w:val="18"/>
                <w:color w:val="auto"/>
                <w:w w:val="88"/>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w w:val="91"/>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580" w:type="dxa"/>
            <w:vAlign w:val="bottom"/>
          </w:tcPr>
          <w:p>
            <w:pPr>
              <w:ind w:left="480"/>
              <w:spacing w:after="0"/>
              <w:rPr>
                <w:sz w:val="20"/>
                <w:szCs w:val="20"/>
                <w:color w:val="auto"/>
              </w:rPr>
            </w:pPr>
            <w:r>
              <w:rPr>
                <w:rFonts w:ascii="Arial" w:cs="Arial" w:eastAsia="Arial" w:hAnsi="Arial"/>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Arial" w:cs="Arial" w:eastAsia="Arial" w:hAnsi="Arial"/>
                <w:sz w:val="18"/>
                <w:szCs w:val="18"/>
                <w:color w:val="auto"/>
              </w:rPr>
              <w:t>70</w:t>
            </w:r>
          </w:p>
        </w:tc>
      </w:tr>
    </w:tbl>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Amended and Restated Stockholders’ Agreement, dated as of November 6, 2006, by and among LAZ-MD Holdings LLC, Lazard Ltd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certain members of LAZ-MD Holdings LLC (incorporated by reference to Exhibit 10.4 to the Registrant’s Quarterly Report (File No. 333-</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10.6 to the Registrant’s Quarterly Report (File No. 333-126751)</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Employee Benefits Agreement, dated as of May 10, 2005, by and among the Registrant, Lazard Ltd, LAZ-MD Holdings LLC and LFCM</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Holdings LLC (incorporated by reference to Exhibit 10.4 to Lazard Ltd’s Quarterly Report (File No. 001-32492) on Form 10-Q filed on June</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97"/>
              </w:rPr>
              <w:t>Administrative Services Agreement, dated as of May 10, 2005, by and among LAZ-MD Holdings LLC, LFCM Holdings LLC and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Registrant (incorporated by reference to Exhibit 10.7 to Lazard Ltd’s Quarterly Report (File No. 001-32492) on Form 10-Q filed on June 16,</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Business Alliance Agreement, dated as of May 10, 2005, by and between the Registrant and LFCM Holdings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10.8 to Lazard Ltd’s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Amendment and Consent, dated February 9, 2009, to the Business Alliance Agreement, dated as of May 10, 2005, by and between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Registrant and LFCM Holdings LLC (incorporated by reference to Exhibit 10.12 to Lazard Ltd’s Annual Report (File No. 001-32492) on Form</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420"/>
              <w:spacing w:after="0"/>
              <w:rPr>
                <w:sz w:val="20"/>
                <w:szCs w:val="20"/>
                <w:color w:val="auto"/>
              </w:rPr>
            </w:pPr>
            <w:r>
              <w:rPr>
                <w:rFonts w:ascii="Arial" w:cs="Arial" w:eastAsia="Arial" w:hAnsi="Arial"/>
                <w:sz w:val="18"/>
                <w:szCs w:val="18"/>
                <w:color w:val="auto"/>
                <w:w w:val="88"/>
              </w:rPr>
              <w:t>Amendment dated as of February 16, 2001, by and among RCPI Landmark Properties, L.L.C. (as the successor in interest to Rockefeller Center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40" w:type="dxa"/>
            <w:vAlign w:val="bottom"/>
          </w:tcPr>
          <w:p>
            <w:pPr>
              <w:spacing w:after="0"/>
              <w:rPr>
                <w:sz w:val="19"/>
                <w:szCs w:val="19"/>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10.15 to the Registrant’s Quarterly Report (File No. 333-126751) on Form 10-Q filed on April 29, 2011).</w:t>
            </w:r>
          </w:p>
        </w:tc>
      </w:tr>
      <w:tr>
        <w:trPr>
          <w:trHeight w:val="365"/>
        </w:trPr>
        <w:tc>
          <w:tcPr>
            <w:tcW w:w="8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Lazard Ltd’s Registration Statement (File No. 333-121407) on Form 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40" w:type="dxa"/>
            <w:vAlign w:val="bottom"/>
          </w:tcPr>
          <w:p>
            <w:pPr>
              <w:ind w:left="380"/>
              <w:spacing w:after="0"/>
              <w:rPr>
                <w:sz w:val="20"/>
                <w:szCs w:val="20"/>
                <w:color w:val="auto"/>
              </w:rPr>
            </w:pPr>
            <w:r>
              <w:rPr>
                <w:rFonts w:ascii="Arial" w:cs="Arial" w:eastAsia="Arial" w:hAnsi="Arial"/>
                <w:sz w:val="18"/>
                <w:szCs w:val="18"/>
                <w:color w:val="auto"/>
              </w:rPr>
              <w:t>Occupational Lease, dated as of August 9, 2002, by and among Burford (Stratton)</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Nominee 1 Limited, Burford (Stratton) Nominee 2 Limited, Burford (Stratton) Limited, Lazard &amp; Co., Limited and Lazard LLC (incorporated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4"/>
              </w:rPr>
              <w:t>by reference to Exhibit 10.21 to Lazard Ltd’s Registration Statement (File No. 333-121407) on Form S-1/A filed on February 11, 2005).</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Lazard Ltd’s 2005 Equity Incentive Plan (incorporated by reference to Exhibit 10.21 to Lazard Ltd’s Registration Statement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Lazard Ltd’s 2008 Incentive Compensation Plan (incorporated by reference to Annex B to Lazard Ltd’s Definitive Proxy Statement on Schedule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Lazard Ltd’s 2005 Bonus Plan (incorporated by reference to Exhibit 10.23 to Lazard Ltd’s Registration Statement (File No. 333-121407)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Schedule I for, Scott D. Hoffman (incorporated by reference to Exhibit 10.26 to Lazard Ltd’s Quarterly Report (File No. 001-32492) on Form</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May 4, 2005, for Scott D. Hoffman (incorporated by reference to Exhibit 10.2 to the Registrant’s Current Report on Form 8-K (File No. 333-</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126751)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23, 2011, to the Agreement Relating to Retention and Noncompetition and Other Covenants, dated as of May</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4, 2005 and amended as of May 7, 2008, for Scott D. Hoffman (incorporated by reference to Exhibit 10.24 to the Registrant’s Quarterly Report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Relating to Retention and Noncompetition and Other Covenants (incorporated by reference to Exhibit 10.27 to Lazard Ltd’s</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Alexander F. Stern (incorporated by reference to Exhibit 10.28 to Registrant’s Annual Report (File No. 333-126751) on Form 10-K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the Registrant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Kenneth M. Jacobs (incorporated by reference to Exhibit 10.29 to the Registrant’s Annual Report on Form 10-K (File No. 333-126751)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333-126751) filed on March 23, 2010).</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the Registrant and</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Matthieu Bucaille (incorporated by reference to Exhibit 10.30 to the Registrant’s Quarterly Report (File No. 333-126751) on Form 10-Q filed</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April 29, 2011).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October 4, 2004, between the Registrant and Matthieu Bucaille (incorporated by reference to Exhibit 10.31 to the Registrant’s Quarterly Report</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on Form 10-Q filed on April 29, 2011).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Fréres &amp; Co. LLC</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10.28 to Lazard Ltd’s Quarterly Report (File No. 001-32492) on Form 10-Q filed on June 16,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Acknowledgement Letter, dated as of November 6, 2006 from the Registrant to certain managing directors of the Registrant modifying the</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terms of the retention agreements of persons party to the Amended and Restated Stockholders’ Agreement, dated as of November 6, 2006</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(incorporated by reference to Exhibit 10.23 to the Registrant’s Quarterly Report (File No. 333-12675 1) on Form 10-Q filed on November 7,</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8"/>
              </w:rPr>
              <w:t>reference to Exhibit 10.27 to Lazard Ltd’s Registration Statement (File No. 333-121407) on Form S-1/A filed on March 21,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Registration Rights Agreement, dated as of May 10, 2005, by and among Lazard Group Finance LLC, the Registrant, Lazard Ltd and IXIS</w:t>
            </w:r>
          </w:p>
        </w:tc>
      </w:tr>
      <w:tr>
        <w:trPr>
          <w:trHeight w:val="216"/>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Corporate and Investment Bank (incorporated by reference to Exhibit 10.30 to Lazard Ltd’s Quarterly Report (File No. 001-32492) on Form 10-</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Q filed on June 16,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Description of Non-Executive Director Compensation (incorporated by reference to Exhibit 10.33 to Lazard Ltd’s Quarterly Report (File No.</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Units to Executive Officers under the 2005 Equity Incentive Plan (incorporated by</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 1-32492) filed on January 26, 2006).</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Restricted Stock Units to Executive Officers under the 2008 Incentive Compensation Plan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(incorporated by reference to Exhibit 10.41 to Lazard Ltd’s Annual Report (File No. 001-32492) on Form 10-K filed on March 2, 2009).</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Lazard Ltd’s Annual Report (File No. 00 1-32492) on Form 10-K filed on March 2, 2009).</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10.40*</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Directors’ Fee Deferral Unit Plan (incorporated by reference to Exhibit 10.39 to Lazard Ltd’s Quarterly Report (File No. 001-32492) on Form</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10-Q filed on May 11, 2006).</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10.41*</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First Amended Form of Agreement evidencing a grant of Restricted Stock Units to Executive Officers under the 2005 Equity Incentive Plan</w:t>
            </w:r>
          </w:p>
        </w:tc>
      </w:tr>
      <w:tr>
        <w:trPr>
          <w:trHeight w:val="222"/>
        </w:trPr>
        <w:tc>
          <w:tcPr>
            <w:tcW w:w="9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10.43 to Lazard Ltd’s Annual Report (File No. 00 1-32492) on Form 10-K filed on March 1, 2007).</w:t>
            </w:r>
          </w:p>
        </w:tc>
      </w:tr>
      <w:tr>
        <w:trPr>
          <w:trHeight w:val="365"/>
        </w:trPr>
        <w:tc>
          <w:tcPr>
            <w:tcW w:w="9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Agreement and Plan of Merger, dated as of August 14,2008, by and among Lazard Ltd, LAZ Sub I, Lazard Asset Management LLC and Lazard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Asset Management Limited (incorporated by reference to Exhibit 2.1 to Lazard Ltd’s Current Report on Form 8-K (File No. 001-32492) filed</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August 15,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Senior Revolving Credit Agreement, dated as of September 25, 2012, among the Registrant, the Banks from time to time parties thereto,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10.46 to the Registrant’s Quarterly Report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Form 10-Q filed on November 1,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10.52 to the Registrant’s Quarterly Report (File</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No. 333-126751) on Form 10-Q filed on May 2,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March 15, 2005, between the Registrant and Ashish Bhutani (incorporated by reference to Exhibit 10.55 to the Registrant’s Quarterly Report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October 24, 2012, to the Agreement relating to Retention and Noncompetition and Other Covenants, dated as</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89"/>
              </w:rPr>
              <w:t>of March 18, 2005, and amended on March 23, 2010, among the Registrant, Lazard Ltd and Kenneth M. Jacobs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10.49*</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March 15, 2005 and amended on August 2, 2011, among the Registrant, Lazard Ltd and Ashish Bhutani.</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10.50*</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October 4, 2004 and amended on April 1, 2011, among the Registrant, Lazard Ltd and Matthieu Bucaille.</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10.51*</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May 4, 2005 and amended on May 7, 2008 and February 23, 2011, among the Registrant, Lazard Ltd and Scott D. Hoffman.</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10.52*</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 of</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October 4, 2004 and amended on March 23, 2010, among the Registrant, Lazard Ltd and Alexander F. Stern.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10.53*</w:t>
            </w:r>
          </w:p>
        </w:tc>
        <w:tc>
          <w:tcPr>
            <w:tcW w:w="10480" w:type="dxa"/>
            <w:vAlign w:val="bottom"/>
          </w:tcPr>
          <w:p>
            <w:pPr>
              <w:ind w:left="340"/>
              <w:spacing w:after="0"/>
              <w:rPr>
                <w:sz w:val="20"/>
                <w:szCs w:val="20"/>
                <w:color w:val="auto"/>
              </w:rPr>
            </w:pPr>
            <w:r>
              <w:rPr>
                <w:rFonts w:ascii="Arial" w:cs="Arial" w:eastAsia="Arial" w:hAnsi="Arial"/>
                <w:sz w:val="18"/>
                <w:szCs w:val="18"/>
                <w:color w:val="auto"/>
              </w:rPr>
              <w:t>Form of Agreement evidencing a grant of Performance-Based Stock Units under the 2008 Incentive Compensation Plan.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10.54*</w:t>
            </w:r>
          </w:p>
        </w:tc>
        <w:tc>
          <w:tcPr>
            <w:tcW w:w="10480" w:type="dxa"/>
            <w:vAlign w:val="bottom"/>
          </w:tcPr>
          <w:p>
            <w:pPr>
              <w:ind w:left="340"/>
              <w:spacing w:after="0"/>
              <w:rPr>
                <w:sz w:val="20"/>
                <w:szCs w:val="20"/>
                <w:color w:val="auto"/>
              </w:rPr>
            </w:pPr>
            <w:r>
              <w:rPr>
                <w:rFonts w:ascii="Arial" w:cs="Arial" w:eastAsia="Arial" w:hAnsi="Arial"/>
                <w:sz w:val="18"/>
                <w:szCs w:val="18"/>
                <w:color w:val="auto"/>
                <w:w w:val="91"/>
              </w:rPr>
              <w:t>Form of Agreement evidencing a grant of Lazard Fund Interests to Named Executive Officers under the 2008 Incentive Compensation Plan.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10.55*</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Units to Named Executive Officers under the 2008 Incentive Compensation Plan.</w:t>
            </w:r>
          </w:p>
        </w:tc>
      </w:tr>
      <w:tr>
        <w:trPr>
          <w:trHeight w:val="365"/>
        </w:trPr>
        <w:tc>
          <w:tcPr>
            <w:tcW w:w="820" w:type="dxa"/>
            <w:vAlign w:val="bottom"/>
          </w:tcPr>
          <w:p>
            <w:pPr>
              <w:spacing w:after="0"/>
              <w:rPr>
                <w:sz w:val="24"/>
                <w:szCs w:val="24"/>
                <w:color w:val="auto"/>
              </w:rPr>
            </w:pPr>
          </w:p>
        </w:tc>
        <w:tc>
          <w:tcPr>
            <w:tcW w:w="10480" w:type="dxa"/>
            <w:vAlign w:val="bottom"/>
          </w:tcPr>
          <w:p>
            <w:pPr>
              <w:ind w:left="470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3980" w:type="dxa"/>
            <w:vAlign w:val="bottom"/>
          </w:tcPr>
          <w:p>
            <w:pPr>
              <w:ind w:left="300"/>
              <w:spacing w:after="0"/>
              <w:rPr>
                <w:sz w:val="20"/>
                <w:szCs w:val="20"/>
                <w:color w:val="auto"/>
              </w:rPr>
            </w:pPr>
            <w:r>
              <w:rPr>
                <w:rFonts w:ascii="Arial" w:cs="Arial" w:eastAsia="Arial" w:hAnsi="Arial"/>
                <w:sz w:val="18"/>
                <w:szCs w:val="18"/>
                <w:color w:val="auto"/>
                <w:w w:val="88"/>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3980" w:type="dxa"/>
            <w:vAlign w:val="bottom"/>
          </w:tcPr>
          <w:p>
            <w:pPr>
              <w:ind w:left="300"/>
              <w:spacing w:after="0"/>
              <w:rPr>
                <w:sz w:val="20"/>
                <w:szCs w:val="20"/>
                <w:color w:val="auto"/>
              </w:rPr>
            </w:pPr>
            <w:r>
              <w:rPr>
                <w:rFonts w:ascii="Arial" w:cs="Arial" w:eastAsia="Arial" w:hAnsi="Arial"/>
                <w:sz w:val="18"/>
                <w:szCs w:val="18"/>
                <w:color w:val="auto"/>
                <w:w w:val="90"/>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3980" w:type="dxa"/>
            <w:vAlign w:val="bottom"/>
          </w:tcPr>
          <w:p>
            <w:pPr>
              <w:ind w:left="300"/>
              <w:spacing w:after="0"/>
              <w:rPr>
                <w:sz w:val="20"/>
                <w:szCs w:val="20"/>
                <w:color w:val="auto"/>
              </w:rPr>
            </w:pPr>
            <w:r>
              <w:rPr>
                <w:rFonts w:ascii="Arial" w:cs="Arial" w:eastAsia="Arial" w:hAnsi="Arial"/>
                <w:sz w:val="18"/>
                <w:szCs w:val="18"/>
                <w:color w:val="auto"/>
                <w:w w:val="94"/>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3980" w:type="dxa"/>
            <w:vAlign w:val="bottom"/>
          </w:tcPr>
          <w:p>
            <w:pPr>
              <w:ind w:left="300"/>
              <w:spacing w:after="0"/>
              <w:rPr>
                <w:sz w:val="20"/>
                <w:szCs w:val="20"/>
                <w:color w:val="auto"/>
              </w:rPr>
            </w:pPr>
            <w:r>
              <w:rPr>
                <w:rFonts w:ascii="Arial" w:cs="Arial" w:eastAsia="Arial" w:hAnsi="Arial"/>
                <w:sz w:val="18"/>
                <w:szCs w:val="18"/>
                <w:color w:val="auto"/>
                <w:w w:val="92"/>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3980" w:type="dxa"/>
            <w:vAlign w:val="bottom"/>
          </w:tcPr>
          <w:p>
            <w:pPr>
              <w:ind w:left="300"/>
              <w:spacing w:after="0"/>
              <w:rPr>
                <w:sz w:val="20"/>
                <w:szCs w:val="20"/>
                <w:color w:val="auto"/>
              </w:rPr>
            </w:pPr>
            <w:r>
              <w:rPr>
                <w:rFonts w:ascii="Arial" w:cs="Arial" w:eastAsia="Arial" w:hAnsi="Arial"/>
                <w:sz w:val="18"/>
                <w:szCs w:val="18"/>
                <w:color w:val="auto"/>
                <w:w w:val="96"/>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98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98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980" w:type="dxa"/>
            <w:vAlign w:val="bottom"/>
          </w:tcPr>
          <w:p>
            <w:pPr>
              <w:ind w:left="30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980" w:type="dxa"/>
            <w:vAlign w:val="bottom"/>
          </w:tcPr>
          <w:p>
            <w:pPr>
              <w:ind w:left="30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98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980" w:type="dxa"/>
            <w:vAlign w:val="bottom"/>
          </w:tcPr>
          <w:p>
            <w:pPr>
              <w:ind w:left="300"/>
              <w:spacing w:after="0"/>
              <w:rPr>
                <w:sz w:val="20"/>
                <w:szCs w:val="20"/>
                <w:color w:val="auto"/>
              </w:rPr>
            </w:pPr>
            <w:r>
              <w:rPr>
                <w:rFonts w:ascii="Arial" w:cs="Arial" w:eastAsia="Arial" w:hAnsi="Arial"/>
                <w:sz w:val="18"/>
                <w:szCs w:val="18"/>
                <w:color w:val="auto"/>
                <w:w w:val="90"/>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Matthieu Bucaille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Financial Officer</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02"/>
        </w:trPr>
        <w:tc>
          <w:tcPr>
            <w:tcW w:w="280" w:type="dxa"/>
            <w:vAlign w:val="bottom"/>
          </w:tcPr>
          <w:p>
            <w:pPr>
              <w:spacing w:after="0"/>
              <w:rPr>
                <w:sz w:val="17"/>
                <w:szCs w:val="17"/>
                <w:color w:val="auto"/>
              </w:rPr>
            </w:pPr>
          </w:p>
        </w:tc>
        <w:tc>
          <w:tcPr>
            <w:tcW w:w="4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Name: Dominick Ragone</w:t>
            </w:r>
          </w:p>
        </w:tc>
      </w:tr>
      <w:tr>
        <w:trPr>
          <w:trHeight w:val="222"/>
        </w:trPr>
        <w:tc>
          <w:tcPr>
            <w:tcW w:w="280" w:type="dxa"/>
            <w:vAlign w:val="bottom"/>
          </w:tcPr>
          <w:p>
            <w:pPr>
              <w:spacing w:after="0"/>
              <w:rPr>
                <w:sz w:val="19"/>
                <w:szCs w:val="19"/>
                <w:color w:val="auto"/>
              </w:rPr>
            </w:pPr>
          </w:p>
        </w:tc>
        <w:tc>
          <w:tcPr>
            <w:tcW w:w="4280" w:type="dxa"/>
            <w:vAlign w:val="bottom"/>
            <w:gridSpan w:val="2"/>
          </w:tcPr>
          <w:p>
            <w:pPr>
              <w:ind w:left="100"/>
              <w:spacing w:after="0"/>
              <w:rPr>
                <w:sz w:val="20"/>
                <w:szCs w:val="20"/>
                <w:color w:val="auto"/>
              </w:rPr>
            </w:pPr>
            <w:r>
              <w:rPr>
                <w:rFonts w:ascii="Arial" w:cs="Arial" w:eastAsia="Arial" w:hAnsi="Arial"/>
                <w:sz w:val="18"/>
                <w:szCs w:val="18"/>
                <w:color w:val="auto"/>
              </w:rPr>
              <w:t>Title: 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10.49</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(“PubliCo”),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Ashish Bhutani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15, 2005, and amended as of August 2,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WHEREAS, the Firm and the Executive wish to amend this Agreement to modify Schedule I to such Agreement to extend the term of certain provisions of Schedule I of this Agreement beyond March 23, 2013 and revise certain other terms.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20"/>
        </w:trPr>
        <w:tc>
          <w:tcPr>
            <w:tcW w:w="3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20" w:type="dxa"/>
            <w:vAlign w:val="bottom"/>
            <w:gridSpan w:val="2"/>
          </w:tcPr>
          <w:p>
            <w:pPr>
              <w:ind w:left="460"/>
              <w:spacing w:after="0"/>
              <w:rPr>
                <w:sz w:val="20"/>
                <w:szCs w:val="20"/>
                <w:color w:val="auto"/>
              </w:rPr>
            </w:pPr>
            <w:r>
              <w:rPr>
                <w:rFonts w:ascii="Arial" w:cs="Arial" w:eastAsia="Arial" w:hAnsi="Arial"/>
                <w:sz w:val="18"/>
                <w:szCs w:val="18"/>
                <w:color w:val="auto"/>
              </w:rPr>
              <w:t>by /s/ Ashish Bhutani</w:t>
            </w:r>
          </w:p>
        </w:tc>
      </w:tr>
      <w:tr>
        <w:trPr>
          <w:trHeight w:val="222"/>
        </w:trPr>
        <w:tc>
          <w:tcPr>
            <w:tcW w:w="34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Ashish Bhutani</w:t>
            </w:r>
          </w:p>
        </w:tc>
      </w:tr>
      <w:tr>
        <w:trPr>
          <w:trHeight w:val="419"/>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7940" w:type="dxa"/>
            <w:vAlign w:val="bottom"/>
            <w:gridSpan w:val="3"/>
          </w:tcPr>
          <w:p>
            <w:pPr>
              <w:ind w:left="2340"/>
              <w:spacing w:after="0"/>
              <w:rPr>
                <w:sz w:val="20"/>
                <w:szCs w:val="20"/>
                <w:color w:val="auto"/>
              </w:rPr>
            </w:pPr>
            <w:r>
              <w:rPr>
                <w:rFonts w:ascii="Arial" w:cs="Arial" w:eastAsia="Arial" w:hAnsi="Arial"/>
                <w:sz w:val="18"/>
                <w:szCs w:val="18"/>
                <w:color w:val="auto"/>
              </w:rPr>
              <w:t>LAZARD LTD,</w:t>
            </w:r>
          </w:p>
        </w:tc>
      </w:tr>
      <w:tr>
        <w:trPr>
          <w:trHeight w:val="434"/>
        </w:trPr>
        <w:tc>
          <w:tcPr>
            <w:tcW w:w="3480" w:type="dxa"/>
            <w:vAlign w:val="bottom"/>
          </w:tcPr>
          <w:p>
            <w:pPr>
              <w:spacing w:after="0"/>
              <w:rPr>
                <w:sz w:val="24"/>
                <w:szCs w:val="24"/>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480" w:type="dxa"/>
            <w:vAlign w:val="bottom"/>
          </w:tcPr>
          <w:p>
            <w:pPr>
              <w:spacing w:after="0"/>
              <w:rPr>
                <w:sz w:val="18"/>
                <w:szCs w:val="18"/>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Name:</w:t>
            </w:r>
          </w:p>
        </w:tc>
        <w:tc>
          <w:tcPr>
            <w:tcW w:w="5020" w:type="dxa"/>
            <w:vAlign w:val="bottom"/>
            <w:gridSpan w:val="2"/>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480" w:type="dxa"/>
            <w:vAlign w:val="bottom"/>
          </w:tcPr>
          <w:p>
            <w:pPr>
              <w:spacing w:after="0"/>
              <w:rPr>
                <w:sz w:val="19"/>
                <w:szCs w:val="19"/>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Title:</w:t>
            </w:r>
          </w:p>
        </w:tc>
        <w:tc>
          <w:tcPr>
            <w:tcW w:w="5020" w:type="dxa"/>
            <w:vAlign w:val="bottom"/>
            <w:gridSpan w:val="2"/>
          </w:tcPr>
          <w:p>
            <w:pPr>
              <w:spacing w:after="0"/>
              <w:rPr>
                <w:sz w:val="20"/>
                <w:szCs w:val="20"/>
                <w:color w:val="auto"/>
              </w:rPr>
            </w:pPr>
            <w:r>
              <w:rPr>
                <w:rFonts w:ascii="Arial" w:cs="Arial" w:eastAsia="Arial" w:hAnsi="Arial"/>
                <w:sz w:val="18"/>
                <w:szCs w:val="18"/>
                <w:color w:val="auto"/>
              </w:rPr>
              <w:t>Managing Director and General Counsel</w:t>
            </w:r>
          </w:p>
        </w:tc>
      </w:tr>
      <w:tr>
        <w:trPr>
          <w:trHeight w:val="426"/>
        </w:trPr>
        <w:tc>
          <w:tcPr>
            <w:tcW w:w="3480" w:type="dxa"/>
            <w:vAlign w:val="bottom"/>
          </w:tcPr>
          <w:p>
            <w:pPr>
              <w:spacing w:after="0"/>
              <w:rPr>
                <w:sz w:val="20"/>
                <w:szCs w:val="20"/>
                <w:color w:val="auto"/>
              </w:rPr>
            </w:pPr>
            <w:r>
              <w:rPr>
                <w:rFonts w:ascii="Arial" w:cs="Arial" w:eastAsia="Arial" w:hAnsi="Arial"/>
                <w:sz w:val="18"/>
                <w:szCs w:val="18"/>
                <w:color w:val="auto"/>
              </w:rPr>
              <w:t>March 14, 2013</w:t>
            </w:r>
          </w:p>
        </w:tc>
        <w:tc>
          <w:tcPr>
            <w:tcW w:w="7940" w:type="dxa"/>
            <w:vAlign w:val="bottom"/>
            <w:gridSpan w:val="3"/>
          </w:tcPr>
          <w:p>
            <w:pPr>
              <w:ind w:left="2340"/>
              <w:spacing w:after="0"/>
              <w:rPr>
                <w:sz w:val="20"/>
                <w:szCs w:val="20"/>
                <w:color w:val="auto"/>
              </w:rPr>
            </w:pPr>
            <w:r>
              <w:rPr>
                <w:rFonts w:ascii="Arial" w:cs="Arial" w:eastAsia="Arial" w:hAnsi="Arial"/>
                <w:sz w:val="18"/>
                <w:szCs w:val="18"/>
                <w:color w:val="auto"/>
              </w:rPr>
              <w:t>LAZARD GROUP LLC (on its behalf, and on</w:t>
            </w:r>
          </w:p>
        </w:tc>
      </w:tr>
      <w:tr>
        <w:trPr>
          <w:trHeight w:val="222"/>
        </w:trPr>
        <w:tc>
          <w:tcPr>
            <w:tcW w:w="3480" w:type="dxa"/>
            <w:vAlign w:val="bottom"/>
          </w:tcPr>
          <w:p>
            <w:pPr>
              <w:spacing w:after="0"/>
              <w:rPr>
                <w:sz w:val="19"/>
                <w:szCs w:val="19"/>
                <w:color w:val="auto"/>
              </w:rPr>
            </w:pPr>
          </w:p>
        </w:tc>
        <w:tc>
          <w:tcPr>
            <w:tcW w:w="7940" w:type="dxa"/>
            <w:vAlign w:val="bottom"/>
            <w:gridSpan w:val="3"/>
          </w:tcPr>
          <w:p>
            <w:pPr>
              <w:ind w:left="2340"/>
              <w:spacing w:after="0"/>
              <w:rPr>
                <w:sz w:val="20"/>
                <w:szCs w:val="20"/>
                <w:color w:val="auto"/>
              </w:rPr>
            </w:pPr>
            <w:r>
              <w:rPr>
                <w:rFonts w:ascii="Arial" w:cs="Arial" w:eastAsia="Arial" w:hAnsi="Arial"/>
                <w:sz w:val="18"/>
                <w:szCs w:val="18"/>
                <w:color w:val="auto"/>
              </w:rPr>
              <w:t>behalf of its subsidiaries and affiliates),</w:t>
            </w:r>
          </w:p>
        </w:tc>
      </w:tr>
      <w:tr>
        <w:trPr>
          <w:trHeight w:val="448"/>
        </w:trPr>
        <w:tc>
          <w:tcPr>
            <w:tcW w:w="3480" w:type="dxa"/>
            <w:vAlign w:val="bottom"/>
          </w:tcPr>
          <w:p>
            <w:pPr>
              <w:spacing w:after="0"/>
              <w:rPr>
                <w:sz w:val="24"/>
                <w:szCs w:val="24"/>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480" w:type="dxa"/>
            <w:vAlign w:val="bottom"/>
          </w:tcPr>
          <w:p>
            <w:pPr>
              <w:spacing w:after="0"/>
              <w:rPr>
                <w:sz w:val="18"/>
                <w:szCs w:val="18"/>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Name:</w:t>
            </w:r>
          </w:p>
        </w:tc>
        <w:tc>
          <w:tcPr>
            <w:tcW w:w="5020" w:type="dxa"/>
            <w:vAlign w:val="bottom"/>
            <w:gridSpan w:val="2"/>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480" w:type="dxa"/>
            <w:vAlign w:val="bottom"/>
          </w:tcPr>
          <w:p>
            <w:pPr>
              <w:spacing w:after="0"/>
              <w:rPr>
                <w:sz w:val="19"/>
                <w:szCs w:val="19"/>
                <w:color w:val="auto"/>
              </w:rPr>
            </w:pPr>
          </w:p>
        </w:tc>
        <w:tc>
          <w:tcPr>
            <w:tcW w:w="2920" w:type="dxa"/>
            <w:vAlign w:val="bottom"/>
          </w:tcPr>
          <w:p>
            <w:pPr>
              <w:ind w:left="2340"/>
              <w:spacing w:after="0"/>
              <w:rPr>
                <w:sz w:val="20"/>
                <w:szCs w:val="20"/>
                <w:color w:val="auto"/>
              </w:rPr>
            </w:pPr>
            <w:r>
              <w:rPr>
                <w:rFonts w:ascii="Arial" w:cs="Arial" w:eastAsia="Arial" w:hAnsi="Arial"/>
                <w:sz w:val="18"/>
                <w:szCs w:val="18"/>
                <w:color w:val="auto"/>
              </w:rPr>
              <w:t>Title:</w:t>
            </w:r>
          </w:p>
        </w:tc>
        <w:tc>
          <w:tcPr>
            <w:tcW w:w="5020" w:type="dxa"/>
            <w:vAlign w:val="bottom"/>
            <w:gridSpan w:val="2"/>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Ashish Bhutani</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and deferred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91"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w:t>
      </w:r>
    </w:p>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paragraph 2 of this Schedule I and with any such bonus to be paid in full in cash); and (iii) the product of (1) the “Severance Multiple” (as defined below) and</w:t>
      </w:r>
    </w:p>
    <w:p>
      <w:pPr>
        <w:spacing w:after="0" w:line="38" w:lineRule="exact"/>
        <w:rPr>
          <w:sz w:val="20"/>
          <w:szCs w:val="20"/>
          <w:color w:val="auto"/>
        </w:rPr>
      </w:pPr>
    </w:p>
    <w:p>
      <w:pPr>
        <w:ind w:firstLine="8"/>
        <w:spacing w:after="0" w:line="305" w:lineRule="auto"/>
        <w:tabs>
          <w:tab w:leader="none" w:pos="2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5"/>
          <w:szCs w:val="15"/>
          <w:u w:val="single" w:color="auto"/>
          <w:color w:val="auto"/>
        </w:rPr>
        <w:t>Average Bonus</w:t>
      </w:r>
      <w:r>
        <w:rPr>
          <w:rFonts w:ascii="Arial" w:cs="Arial" w:eastAsia="Arial" w:hAnsi="Arial"/>
          <w:sz w:val="15"/>
          <w:szCs w:val="15"/>
          <w:color w:val="auto"/>
        </w:rPr>
        <w:t>”). In addition, upon a Qualifying Termination, for a period of months equal to the product of (A) 12 and (B) the Severance Multiple (the “</w:t>
      </w:r>
      <w:r>
        <w:rPr>
          <w:rFonts w:ascii="Arial" w:cs="Arial" w:eastAsia="Arial" w:hAnsi="Arial"/>
          <w:sz w:val="15"/>
          <w:szCs w:val="15"/>
          <w:u w:val="single" w:color="auto"/>
          <w:color w:val="auto"/>
        </w:rPr>
        <w:t>Benefit Continuation Period</w:t>
      </w:r>
      <w:r>
        <w:rPr>
          <w:rFonts w:ascii="Arial" w:cs="Arial" w:eastAsia="Arial" w:hAnsi="Arial"/>
          <w:sz w:val="15"/>
          <w:szCs w:val="15"/>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1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w:t>
      </w:r>
    </w:p>
    <w:p>
      <w:pPr>
        <w:sectPr>
          <w:pgSz w:w="11900" w:h="16838" w:orient="portrait"/>
          <w:cols w:equalWidth="0" w:num="1">
            <w:col w:w="11420"/>
          </w:cols>
          <w:pgMar w:left="240" w:top="280"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active executives of Lazard who received bonuses for such prior fiscal year in amounts within 5% of the Executive’s bonus for such prior fiscal year), and</w:t>
      </w:r>
    </w:p>
    <w:p>
      <w:pPr>
        <w:spacing w:after="0" w:line="38" w:lineRule="exact"/>
        <w:rPr>
          <w:sz w:val="20"/>
          <w:szCs w:val="20"/>
          <w:color w:val="auto"/>
        </w:rPr>
      </w:pPr>
    </w:p>
    <w:p>
      <w:pPr>
        <w:ind w:left="460" w:right="140" w:firstLine="4"/>
        <w:spacing w:after="0" w:line="261" w:lineRule="auto"/>
        <w:tabs>
          <w:tab w:leader="none" w:pos="7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fraction, the numerator of which is the number of days elapsed in the fiscal year of Lazard in which occurs the Date of Termination through the Date of Termination, and the denominator of which is 365 (the “Pro-Ration Fraction”); or</w:t>
      </w:r>
    </w:p>
    <w:p>
      <w:pPr>
        <w:spacing w:after="0" w:line="56" w:lineRule="exact"/>
        <w:rPr>
          <w:rFonts w:ascii="Arial" w:cs="Arial" w:eastAsia="Arial" w:hAnsi="Arial"/>
          <w:sz w:val="18"/>
          <w:szCs w:val="18"/>
          <w:color w:val="auto"/>
        </w:rPr>
      </w:pPr>
    </w:p>
    <w:p>
      <w:pPr>
        <w:ind w:left="460" w:right="60" w:firstLine="443"/>
        <w:spacing w:after="0" w:line="294" w:lineRule="auto"/>
        <w:tabs>
          <w:tab w:leader="none" w:pos="11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 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“Release Requirement”). Notwithstanding the foregoing, the Release Requirement shall lapse upon a Change in Control.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“Awards”),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ectPr>
          <w:pgSz w:w="11900" w:h="16838" w:orient="portrait"/>
          <w:cols w:equalWidth="0" w:num="1">
            <w:col w:w="11420"/>
          </w:cols>
          <w:pgMar w:left="240" w:top="280"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“Date of Termination” shall mean (i) if the Executive’s employment is terminated by the Firm for Cause, the date of receipt of the written notice of termination from the Firm or any later date specified therein within thirty(30)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Notwithstanding the definition of “Cause” set forth in Section 2(g)(iv) of this Agreement, for all purposes of this Agreement, including Section 2(g)(iv) and this Schedule I, “Cause” shall mean: (A)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w:t>
      </w:r>
    </w:p>
    <w:p>
      <w:pPr>
        <w:sectPr>
          <w:pgSz w:w="11900" w:h="16838" w:orient="portrait"/>
          <w:cols w:equalWidth="0" w:num="1">
            <w:col w:w="11420"/>
          </w:cols>
          <w:pgMar w:left="240" w:top="280" w:right="23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termination for Good Reason in accordance with this Schedule I) (i) to perform his employment duties in any material respect or (ii) to follow specific reasonable directions received from the Firm’s Chief Executive Officer, in each case following written notice to the Executive of such failure and, if such failure is curable, the 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 (C)(i) and (D)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“Applicable Board”) finding that, in the good faith opinion of the Applicable Board, circumstances constituting Cause exist.</w:t>
      </w:r>
    </w:p>
    <w:p>
      <w:pPr>
        <w:spacing w:after="0" w:line="3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on the other hand, and (B) such transaction is approved by the Board of Directors of PubliCo, (iii) a material breach by the Firm of the terms of this Agreement, including, without limitation, any material failure by the Firm to comply with paragraph 2 of this Schedule I or the nondisparagement covenant in Section 8 of this Agreement, or (iv) without the Executive’s written consent, any requirement that the Executive’s principal place of employment be relocated to a location that increases the Executive’s commute from his primary residence by more than thirty</w:t>
      </w:r>
    </w:p>
    <w:p>
      <w:pPr>
        <w:spacing w:after="0" w:line="5" w:lineRule="exact"/>
        <w:rPr>
          <w:sz w:val="20"/>
          <w:szCs w:val="20"/>
          <w:color w:val="auto"/>
        </w:rPr>
      </w:pPr>
    </w:p>
    <w:p>
      <w:pPr>
        <w:ind w:right="60" w:firstLine="8"/>
        <w:spacing w:after="0" w:line="281" w:lineRule="auto"/>
        <w:tabs>
          <w:tab w:leader="none" w:pos="336" w:val="left"/>
        </w:tabs>
        <w:numPr>
          <w:ilvl w:val="0"/>
          <w:numId w:val="63"/>
        </w:numPr>
        <w:rPr>
          <w:rFonts w:ascii="Arial" w:cs="Arial" w:eastAsia="Arial" w:hAnsi="Arial"/>
          <w:sz w:val="16"/>
          <w:szCs w:val="16"/>
          <w:color w:val="auto"/>
        </w:rPr>
      </w:pPr>
      <w:r>
        <w:rPr>
          <w:rFonts w:ascii="Arial" w:cs="Arial" w:eastAsia="Arial" w:hAnsi="Arial"/>
          <w:sz w:val="16"/>
          <w:szCs w:val="16"/>
          <w:color w:val="auto"/>
        </w:rPr>
        <w:t>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w:t>
      </w:r>
    </w:p>
    <w:p>
      <w:pPr>
        <w:spacing w:after="0" w:line="1" w:lineRule="exact"/>
        <w:rPr>
          <w:rFonts w:ascii="Arial" w:cs="Arial" w:eastAsia="Arial" w:hAnsi="Arial"/>
          <w:sz w:val="16"/>
          <w:szCs w:val="16"/>
          <w:color w:val="auto"/>
        </w:rPr>
      </w:pPr>
    </w:p>
    <w:p>
      <w:pPr>
        <w:ind w:right="200" w:firstLine="8"/>
        <w:spacing w:after="0" w:line="295" w:lineRule="auto"/>
        <w:tabs>
          <w:tab w:leader="none" w:pos="336" w:val="left"/>
        </w:tabs>
        <w:numPr>
          <w:ilvl w:val="0"/>
          <w:numId w:val="64"/>
        </w:numPr>
        <w:rPr>
          <w:rFonts w:ascii="Arial" w:cs="Arial" w:eastAsia="Arial" w:hAnsi="Arial"/>
          <w:sz w:val="16"/>
          <w:szCs w:val="16"/>
          <w:color w:val="auto"/>
        </w:rPr>
      </w:pPr>
      <w:r>
        <w:rPr>
          <w:rFonts w:ascii="Arial" w:cs="Arial" w:eastAsia="Arial" w:hAnsi="Arial"/>
          <w:sz w:val="16"/>
          <w:szCs w:val="16"/>
          <w:color w:val="auto"/>
        </w:rPr>
        <w:t>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ectPr>
          <w:pgSz w:w="11900" w:h="16838" w:orient="portrait"/>
          <w:cols w:equalWidth="0" w:num="1">
            <w:col w:w="11400"/>
          </w:cols>
          <w:pgMar w:left="240" w:top="280" w:right="259" w:bottom="1440" w:gutter="0" w:footer="0" w:header="0"/>
        </w:sectPr>
      </w:pPr>
    </w:p>
    <w:bookmarkStart w:id="84" w:name="page85"/>
    <w:bookmarkEnd w:id="84"/>
    <w:p>
      <w:pPr>
        <w:ind w:right="5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Severance Multiple</w:t>
      </w:r>
      <w:r>
        <w:rPr>
          <w:rFonts w:ascii="Arial" w:cs="Arial" w:eastAsia="Arial" w:hAnsi="Arial"/>
          <w:sz w:val="16"/>
          <w:szCs w:val="16"/>
          <w:color w:val="auto"/>
        </w:rPr>
        <w:t xml:space="preserve">” shall equal one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Termination occurs on or following a Change in Control during the Schedule Term pursuant to which PubliCo is acquired by an entity that has an asset management business, the Severance Multiple shall equal two (2).</w:t>
      </w:r>
    </w:p>
    <w:p>
      <w:pPr>
        <w:spacing w:after="0" w:line="85" w:lineRule="exact"/>
        <w:rPr>
          <w:sz w:val="20"/>
          <w:szCs w:val="20"/>
          <w:color w:val="auto"/>
        </w:rPr>
      </w:pPr>
    </w:p>
    <w:p>
      <w:pPr>
        <w:ind w:right="20" w:firstLine="464"/>
        <w:spacing w:after="0" w:line="304"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Certain Limitations on Payments</w:t>
      </w:r>
      <w:r>
        <w:rPr>
          <w:rFonts w:ascii="Arial" w:cs="Arial" w:eastAsia="Arial" w:hAnsi="Arial"/>
          <w:sz w:val="15"/>
          <w:szCs w:val="15"/>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5"/>
          <w:szCs w:val="15"/>
          <w:u w:val="single" w:color="auto"/>
          <w:color w:val="auto"/>
        </w:rPr>
        <w:t>Accountant</w:t>
      </w:r>
      <w:r>
        <w:rPr>
          <w:rFonts w:ascii="Arial" w:cs="Arial" w:eastAsia="Arial" w:hAnsi="Arial"/>
          <w:sz w:val="15"/>
          <w:szCs w:val="15"/>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5"/>
          <w:szCs w:val="15"/>
          <w:u w:val="single" w:color="auto"/>
          <w:color w:val="auto"/>
        </w:rPr>
        <w:t>Parachute</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Payments</w:t>
      </w:r>
      <w:r>
        <w:rPr>
          <w:rFonts w:ascii="Arial" w:cs="Arial" w:eastAsia="Arial" w:hAnsi="Arial"/>
          <w:sz w:val="15"/>
          <w:szCs w:val="15"/>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5"/>
          <w:szCs w:val="15"/>
          <w:u w:val="single" w:color="auto"/>
          <w:color w:val="auto"/>
        </w:rPr>
        <w:t>Excise Tax</w:t>
      </w:r>
      <w:r>
        <w:rPr>
          <w:rFonts w:ascii="Arial" w:cs="Arial" w:eastAsia="Arial" w:hAnsi="Arial"/>
          <w:sz w:val="15"/>
          <w:szCs w:val="15"/>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5"/>
          <w:szCs w:val="15"/>
          <w:u w:val="single" w:color="auto"/>
          <w:color w:val="auto"/>
        </w:rPr>
        <w:t>Agreement Payments</w:t>
      </w:r>
      <w:r>
        <w:rPr>
          <w:rFonts w:ascii="Arial" w:cs="Arial" w:eastAsia="Arial" w:hAnsi="Arial"/>
          <w:sz w:val="15"/>
          <w:szCs w:val="15"/>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3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w:t>
      </w:r>
    </w:p>
    <w:p>
      <w:pPr>
        <w:sectPr>
          <w:pgSz w:w="11900" w:h="16838" w:orient="portrait"/>
          <w:cols w:equalWidth="0" w:num="1">
            <w:col w:w="11400"/>
          </w:cols>
          <w:pgMar w:left="240" w:top="280" w:right="259" w:bottom="1440" w:gutter="0" w:footer="0" w:header="0"/>
        </w:sectPr>
      </w:pPr>
    </w:p>
    <w:bookmarkStart w:id="85" w:name="page86"/>
    <w:bookmarkEnd w:id="8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44" w:lineRule="exact"/>
        <w:rPr>
          <w:sz w:val="20"/>
          <w:szCs w:val="20"/>
          <w:color w:val="auto"/>
        </w:rPr>
      </w:pPr>
    </w:p>
    <w:p>
      <w:pPr>
        <w:ind w:firstLine="464"/>
        <w:spacing w:after="0" w:line="283"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w:t>
      </w:r>
    </w:p>
    <w:p>
      <w:pPr>
        <w:ind w:right="60"/>
        <w:spacing w:after="0" w:line="284" w:lineRule="auto"/>
        <w:rPr>
          <w:rFonts w:ascii="Arial" w:cs="Arial" w:eastAsia="Arial" w:hAnsi="Arial"/>
          <w:sz w:val="16"/>
          <w:szCs w:val="16"/>
          <w:color w:val="auto"/>
        </w:rPr>
      </w:pPr>
      <w:r>
        <w:rPr>
          <w:rFonts w:ascii="Arial" w:cs="Arial" w:eastAsia="Arial" w:hAnsi="Arial"/>
          <w:sz w:val="16"/>
          <w:szCs w:val="16"/>
          <w:color w:val="auto"/>
        </w:rPr>
        <w:t>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w:t>
      </w:r>
    </w:p>
    <w:p>
      <w:pPr>
        <w:sectPr>
          <w:pgSz w:w="11900" w:h="16838" w:orient="portrait"/>
          <w:cols w:equalWidth="0" w:num="1">
            <w:col w:w="11380"/>
          </w:cols>
          <w:pgMar w:left="240" w:top="280" w:right="27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imposed under Section 409A of the Code (or any regulation promulgated thereunder) if the payment or benefit would commence within six months of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the Executive’s employment, then such payment or benefit will instead be paid, with interest at the applicable federal rate provided for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benefits that would have otherwise been required to be made during such six-month period will be paid to the Executive (or his estate, as the case may be)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one lump sum payment or otherwise provided to the Executive (or his estate, as the case may be) on the earlier of (A) the first business day that is six months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one day after the Executive’s separation from service or (B) the fifth business day following the Executive’s death. Thereafter, the payments and benefits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if applicable, for the relevant period set forth in this Agreement or this Schedule I, as the case may be.</w:t>
      </w:r>
    </w:p>
    <w:p>
      <w:pPr>
        <w:spacing w:after="0" w:line="246"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Section 3(b) of this Agreement is hereby amended to replace the first sentence thereof with the following: During the Schedule Term (as defined in Schedule I attached hereto), the Executive shall continue to (i) serve as a Vice Chairman and Managing Director of Lazard and Chief Executive Officer of Lazard Asset Management LLC, with such authority, duties and responsibilities as are consistent with the authority, duties and responsibilities exercised by the Executive on the Second Amendment Effective Date (as defined in Schedule I attached hereto), (ii) report directly to the Firm’s Chief Executive Officer and</w:t>
      </w:r>
    </w:p>
    <w:p>
      <w:pPr>
        <w:spacing w:after="0" w:line="3" w:lineRule="exact"/>
        <w:rPr>
          <w:sz w:val="20"/>
          <w:szCs w:val="20"/>
          <w:color w:val="auto"/>
        </w:rPr>
      </w:pPr>
    </w:p>
    <w:p>
      <w:pPr>
        <w:ind w:right="20" w:firstLine="8"/>
        <w:spacing w:after="0" w:line="255" w:lineRule="auto"/>
        <w:tabs>
          <w:tab w:leader="none" w:pos="3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44" w:lineRule="exact"/>
        <w:rPr>
          <w:sz w:val="20"/>
          <w:szCs w:val="20"/>
          <w:color w:val="auto"/>
        </w:rPr>
      </w:pPr>
    </w:p>
    <w:p>
      <w:pPr>
        <w:ind w:right="18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right="80" w:firstLine="8"/>
        <w:spacing w:after="0" w:line="252" w:lineRule="auto"/>
        <w:tabs>
          <w:tab w:leader="none" w:pos="2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8"/>
          <w:szCs w:val="18"/>
          <w:u w:val="single" w:color="auto"/>
          <w:color w:val="auto"/>
        </w:rPr>
        <w:t>Noncompete Restriction Period</w:t>
      </w:r>
      <w:r>
        <w:rPr>
          <w:rFonts w:ascii="Arial" w:cs="Arial" w:eastAsia="Arial" w:hAnsi="Arial"/>
          <w:sz w:val="18"/>
          <w:szCs w:val="18"/>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8"/>
          <w:szCs w:val="18"/>
          <w:u w:val="single" w:color="auto"/>
          <w:color w:val="auto"/>
        </w:rPr>
        <w:t>Competing Activity</w:t>
      </w:r>
      <w:r>
        <w:rPr>
          <w:rFonts w:ascii="Arial" w:cs="Arial" w:eastAsia="Arial" w:hAnsi="Arial"/>
          <w:sz w:val="18"/>
          <w:szCs w:val="18"/>
          <w:color w:val="auto"/>
        </w:rPr>
        <w:t>” means the providing of services or performance of activities for a Competitive Enterprise in a line of</w:t>
      </w:r>
    </w:p>
    <w:p>
      <w:pPr>
        <w:sectPr>
          <w:pgSz w:w="11900" w:h="16838" w:orient="portrait"/>
          <w:cols w:equalWidth="0" w:num="1">
            <w:col w:w="11400"/>
          </w:cols>
          <w:pgMar w:left="240" w:top="280" w:right="259" w:bottom="1440" w:gutter="0" w:footer="0" w:header="0"/>
        </w:sectPr>
      </w:pPr>
    </w:p>
    <w:bookmarkStart w:id="87" w:name="page88"/>
    <w:bookmarkEnd w:id="87"/>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8"/>
          <w:szCs w:val="18"/>
          <w:u w:val="single" w:color="auto"/>
          <w:color w:val="auto"/>
        </w:rPr>
        <w:t>Competitive Enterprise</w:t>
      </w:r>
      <w:r>
        <w:rPr>
          <w:rFonts w:ascii="Arial" w:cs="Arial" w:eastAsia="Arial" w:hAnsi="Arial"/>
          <w:sz w:val="18"/>
          <w:szCs w:val="18"/>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4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w:t>
      </w:r>
      <w:r>
        <w:rPr>
          <w:rFonts w:ascii="Arial" w:cs="Arial" w:eastAsia="Arial" w:hAnsi="Arial"/>
          <w:sz w:val="18"/>
          <w:szCs w:val="18"/>
          <w:u w:val="single" w:color="auto"/>
          <w:color w:val="auto"/>
        </w:rPr>
        <w:t>Client</w:t>
      </w:r>
      <w:r>
        <w:rPr>
          <w:rFonts w:ascii="Arial" w:cs="Arial" w:eastAsia="Arial" w:hAnsi="Arial"/>
          <w:sz w:val="18"/>
          <w:szCs w:val="18"/>
          <w:color w:val="auto"/>
        </w:rPr>
        <w:t xml:space="preserve">” means any client or prospective client of the Firm, whether or not the Firm has been engaged by such Client pursuant to a written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w:t>
      </w:r>
    </w:p>
    <w:p>
      <w:pPr>
        <w:sectPr>
          <w:pgSz w:w="11900" w:h="16838" w:orient="portrait"/>
          <w:cols w:equalWidth="0" w:num="1">
            <w:col w:w="11380"/>
          </w:cols>
          <w:pgMar w:left="240" w:top="280" w:right="279" w:bottom="1440" w:gutter="0" w:footer="0" w:header="0"/>
        </w:sectPr>
      </w:pPr>
    </w:p>
    <w:bookmarkStart w:id="88" w:name="page89"/>
    <w:bookmarkEnd w:id="88"/>
    <w:p>
      <w:pPr>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amount of any payment pursuant to this Agreement, and whether or not any such contest is under Section 12 or 13 of this Agreement or otherwise), plus Interest (as defined in Schedule I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0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left="460" w:firstLine="443"/>
        <w:spacing w:after="0" w:line="294" w:lineRule="auto"/>
        <w:tabs>
          <w:tab w:leader="none" w:pos="1108"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left="460" w:right="660" w:firstLine="443"/>
        <w:spacing w:after="0" w:line="268" w:lineRule="auto"/>
        <w:tabs>
          <w:tab w:leader="none" w:pos="11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right="40" w:firstLine="464"/>
        <w:spacing w:after="0" w:line="306"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1380"/>
          </w:cols>
          <w:pgMar w:left="240" w:top="280" w:right="2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AB</w:t>
            </w:r>
          </w:p>
        </w:tc>
        <w:tc>
          <w:tcPr>
            <w:tcW w:w="1860" w:type="dxa"/>
            <w:vAlign w:val="bottom"/>
          </w:tcPr>
          <w:p>
            <w:pPr>
              <w:ind w:left="40"/>
              <w:spacing w:after="0"/>
              <w:rPr>
                <w:sz w:val="20"/>
                <w:szCs w:val="20"/>
                <w:color w:val="auto"/>
              </w:rPr>
            </w:pPr>
            <w:r>
              <w:rPr>
                <w:rFonts w:ascii="Arial" w:cs="Arial" w:eastAsia="Arial" w:hAnsi="Arial"/>
                <w:sz w:val="18"/>
                <w:szCs w:val="18"/>
                <w:color w:val="auto"/>
                <w:w w:val="90"/>
              </w:rPr>
              <w:t>Initialed by the Executive</w:t>
            </w:r>
          </w:p>
        </w:tc>
      </w:tr>
      <w:tr>
        <w:trPr>
          <w:trHeight w:val="33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860" w:type="dxa"/>
            <w:vAlign w:val="bottom"/>
          </w:tcPr>
          <w:p>
            <w:pPr>
              <w:ind w:left="40"/>
              <w:spacing w:after="0"/>
              <w:rPr>
                <w:sz w:val="20"/>
                <w:szCs w:val="20"/>
                <w:color w:val="auto"/>
              </w:rPr>
            </w:pPr>
            <w:r>
              <w:rPr>
                <w:rFonts w:ascii="Arial" w:cs="Arial" w:eastAsia="Arial" w:hAnsi="Arial"/>
                <w:sz w:val="18"/>
                <w:szCs w:val="18"/>
                <w:color w:val="auto"/>
              </w:rPr>
              <w:t>Initialed by Lazard</w:t>
            </w:r>
          </w:p>
        </w:tc>
      </w:tr>
      <w:tr>
        <w:trPr>
          <w:trHeight w:val="331"/>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860" w:type="dxa"/>
            <w:vAlign w:val="bottom"/>
          </w:tcPr>
          <w:p>
            <w:pPr>
              <w:ind w:left="40"/>
              <w:spacing w:after="0"/>
              <w:rPr>
                <w:sz w:val="20"/>
                <w:szCs w:val="20"/>
                <w:color w:val="auto"/>
              </w:rPr>
            </w:pPr>
            <w:r>
              <w:rPr>
                <w:rFonts w:ascii="Arial" w:cs="Arial" w:eastAsia="Arial" w:hAnsi="Arial"/>
                <w:sz w:val="18"/>
                <w:szCs w:val="18"/>
                <w:color w:val="auto"/>
              </w:rPr>
              <w:t>Initialed by PubliCo</w:t>
            </w:r>
          </w:p>
        </w:tc>
      </w:tr>
    </w:tbl>
    <w:p>
      <w:pPr>
        <w:ind w:left="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10.50</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Second Amendment (the “Second Amendment”),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(“PubliCo”),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Matthieu Bucaille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October 4, 2004, and amended on April 1,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160" w:firstLine="913"/>
        <w:spacing w:after="0" w:line="370" w:lineRule="auto"/>
        <w:rPr>
          <w:sz w:val="20"/>
          <w:szCs w:val="20"/>
          <w:color w:val="auto"/>
        </w:rPr>
      </w:pPr>
      <w:r>
        <w:rPr>
          <w:rFonts w:ascii="Arial" w:cs="Arial" w:eastAsia="Arial" w:hAnsi="Arial"/>
          <w:sz w:val="15"/>
          <w:szCs w:val="15"/>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6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26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20"/>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Matthieu Bucaille</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Matthieu Bucaille</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r>
        <w:trPr>
          <w:trHeight w:val="426"/>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GROUP LLC</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(on its behalf, and on behalf of its subsidiaries and affiliates),</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91" w:name="page92"/>
    <w:bookmarkEnd w:id="9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Matthieu Bucaille</w:t>
      </w:r>
    </w:p>
    <w:p>
      <w:pPr>
        <w:spacing w:after="0" w:line="171"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jc w:val="both"/>
        <w:ind w:right="60" w:firstLine="921"/>
        <w:spacing w:after="0" w:line="335" w:lineRule="auto"/>
        <w:tabs>
          <w:tab w:leader="none" w:pos="1088"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Schedule Term.</w:t>
      </w:r>
      <w:r>
        <w:rPr>
          <w:rFonts w:ascii="Arial" w:cs="Arial" w:eastAsia="Arial" w:hAnsi="Arial"/>
          <w:sz w:val="15"/>
          <w:szCs w:val="15"/>
          <w:color w:val="auto"/>
        </w:rPr>
        <w:t xml:space="preserve"> For purposes of this Schedule I, the “Schedule Term”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88" w:lineRule="exact"/>
        <w:rPr>
          <w:rFonts w:ascii="Arial" w:cs="Arial" w:eastAsia="Arial" w:hAnsi="Arial"/>
          <w:sz w:val="15"/>
          <w:szCs w:val="15"/>
          <w:color w:val="auto"/>
        </w:rPr>
      </w:pPr>
    </w:p>
    <w:p>
      <w:pPr>
        <w:ind w:firstLine="921"/>
        <w:spacing w:after="0" w:line="284" w:lineRule="auto"/>
        <w:tabs>
          <w:tab w:leader="none" w:pos="108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 Furthermore, subject to the Executive’s continued employment in New York, the Executive shall be entitled to reimbursement (A) in an amount not to exceed $10,000 per month, for the rent on the Executive’s residence in the New York City metropolitan area (the “</w:t>
      </w:r>
      <w:r>
        <w:rPr>
          <w:rFonts w:ascii="Arial" w:cs="Arial" w:eastAsia="Arial" w:hAnsi="Arial"/>
          <w:sz w:val="16"/>
          <w:szCs w:val="16"/>
          <w:u w:val="single" w:color="auto"/>
          <w:color w:val="auto"/>
        </w:rPr>
        <w:t>Housing Allowance</w:t>
      </w:r>
      <w:r>
        <w:rPr>
          <w:rFonts w:ascii="Arial" w:cs="Arial" w:eastAsia="Arial" w:hAnsi="Arial"/>
          <w:sz w:val="16"/>
          <w:szCs w:val="16"/>
          <w:color w:val="auto"/>
        </w:rPr>
        <w:t>”) and (B) for private school tuition for each of the Executive’s children who is under the age of 18 years old (the “</w:t>
      </w:r>
      <w:r>
        <w:rPr>
          <w:rFonts w:ascii="Arial" w:cs="Arial" w:eastAsia="Arial" w:hAnsi="Arial"/>
          <w:sz w:val="16"/>
          <w:szCs w:val="16"/>
          <w:u w:val="single" w:color="auto"/>
          <w:color w:val="auto"/>
        </w:rPr>
        <w:t>Tuition Reimbursement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Lazard triggers the provisions of Section 3(b)(i)(B) of this Agreement, the Executive shall be entitled to (i) the Tuition Reimbursement for tuition attributable to periods through the end of the academic year in which such change in position occurs and (ii) the Housing Allowance through the later of the end of such academic year and 60 days after such change in position. Within 30 days following the end of each calendar quarter during which the Executive is entitled to the Housing Allowance and Tuition Reimbursement, the Executive will provide the Firm with an invoice that sets forth the amount, if any, incurred with respect to the Housing Allowance and the Tuition Reimbursement during the preceding calendar quarter.</w:t>
      </w:r>
    </w:p>
    <w:p>
      <w:pPr>
        <w:sectPr>
          <w:pgSz w:w="11900" w:h="16838" w:orient="portrait"/>
          <w:cols w:equalWidth="0" w:num="1">
            <w:col w:w="11360"/>
          </w:cols>
          <w:pgMar w:left="240" w:top="274" w:right="299" w:bottom="1440" w:gutter="0" w:footer="0" w:header="0"/>
        </w:sectPr>
      </w:pPr>
    </w:p>
    <w:bookmarkStart w:id="92" w:name="page93"/>
    <w:bookmarkEnd w:id="9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30 days following the Firm’s receipt of each such invoice, the Firm shall pay the Executive an amount in cash in U.S. dollars equal to the amount set forth on the invoice;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Housing Allowance, the amount of such payment and any previously reimbursed payments shall not exceed the maximum amount set forth in this paragraph 2. Any amount reimbursed to the Executive with respect to each of the Housing Allowance, the Tuition Reimbursement and the Relocation Reimbursement (as defined below) in any given calendar year shall not affect the amount reimbursed in any other calendar year, and the Executive’s right to reimbursement with respect to each of the Housing Allowance, the Tuition Reimbursement and the Relocation Reimbursement may not be liquidated or exchanged for any other benefit. Subject to the Executive’s continued employment, with respect to the period during the Schedule Term in which the Executive is entitled to the Housing Allowance and Tuition Reimbursement, and if the Executive becomes entitled to the Relocation Reimbursement, the Executive shall be entitled to an additional payment (an “</w:t>
      </w:r>
      <w:r>
        <w:rPr>
          <w:rFonts w:ascii="Arial" w:cs="Arial" w:eastAsia="Arial" w:hAnsi="Arial"/>
          <w:sz w:val="16"/>
          <w:szCs w:val="16"/>
          <w:u w:val="single" w:color="auto"/>
          <w:color w:val="auto"/>
        </w:rPr>
        <w:t>Additional Payment</w:t>
      </w:r>
      <w:r>
        <w:rPr>
          <w:rFonts w:ascii="Arial" w:cs="Arial" w:eastAsia="Arial" w:hAnsi="Arial"/>
          <w:sz w:val="16"/>
          <w:szCs w:val="16"/>
          <w:color w:val="auto"/>
        </w:rPr>
        <w:t>”) with respect to the Housing Allowance, the Tuition Reimbursement and the Relocation Reimbursement, as applicable, in an amount such that after payment by the Executive of all taxes (including any interest or penalties imposed with respect to such taxes), including, without limitation, any income taxes (and any interest and penalties imposed with respect thereto) upon the Additional Payment, but excluding any income taxes and penalties imposed pursuant to Section 409A of the Code, the Executive retains an amount of the Additional Payment equal to all taxes upon the Housing Allowance, the Tuition Reimbursement and the Relocation Reimbursement, as applicable (such taxes, the “</w:t>
      </w:r>
      <w:r>
        <w:rPr>
          <w:rFonts w:ascii="Arial" w:cs="Arial" w:eastAsia="Arial" w:hAnsi="Arial"/>
          <w:sz w:val="16"/>
          <w:szCs w:val="16"/>
          <w:u w:val="single" w:color="auto"/>
          <w:color w:val="auto"/>
        </w:rPr>
        <w:t>Additional Taxes</w:t>
      </w:r>
      <w:r>
        <w:rPr>
          <w:rFonts w:ascii="Arial" w:cs="Arial" w:eastAsia="Arial" w:hAnsi="Arial"/>
          <w:sz w:val="16"/>
          <w:szCs w:val="16"/>
          <w:color w:val="auto"/>
        </w:rPr>
        <w:t>”). The Additional Payment shall in all events be paid no later than the end of the Executive’s taxable year next following the Executive’s taxable year in which the relevant Additional Taxes (and any income or other related taxes or interest or penalties thereon) on the Housing Allowance, the Tuition Reimbursement or the Relocation Reimbursement, as applicable, are remitted to the Internal Revenue Service or any other applicable taxing authority or, in the case of amounts relating to a claim from the Internal Revenue Service or another tax authority that does not result in the remittance of any federal, state, local and foreign income, excise, social security and other taxes, the calendar year in which the claim is finally settled or otherwise resolved. Notwithstanding any other provision of this paragraph 2, the Firm may, in its sole discretion, withhold and pay over to the Internal Revenue Service or any other applicable taxing authority, for the benefit of the Executive, all or any portion of any Additional Payment, and the Executive hereby consents to such withholding.</w:t>
      </w:r>
    </w:p>
    <w:p>
      <w:pPr>
        <w:spacing w:after="0" w:line="131" w:lineRule="exact"/>
        <w:rPr>
          <w:sz w:val="20"/>
          <w:szCs w:val="20"/>
          <w:color w:val="auto"/>
        </w:rPr>
      </w:pPr>
    </w:p>
    <w:p>
      <w:pPr>
        <w:ind w:right="20" w:firstLine="921"/>
        <w:spacing w:after="0" w:line="283" w:lineRule="auto"/>
        <w:tabs>
          <w:tab w:leader="none" w:pos="1088"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xml:space="preserve">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or its Affiliate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w:t>
      </w:r>
    </w:p>
    <w:p>
      <w:pPr>
        <w:ind w:right="60" w:firstLine="8"/>
        <w:spacing w:after="0" w:line="261" w:lineRule="auto"/>
        <w:tabs>
          <w:tab w:leader="none" w:pos="2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sum of (x) the Base Salary and (y) the average annual bonus (or, to the extent applicable, cash distributions, and including any bonuses paid in the form of equity-based or fund interest</w:t>
      </w:r>
    </w:p>
    <w:p>
      <w:pPr>
        <w:sectPr>
          <w:pgSz w:w="11900" w:h="16838" w:orient="portrait"/>
          <w:cols w:equalWidth="0" w:num="1">
            <w:col w:w="11420"/>
          </w:cols>
          <w:pgMar w:left="240" w:top="280" w:right="239" w:bottom="1440" w:gutter="0" w:footer="0" w:header="0"/>
        </w:sectPr>
      </w:pPr>
    </w:p>
    <w:bookmarkStart w:id="93" w:name="page94"/>
    <w:bookmarkEnd w:id="9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upon a Qualifying Termination, for a period of months equal to the product of (A) 12 and (B) the Severance Multiple (the “Benefit Continuation Period”), the Executive and his eligible dependents shall continue to be eligible to participate in the medical and dental benefit plans of the Firm on the same basis as the Executive participated in such plans immediately prior to the Date of Termination, to the extent that the applicable plan permits such continued participation for all or any portion of such period (it being agreed that the Firm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the Firm.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ectPr>
          <w:pgSz w:w="11900" w:h="16838" w:orient="portrait"/>
          <w:cols w:equalWidth="0" w:num="1">
            <w:col w:w="11420"/>
          </w:cols>
          <w:pgMar w:left="240" w:top="280" w:right="239" w:bottom="1440" w:gutter="0" w:footer="0" w:header="0"/>
        </w:sectPr>
      </w:pPr>
    </w:p>
    <w:bookmarkStart w:id="94" w:name="page95"/>
    <w:bookmarkEnd w:id="94"/>
    <w:p>
      <w:pPr>
        <w:ind w:left="460" w:right="40" w:firstLine="443"/>
        <w:spacing w:after="0" w:line="294" w:lineRule="auto"/>
        <w:tabs>
          <w:tab w:leader="none" w:pos="1157"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“Awards”),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xml:space="preserve"> For purposes of this Agreement and this Schedule I, as applicable, the following terms shall have the following meanings:</w:t>
      </w:r>
    </w:p>
    <w:p>
      <w:pPr>
        <w:sectPr>
          <w:pgSz w:w="11900" w:h="16838" w:orient="portrait"/>
          <w:cols w:equalWidth="0" w:num="1">
            <w:col w:w="11400"/>
          </w:cols>
          <w:pgMar w:left="240" w:top="280" w:right="259" w:bottom="1440" w:gutter="0" w:footer="0" w:header="0"/>
        </w:sectPr>
      </w:pPr>
    </w:p>
    <w:bookmarkStart w:id="95" w:name="page96"/>
    <w:bookmarkEnd w:id="95"/>
    <w:p>
      <w:pPr>
        <w:ind w:right="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32"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the Firm formally notifies the Executive in writing that it does not intend to cure, unless the Firm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“Date of Termination”.</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w:t>
      </w:r>
    </w:p>
    <w:p>
      <w:pPr>
        <w:spacing w:after="0" w:line="38" w:lineRule="exact"/>
        <w:rPr>
          <w:sz w:val="20"/>
          <w:szCs w:val="20"/>
          <w:color w:val="auto"/>
        </w:rPr>
      </w:pPr>
    </w:p>
    <w:p>
      <w:pPr>
        <w:ind w:right="200" w:firstLine="8"/>
        <w:spacing w:after="0" w:line="281" w:lineRule="auto"/>
        <w:tabs>
          <w:tab w:leader="none" w:pos="29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w:t>
      </w:r>
    </w:p>
    <w:p>
      <w:pPr>
        <w:spacing w:after="0" w:line="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(x) the Firm’s Chief Executive Officer or the Audit Committee of the Board of Directors of PubliCo, if the Executive is then serving as Chief</w:t>
      </w:r>
    </w:p>
    <w:p>
      <w:pPr>
        <w:sectPr>
          <w:pgSz w:w="11900" w:h="16838" w:orient="portrait"/>
          <w:cols w:equalWidth="0" w:num="1">
            <w:col w:w="11420"/>
          </w:cols>
          <w:pgMar w:left="240" w:top="280" w:right="239" w:bottom="1440" w:gutter="0" w:footer="0" w:header="0"/>
        </w:sectPr>
      </w:pPr>
    </w:p>
    <w:bookmarkStart w:id="96" w:name="page97"/>
    <w:bookmarkEnd w:id="9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Officer of PubliCo and Lazard or (y) the Chief Executive Officer of Lazard Frères SAS,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in each case following written notice to the Executive of such failure and, if such failure is curable, the 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advice of counsel to the Firm or the direct instructions of the Firm’s Chief Executive Officer, the Audit Committee of the Board of Directors of PubliCo or, solely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the Chief Executive Officer of Lazard Frères SAS.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(including status, offices, titles and reporting requirements), authority, duties or responsibilities from those contemplated by Section 3(b)(i)(A) or (B),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of this Agreement (without regard to the expiration of the Schedule Term and which, in the event of a Change in Control, shall be deemed to be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Section 3(b)(i) that applied to the Executive as of the date of such Change in Control), or any other action by the Firm which results in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diminution in such position (including status, offices, titles and reporting requirements), authority, duties or responsibilities from those contemplated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3(b)(i)(A) or (B), as applicable, of this Agreement (without regard to the expiration of the Schedule Term and which, in the event of a Change in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be those described in Section 3(b)(i) that applied to the Executive as of immediately prior to the date of such Change in Control), (ii)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breach by the Firm of the terms of this Agreement, including, without limitation, any material failure by the Firm to comply with paragraph 2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I or the nondisparagement covenant in Section 8 of this Agreement, or (iii) without the Executive’s written consent, any requirement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Executive’s principal place of employment be relocated to a location that increases the Executive’s commute from his primary residence in New York City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Paris, France, as applicable, by more than thirty (30) miles, and which, in the event of a Change in Control, shall be deemed to be the principal place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applicable to the Executive as of immediately prior to the date of such Change in Control. In the event of a termination for Good Reason, the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Section 1 of this Agreement shall not apply. Notwithstanding the foregoing, a termination for Good Reason shall not have occurred unless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gives written notice to Lazard of termination of employment within ninety (90) days after the Executive first becomes aware of the occurrence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circumstances constituting Good Reason,</w:t>
      </w:r>
    </w:p>
    <w:p>
      <w:pPr>
        <w:sectPr>
          <w:pgSz w:w="11900" w:h="16838" w:orient="portrait"/>
          <w:cols w:equalWidth="0" w:num="1">
            <w:col w:w="11420"/>
          </w:cols>
          <w:pgMar w:left="240" w:top="280" w:right="239" w:bottom="1440" w:gutter="0" w:footer="0" w:header="0"/>
        </w:sectPr>
      </w:pPr>
    </w:p>
    <w:bookmarkStart w:id="97" w:name="page98"/>
    <w:bookmarkEnd w:id="97"/>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ind w:firstLine="921"/>
        <w:spacing w:after="0" w:line="284" w:lineRule="auto"/>
        <w:tabs>
          <w:tab w:leader="none" w:pos="108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xml:space="preserve">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aggregate amount of Parachute Payments payable to the Executive shall equal the amount that produces the greatest after-tax benefit to the Executive after taking into account first any positions to mitigate such Excise Tax (including, without limitation, mitigation under a “reasonable compensation” analysis) and second any Excise Tax payable by the Executive. For the avoidance of doubt, this provision shall reduce the amount of Parachute 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31"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w:t>
      </w:r>
    </w:p>
    <w:p>
      <w:pPr>
        <w:sectPr>
          <w:pgSz w:w="11900" w:h="16838" w:orient="portrait"/>
          <w:cols w:equalWidth="0" w:num="1">
            <w:col w:w="11400"/>
          </w:cols>
          <w:pgMar w:left="240" w:top="280" w:right="259" w:bottom="1440" w:gutter="0" w:footer="0" w:header="0"/>
        </w:sectPr>
      </w:pPr>
    </w:p>
    <w:bookmarkStart w:id="98" w:name="page99"/>
    <w:bookmarkEnd w:id="9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16" w:lineRule="exact"/>
        <w:rPr>
          <w:sz w:val="20"/>
          <w:szCs w:val="20"/>
          <w:color w:val="auto"/>
        </w:rPr>
      </w:pPr>
    </w:p>
    <w:p>
      <w:pPr>
        <w:ind w:firstLine="921"/>
        <w:spacing w:after="0" w:line="284" w:lineRule="auto"/>
        <w:tabs>
          <w:tab w:leader="none" w:pos="1088"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w:t>
      </w:r>
    </w:p>
    <w:p>
      <w:pPr>
        <w:sectPr>
          <w:pgSz w:w="11900" w:h="16838" w:orient="portrait"/>
          <w:cols w:equalWidth="0" w:num="1">
            <w:col w:w="11400"/>
          </w:cols>
          <w:pgMar w:left="240" w:top="280" w:right="25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Executive’s employment, then such payment or benefit will instead be paid, with interest at the applicable federal rate provided for in</w:t>
      </w:r>
    </w:p>
    <w:p>
      <w:pPr>
        <w:spacing w:after="0" w:line="3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pacing w:after="0" w:line="198" w:lineRule="exact"/>
        <w:rPr>
          <w:sz w:val="20"/>
          <w:szCs w:val="20"/>
          <w:color w:val="auto"/>
        </w:rPr>
      </w:pPr>
    </w:p>
    <w:p>
      <w:pPr>
        <w:ind w:left="1100" w:hanging="179"/>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sz w:val="20"/>
          <w:szCs w:val="20"/>
          <w:color w:val="auto"/>
        </w:rPr>
      </w:pPr>
    </w:p>
    <w:p>
      <w:pPr>
        <w:ind w:right="120" w:firstLine="913"/>
        <w:spacing w:after="0" w:line="302" w:lineRule="auto"/>
        <w:rPr>
          <w:sz w:val="20"/>
          <w:szCs w:val="20"/>
          <w:color w:val="auto"/>
        </w:rPr>
      </w:pPr>
      <w:r>
        <w:rPr>
          <w:rFonts w:ascii="Arial" w:cs="Arial" w:eastAsia="Arial" w:hAnsi="Arial"/>
          <w:sz w:val="15"/>
          <w:szCs w:val="15"/>
          <w:u w:val="single" w:color="auto"/>
          <w:color w:val="auto"/>
        </w:rPr>
        <w:t>Section 3(b)</w:t>
      </w:r>
      <w:r>
        <w:rPr>
          <w:rFonts w:ascii="Arial" w:cs="Arial" w:eastAsia="Arial" w:hAnsi="Arial"/>
          <w:sz w:val="15"/>
          <w:szCs w:val="15"/>
          <w:color w:val="auto"/>
        </w:rPr>
        <w:t xml:space="preserve">. Section 3(b) of this Agreement is hereby amended to replace the first sentence thereof with the following: During the Schedule Term (as defined in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the Executive shall continue to (i) serve as either, in Lazard’s sole discretion, (A) the Chief Financial Officer of PubliCo and Lazard, with such authority, duties and responsibilities as are consistent with the authority, duties and responsibilities exercised by the Executive on the Second Amendment Effective Date (as defined in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attached hereto) or (B) </w:t>
      </w:r>
      <w:r>
        <w:rPr>
          <w:rFonts w:ascii="Arial" w:cs="Arial" w:eastAsia="Arial" w:hAnsi="Arial"/>
          <w:sz w:val="15"/>
          <w:szCs w:val="15"/>
          <w:i w:val="1"/>
          <w:iCs w:val="1"/>
          <w:color w:val="auto"/>
        </w:rPr>
        <w:t>Associe-Gerant</w:t>
      </w:r>
      <w:r>
        <w:rPr>
          <w:rFonts w:ascii="Arial" w:cs="Arial" w:eastAsia="Arial" w:hAnsi="Arial"/>
          <w:sz w:val="15"/>
          <w:szCs w:val="15"/>
          <w:color w:val="auto"/>
        </w:rPr>
        <w:t xml:space="preserve"> and Vice Chairman of European Investment Banking of Lazard Frères SAS, a subsidiary of Lazard, in Paris France with such authority, duties and responsibilities as are consistent with such positions (provided that, without his consent, the Executive’s principal place of employment may not be transferred to Paris, France prior to 60 days after such change in position),</w:t>
      </w:r>
    </w:p>
    <w:p>
      <w:pPr>
        <w:spacing w:after="0" w:line="1" w:lineRule="exact"/>
        <w:rPr>
          <w:sz w:val="20"/>
          <w:szCs w:val="20"/>
          <w:color w:val="auto"/>
        </w:rPr>
      </w:pPr>
    </w:p>
    <w:p>
      <w:pPr>
        <w:ind w:firstLine="8"/>
        <w:spacing w:after="0" w:line="284" w:lineRule="auto"/>
        <w:tabs>
          <w:tab w:leader="none" w:pos="258"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report directly to (A) the Firm’s Chief Executive Officer and the Audit Committee of the Board of Directors of PubliCo, if the Executive is then serving as Chief Financial Officer of PubliCo and Lazard or (B) the Chief Executive Officer of Lazard Frères SAS, if the Executive is then serving as </w:t>
      </w:r>
      <w:r>
        <w:rPr>
          <w:rFonts w:ascii="Arial" w:cs="Arial" w:eastAsia="Arial" w:hAnsi="Arial"/>
          <w:sz w:val="16"/>
          <w:szCs w:val="16"/>
          <w:i w:val="1"/>
          <w:iCs w:val="1"/>
          <w:color w:val="auto"/>
        </w:rPr>
        <w:t>Associe-Gerant</w:t>
      </w:r>
      <w:r>
        <w:rPr>
          <w:rFonts w:ascii="Arial" w:cs="Arial" w:eastAsia="Arial" w:hAnsi="Arial"/>
          <w:sz w:val="16"/>
          <w:szCs w:val="16"/>
          <w:color w:val="auto"/>
        </w:rPr>
        <w:t xml:space="preserve"> and Vice Chairman of European Investment Banking of Lazard Frères SAS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Lazard agrees that (x) at any time during the Schedule Term, the Executive shall be entitled to resign from his position as Chief Financial Officer of PubliCo and Lazard and commence employment as </w:t>
      </w:r>
      <w:r>
        <w:rPr>
          <w:rFonts w:ascii="Arial" w:cs="Arial" w:eastAsia="Arial" w:hAnsi="Arial"/>
          <w:sz w:val="16"/>
          <w:szCs w:val="16"/>
          <w:i w:val="1"/>
          <w:iCs w:val="1"/>
          <w:color w:val="auto"/>
        </w:rPr>
        <w:t xml:space="preserve">Associe-Gerant </w:t>
      </w:r>
      <w:r>
        <w:rPr>
          <w:rFonts w:ascii="Arial" w:cs="Arial" w:eastAsia="Arial" w:hAnsi="Arial"/>
          <w:sz w:val="16"/>
          <w:szCs w:val="16"/>
          <w:color w:val="auto"/>
        </w:rPr>
        <w:t>and Vice Chairman of European Investment Banking of Lazard Frères SAS in Paris, France, in which case this Agreement shall remain in effect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remainder of the Schedule Term and such change in position shall not constitute a termination of employment or resignation for purposes of this Agreement and (y) in the event Lazard elects to require the Executive to serve in the position described in Section 3(b)(i)(B), Lazard shall reimburse the Executive for his reasonable and customary expenses associated with the relocation of his family, family belongings and household possessions from New York City to Paris, France on the same basis as applied to the Executive in respect of his prior relocation to New York City and, in the event Lazard elects to require the Executive to serve in the position described in Section 3(b)(i)(B) prior to the end of an academic year, Lazard shall reimburse the Executive for his return trips (on a roundtrip basis) from Paris, France to New York City on a reasonable frequency (the “</w:t>
      </w:r>
      <w:r>
        <w:rPr>
          <w:rFonts w:ascii="Arial" w:cs="Arial" w:eastAsia="Arial" w:hAnsi="Arial"/>
          <w:sz w:val="16"/>
          <w:szCs w:val="16"/>
          <w:u w:val="single" w:color="auto"/>
          <w:color w:val="auto"/>
        </w:rPr>
        <w:t>Relocation Reimbursement</w:t>
      </w:r>
      <w:r>
        <w:rPr>
          <w:rFonts w:ascii="Arial" w:cs="Arial" w:eastAsia="Arial" w:hAnsi="Arial"/>
          <w:sz w:val="16"/>
          <w:szCs w:val="16"/>
          <w:color w:val="auto"/>
        </w:rPr>
        <w:t>”). Notwithstanding anything contained herein to the contrary, upon a Change in Control, if the Executive is not then serving in the position described in Section 3(b)(i)(B), Lazard shall cease to have the right to require the Executive to serve in such position and relocate to Paris, France.</w:t>
      </w:r>
    </w:p>
    <w:p>
      <w:pPr>
        <w:sectPr>
          <w:pgSz w:w="11900" w:h="16838" w:orient="portrait"/>
          <w:cols w:equalWidth="0" w:num="1">
            <w:col w:w="11420"/>
          </w:cols>
          <w:pgMar w:left="240" w:top="280" w:right="239" w:bottom="1440" w:gutter="0" w:footer="0" w:header="0"/>
        </w:sectPr>
      </w:pPr>
    </w:p>
    <w:bookmarkStart w:id="100" w:name="page101"/>
    <w:bookmarkEnd w:id="100"/>
    <w:p>
      <w:pPr>
        <w:ind w:right="200" w:firstLine="913"/>
        <w:spacing w:after="0" w:line="301"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343" w:lineRule="exact"/>
        <w:rPr>
          <w:sz w:val="20"/>
          <w:szCs w:val="20"/>
          <w:color w:val="auto"/>
        </w:rPr>
      </w:pPr>
    </w:p>
    <w:p>
      <w:pPr>
        <w:ind w:left="920"/>
        <w:spacing w:after="0"/>
        <w:rPr>
          <w:sz w:val="20"/>
          <w:szCs w:val="20"/>
          <w:color w:val="auto"/>
        </w:rPr>
      </w:pPr>
      <w:r>
        <w:rPr>
          <w:rFonts w:ascii="Arial" w:cs="Arial" w:eastAsia="Arial" w:hAnsi="Arial"/>
          <w:sz w:val="16"/>
          <w:szCs w:val="16"/>
          <w:u w:val="single" w:color="auto"/>
          <w:color w:val="auto"/>
        </w:rPr>
        <w:t>Section 6. Nonsolicitation of Clients.</w:t>
      </w:r>
      <w:r>
        <w:rPr>
          <w:rFonts w:ascii="Arial" w:cs="Arial" w:eastAsia="Arial" w:hAnsi="Arial"/>
          <w:sz w:val="16"/>
          <w:szCs w:val="16"/>
          <w:color w:val="auto"/>
        </w:rPr>
        <w:t xml:space="preserve"> Section 6 of this Agreement is hereby amended to replace the definition of “Client” with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definition: “</w:t>
      </w:r>
      <w:r>
        <w:rPr>
          <w:rFonts w:ascii="Arial" w:cs="Arial" w:eastAsia="Arial" w:hAnsi="Arial"/>
          <w:sz w:val="16"/>
          <w:szCs w:val="16"/>
          <w:u w:val="single" w:color="auto"/>
          <w:color w:val="auto"/>
        </w:rPr>
        <w:t>Client</w:t>
      </w:r>
      <w:r>
        <w:rPr>
          <w:rFonts w:ascii="Arial" w:cs="Arial" w:eastAsia="Arial" w:hAnsi="Arial"/>
          <w:sz w:val="16"/>
          <w:szCs w:val="16"/>
          <w:color w:val="auto"/>
        </w:rPr>
        <w:t>” means any client or prospective client of the Firm, whether or not the Firm has been engaged by such Client pursuant to a written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presentation or written proposal to such entity during the 12-month period preceding the Date of Termination or was preparing to make such a presentation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proposal at the time of the Date of Termination.</w:t>
      </w:r>
    </w:p>
    <w:p>
      <w:pPr>
        <w:spacing w:after="0" w:line="165"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u w:val="single" w:color="auto"/>
          <w:color w:val="auto"/>
        </w:rPr>
        <w:t>Section 8. Nondisparagement.</w:t>
      </w:r>
      <w:r>
        <w:rPr>
          <w:rFonts w:ascii="Arial" w:cs="Arial" w:eastAsia="Arial" w:hAnsi="Arial"/>
          <w:sz w:val="18"/>
          <w:szCs w:val="18"/>
          <w:color w:val="auto"/>
        </w:rPr>
        <w:t xml:space="preserve"> Section 8 of this Agreement is hereby amended to add the following sentences immediately following the first sentence of such section: The Firm</w:t>
      </w:r>
    </w:p>
    <w:p>
      <w:pPr>
        <w:sectPr>
          <w:pgSz w:w="11900" w:h="16838" w:orient="portrait"/>
          <w:cols w:equalWidth="0" w:num="1">
            <w:col w:w="11420"/>
          </w:cols>
          <w:pgMar w:left="240" w:top="280" w:right="239" w:bottom="1440" w:gutter="0" w:footer="0" w:header="0"/>
        </w:sectPr>
      </w:pPr>
    </w:p>
    <w:bookmarkStart w:id="101" w:name="page102"/>
    <w:bookmarkEnd w:id="10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u w:val="single" w:color="auto"/>
          <w:color w:val="auto"/>
        </w:rPr>
        <w:t>Section 12. Arbitration.</w:t>
      </w:r>
      <w:r>
        <w:rPr>
          <w:rFonts w:ascii="Arial" w:cs="Arial" w:eastAsia="Arial" w:hAnsi="Arial"/>
          <w:sz w:val="16"/>
          <w:szCs w:val="16"/>
          <w:color w:val="auto"/>
        </w:rPr>
        <w:t xml:space="preserve"> Section 12 of this Agreement is hereby amended (i) to replace all references to “the New York Stock Exchange, Inc.” and the “</w:t>
      </w:r>
      <w:r>
        <w:rPr>
          <w:rFonts w:ascii="Arial" w:cs="Arial" w:eastAsia="Arial" w:hAnsi="Arial"/>
          <w:sz w:val="16"/>
          <w:szCs w:val="16"/>
          <w:u w:val="single" w:color="auto"/>
          <w:color w:val="auto"/>
        </w:rPr>
        <w:t>NYSE</w:t>
      </w:r>
      <w:r>
        <w:rPr>
          <w:rFonts w:ascii="Arial" w:cs="Arial" w:eastAsia="Arial" w:hAnsi="Arial"/>
          <w:sz w:val="16"/>
          <w:szCs w:val="16"/>
          <w:color w:val="auto"/>
        </w:rPr>
        <w:t>” with references to the “Financial Industry Regulatory Authority” and “</w:t>
      </w:r>
      <w:r>
        <w:rPr>
          <w:rFonts w:ascii="Arial" w:cs="Arial" w:eastAsia="Arial" w:hAnsi="Arial"/>
          <w:sz w:val="16"/>
          <w:szCs w:val="16"/>
          <w:u w:val="single" w:color="auto"/>
          <w:color w:val="auto"/>
        </w:rPr>
        <w:t>FINRA</w:t>
      </w:r>
      <w:r>
        <w:rPr>
          <w:rFonts w:ascii="Arial" w:cs="Arial" w:eastAsia="Arial" w:hAnsi="Arial"/>
          <w:sz w:val="16"/>
          <w:szCs w:val="16"/>
          <w:color w:val="auto"/>
        </w:rPr>
        <w:t xml:space="preserve">”,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Paragraphs 2, 3, 4, 5 and 6 of this Schedule I and Sections 3(b) (relating to the Relocation Reimbursement), 16(i) and (j) of this Agreement are hereby added to the list of sections in Section 16(b) of this Agreement.</w:t>
      </w:r>
    </w:p>
    <w:p>
      <w:pPr>
        <w:spacing w:after="0" w:line="132" w:lineRule="exact"/>
        <w:rPr>
          <w:sz w:val="20"/>
          <w:szCs w:val="20"/>
          <w:color w:val="auto"/>
        </w:rPr>
      </w:pPr>
    </w:p>
    <w:p>
      <w:pPr>
        <w:ind w:right="780" w:firstLine="913"/>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xml:space="preserve">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Section 16(i) and (j).</w:t>
      </w:r>
      <w:r>
        <w:rPr>
          <w:rFonts w:ascii="Arial" w:cs="Arial" w:eastAsia="Arial" w:hAnsi="Arial"/>
          <w:sz w:val="18"/>
          <w:szCs w:val="18"/>
          <w:color w:val="auto"/>
        </w:rPr>
        <w:t xml:space="preserve"> Section 16 of this Agreement is hereby amended to add the following new subsections:</w:t>
      </w:r>
    </w:p>
    <w:p>
      <w:pPr>
        <w:spacing w:after="0" w:line="90" w:lineRule="exact"/>
        <w:rPr>
          <w:sz w:val="20"/>
          <w:szCs w:val="20"/>
          <w:color w:val="auto"/>
        </w:rPr>
      </w:pPr>
    </w:p>
    <w:p>
      <w:pPr>
        <w:ind w:left="460" w:right="40" w:firstLine="443"/>
        <w:spacing w:after="0" w:line="294" w:lineRule="auto"/>
        <w:tabs>
          <w:tab w:leader="none" w:pos="11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ectPr>
          <w:pgSz w:w="11900" w:h="16838" w:orient="portrait"/>
          <w:cols w:equalWidth="0" w:num="1">
            <w:col w:w="11420"/>
          </w:cols>
          <w:pgMar w:left="240" w:top="280" w:right="239" w:bottom="1440" w:gutter="0" w:footer="0" w:header="0"/>
        </w:sectPr>
      </w:pPr>
    </w:p>
    <w:bookmarkStart w:id="102" w:name="page103"/>
    <w:bookmarkEnd w:id="102"/>
    <w:p>
      <w:pPr>
        <w:ind w:left="-443" w:right="640" w:firstLine="443"/>
        <w:spacing w:after="0" w:line="268" w:lineRule="auto"/>
        <w:tabs>
          <w:tab w:leader="none" w:pos="205"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acknowledges and agrees that the Executive is subject to the Firm’s Compensation Recovery Policy Applicable to Named Executive Officers, as in effect as of the date hereof (a copy of which has been provided to the Executive).</w:t>
      </w:r>
    </w:p>
    <w:p>
      <w:pPr>
        <w:spacing w:after="0" w:line="132" w:lineRule="exact"/>
        <w:rPr>
          <w:sz w:val="20"/>
          <w:szCs w:val="20"/>
          <w:color w:val="auto"/>
        </w:rPr>
      </w:pPr>
    </w:p>
    <w:p>
      <w:pPr>
        <w:ind w:left="-903" w:firstLine="921"/>
        <w:spacing w:after="0" w:line="306" w:lineRule="auto"/>
        <w:tabs>
          <w:tab w:leader="none" w:pos="186"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457"/>
          </w:cols>
          <w:pgMar w:left="1143" w:top="280" w:right="2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MB</w:t>
            </w:r>
          </w:p>
        </w:tc>
        <w:tc>
          <w:tcPr>
            <w:tcW w:w="1940" w:type="dxa"/>
            <w:vAlign w:val="bottom"/>
          </w:tcPr>
          <w:p>
            <w:pPr>
              <w:ind w:left="120"/>
              <w:spacing w:after="0"/>
              <w:rPr>
                <w:sz w:val="20"/>
                <w:szCs w:val="20"/>
                <w:color w:val="auto"/>
              </w:rPr>
            </w:pPr>
            <w:r>
              <w:rPr>
                <w:rFonts w:ascii="Arial" w:cs="Arial" w:eastAsia="Arial" w:hAnsi="Arial"/>
                <w:sz w:val="18"/>
                <w:szCs w:val="18"/>
                <w:color w:val="auto"/>
                <w:w w:val="90"/>
              </w:rPr>
              <w:t>Initialed by the Executive</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940" w:type="dxa"/>
            <w:vAlign w:val="bottom"/>
          </w:tcPr>
          <w:p>
            <w:pPr>
              <w:ind w:left="120"/>
              <w:spacing w:after="0"/>
              <w:rPr>
                <w:sz w:val="20"/>
                <w:szCs w:val="20"/>
                <w:color w:val="auto"/>
              </w:rPr>
            </w:pPr>
            <w:r>
              <w:rPr>
                <w:rFonts w:ascii="Arial" w:cs="Arial" w:eastAsia="Arial" w:hAnsi="Arial"/>
                <w:sz w:val="18"/>
                <w:szCs w:val="18"/>
                <w:color w:val="auto"/>
              </w:rPr>
              <w:t>Initialed by Lazard</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940" w:type="dxa"/>
            <w:vAlign w:val="bottom"/>
          </w:tcPr>
          <w:p>
            <w:pPr>
              <w:ind w:left="120"/>
              <w:spacing w:after="0"/>
              <w:rPr>
                <w:sz w:val="20"/>
                <w:szCs w:val="20"/>
                <w:color w:val="auto"/>
              </w:rPr>
            </w:pPr>
            <w:r>
              <w:rPr>
                <w:rFonts w:ascii="Arial" w:cs="Arial" w:eastAsia="Arial" w:hAnsi="Arial"/>
                <w:sz w:val="18"/>
                <w:szCs w:val="18"/>
                <w:color w:val="auto"/>
              </w:rPr>
              <w:t>Initialed by PubliCo</w:t>
            </w:r>
          </w:p>
        </w:tc>
      </w:tr>
    </w:tbl>
    <w:p>
      <w:pPr>
        <w:ind w:left="1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Scott D. Hoffman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May 4, 2005, and amended as of May 7, 2008 and February 23, 2011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26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20"/>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Jacobs</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Kenneth M. Jacobs</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26"/>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GROUP LLC (on its behalf, and on</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behalf of its subsidiaries and affiliates),</w:t>
            </w:r>
          </w:p>
        </w:tc>
      </w:tr>
      <w:tr>
        <w:trPr>
          <w:trHeight w:val="448"/>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Jacobs</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Kenneth M. Jacobs</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Scott D. Hoffman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89" w:lineRule="auto"/>
        <w:tabs>
          <w:tab w:leader="none" w:pos="632"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w:t>
      </w:r>
    </w:p>
    <w:p>
      <w:pPr>
        <w:sectPr>
          <w:pgSz w:w="11900" w:h="16838" w:orient="portrait"/>
          <w:cols w:equalWidth="0" w:num="1">
            <w:col w:w="11400"/>
          </w:cols>
          <w:pgMar w:left="240" w:top="274" w:right="259" w:bottom="1440" w:gutter="0" w:footer="0" w:header="0"/>
        </w:sectPr>
      </w:pPr>
    </w:p>
    <w:bookmarkStart w:id="106" w:name="page107"/>
    <w:bookmarkEnd w:id="10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w:t>
      </w:r>
    </w:p>
    <w:p>
      <w:pPr>
        <w:sectPr>
          <w:pgSz w:w="11900" w:h="16838" w:orient="portrait"/>
          <w:cols w:equalWidth="0" w:num="1">
            <w:col w:w="11400"/>
          </w:cols>
          <w:pgMar w:left="240" w:top="280" w:right="259" w:bottom="1440" w:gutter="0" w:footer="0" w:header="0"/>
        </w:sectPr>
      </w:pPr>
    </w:p>
    <w:bookmarkStart w:id="107" w:name="page108"/>
    <w:bookmarkEnd w:id="107"/>
    <w:p>
      <w:pPr>
        <w:ind w:left="460" w:right="1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w:t>
      </w:r>
    </w:p>
    <w:p>
      <w:pPr>
        <w:spacing w:after="0" w:line="1" w:lineRule="exact"/>
        <w:rPr>
          <w:sz w:val="20"/>
          <w:szCs w:val="20"/>
          <w:color w:val="auto"/>
        </w:rPr>
      </w:pPr>
    </w:p>
    <w:p>
      <w:pPr>
        <w:ind w:left="460" w:right="140" w:firstLine="4"/>
        <w:spacing w:after="0" w:line="261" w:lineRule="auto"/>
        <w:tabs>
          <w:tab w:leader="none" w:pos="70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8"/>
          <w:szCs w:val="18"/>
          <w:u w:val="single" w:color="auto"/>
          <w:color w:val="auto"/>
        </w:rPr>
        <w:t>Pro-Ration Fraction</w:t>
      </w:r>
      <w:r>
        <w:rPr>
          <w:rFonts w:ascii="Arial" w:cs="Arial" w:eastAsia="Arial" w:hAnsi="Arial"/>
          <w:sz w:val="18"/>
          <w:szCs w:val="18"/>
          <w:color w:val="auto"/>
        </w:rPr>
        <w:t>”); or</w:t>
      </w:r>
    </w:p>
    <w:p>
      <w:pPr>
        <w:spacing w:after="0" w:line="56" w:lineRule="exact"/>
        <w:rPr>
          <w:rFonts w:ascii="Arial" w:cs="Arial" w:eastAsia="Arial" w:hAnsi="Arial"/>
          <w:sz w:val="18"/>
          <w:szCs w:val="18"/>
          <w:color w:val="auto"/>
        </w:rPr>
      </w:pPr>
    </w:p>
    <w:p>
      <w:pPr>
        <w:ind w:left="460" w:right="60" w:firstLine="443"/>
        <w:spacing w:after="0" w:line="294" w:lineRule="auto"/>
        <w:tabs>
          <w:tab w:leader="none" w:pos="1157"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108" w:name="page109"/>
    <w:bookmarkEnd w:id="108"/>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Firm’s Chief Executive Officer or the Board of Directors of PubliCo, in each case following written notice to the Executive of such failure and, if such failure is curable, the</w:t>
      </w:r>
    </w:p>
    <w:p>
      <w:pPr>
        <w:sectPr>
          <w:pgSz w:w="11900" w:h="16838" w:orient="portrait"/>
          <w:cols w:equalWidth="0" w:num="1">
            <w:col w:w="11420"/>
          </w:cols>
          <w:pgMar w:left="240" w:top="280" w:right="239" w:bottom="1440" w:gutter="0" w:footer="0" w:header="0"/>
        </w:sectPr>
      </w:pPr>
    </w:p>
    <w:bookmarkStart w:id="109" w:name="page110"/>
    <w:bookmarkEnd w:id="10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Executive’s failing to cure such 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Firm’s Chief Executive Officer or the Board of Directors of PubliCo or upon the direct advice of counsel to the Firm. Except in the case of a termination of the Executive’s employment under clause (A)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 material breach by the Firm of the terms of this Agreement, including, without limitation, any material failure by the Firm to comply with paragraph 2 of this Schedule I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jc w:val="both"/>
        <w:ind w:right="20" w:firstLine="464"/>
        <w:spacing w:after="0" w:line="306"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w:t>
      </w:r>
    </w:p>
    <w:p>
      <w:pPr>
        <w:sectPr>
          <w:pgSz w:w="11900" w:h="16838" w:orient="portrait"/>
          <w:cols w:equalWidth="0" w:num="1">
            <w:col w:w="11400"/>
          </w:cols>
          <w:pgMar w:left="240" w:top="280" w:right="2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certified by the Accountant and set forth in a certificate delivered to the Executive setting forth in reasonable detail the basis of the Accountant’s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that the aggregate amount of the payments, distributions, benefits and entitlements in the nature of compensation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280G(B)(2) of the Code) by the Firm or any affiliate to or for the Executive’s benefit (including any payment, distribution, benefit or entitlement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or entity effecting a change of control), in each case, that constitute “parachute payments” within the meaning of Section 280G of the Code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that could be paid to the Executive without giving rise to any liability for any excise tax imposed by Section 4999 of the Code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Parachute Payments payable to the Executive shall equal the amount that produces the greatest after-tax benefit to the Executive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taking into account first any positions to mitigate such Excise Tax (including, without limitation, mitigation under a “reasonable compensation” analysis)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 any Excise Tax payable by the Executive. For the avoidance of doubt, this provision shall reduce the amount of Parachute Payments otherwise payable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only if doing so would place the Executive in a better net after-tax economic position as compared with not doing so (taking into account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Excise Tax payable in respect of such Parachute Payments). The Firm shall reduce or eliminate the Parachute Payments, as necessary, by first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eliminating the non-cash portion of the Agreement Payments, in each case, in reverse order beginning with payments or benefits that are to be paid the furthest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from the Date of Termination. For purposes of reducing the Parachute Payments to the Executive, only the Agreement Payments (and no other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shall be reduced.</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59"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w:t>
      </w:r>
    </w:p>
    <w:p>
      <w:pPr>
        <w:sectPr>
          <w:pgSz w:w="11900" w:h="16838" w:orient="portrait"/>
          <w:cols w:equalWidth="0" w:num="1">
            <w:col w:w="11400"/>
          </w:cols>
          <w:pgMar w:left="240" w:top="280" w:right="259" w:bottom="1440" w:gutter="0" w:footer="0" w:header="0"/>
        </w:sectPr>
      </w:pPr>
    </w:p>
    <w:bookmarkStart w:id="111" w:name="page112"/>
    <w:bookmarkEnd w:id="11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ectPr>
          <w:pgSz w:w="11900" w:h="16838" w:orient="portrait"/>
          <w:cols w:equalWidth="0" w:num="1">
            <w:col w:w="11400"/>
          </w:cols>
          <w:pgMar w:left="240" w:top="280" w:right="259" w:bottom="1440" w:gutter="0" w:footer="0" w:header="0"/>
        </w:sectPr>
      </w:pPr>
    </w:p>
    <w:bookmarkStart w:id="112" w:name="page113"/>
    <w:bookmarkEnd w:id="112"/>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Section 3(b) of this Agreement is hereby amended to replace the first sentence thereof with the following: During the Schedule Term (as defined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the Executive shall continue to (i) serve as the General Counsel of PubliCo and Lazard, with such authority, duties and responsibilities as are consistent with the authority, duties and responsibilities exercised by the Executive on the Second Amendment Effective Date (as defined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(ii) report directly to the Firm’s Chief Executive Officer and the Board of Directors of PubliCo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47" w:lineRule="exact"/>
        <w:rPr>
          <w:sz w:val="20"/>
          <w:szCs w:val="20"/>
          <w:color w:val="auto"/>
        </w:rPr>
      </w:pPr>
    </w:p>
    <w:p>
      <w:pPr>
        <w:ind w:right="20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ectPr>
          <w:pgSz w:w="11900" w:h="16838" w:orient="portrait"/>
          <w:cols w:equalWidth="0" w:num="1">
            <w:col w:w="11420"/>
          </w:cols>
          <w:pgMar w:left="240" w:top="280" w:right="239" w:bottom="1440" w:gutter="0" w:footer="0" w:header="0"/>
        </w:sectPr>
      </w:pPr>
    </w:p>
    <w:bookmarkStart w:id="113" w:name="page114"/>
    <w:bookmarkEnd w:id="113"/>
    <w:p>
      <w:pPr>
        <w:ind w:right="18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“Client”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provided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firstLine="443"/>
        <w:spacing w:after="0" w:line="294" w:lineRule="auto"/>
        <w:tabs>
          <w:tab w:leader="none" w:pos="648"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provided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right="660" w:firstLine="443"/>
        <w:spacing w:after="0" w:line="268" w:lineRule="auto"/>
        <w:tabs>
          <w:tab w:leader="none" w:pos="64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left="-460" w:right="40" w:firstLine="464"/>
        <w:spacing w:after="0" w:line="306" w:lineRule="auto"/>
        <w:tabs>
          <w:tab w:leader="none" w:pos="17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920"/>
          </w:cols>
          <w:pgMar w:left="700" w:top="280" w:right="2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2040" w:type="dxa"/>
            <w:vAlign w:val="bottom"/>
          </w:tcPr>
          <w:p>
            <w:pPr>
              <w:ind w:left="240"/>
              <w:spacing w:after="0"/>
              <w:rPr>
                <w:sz w:val="20"/>
                <w:szCs w:val="20"/>
                <w:color w:val="auto"/>
              </w:rPr>
            </w:pPr>
            <w:r>
              <w:rPr>
                <w:rFonts w:ascii="Arial" w:cs="Arial" w:eastAsia="Arial" w:hAnsi="Arial"/>
                <w:sz w:val="18"/>
                <w:szCs w:val="18"/>
                <w:color w:val="auto"/>
                <w:w w:val="89"/>
              </w:rPr>
              <w:t>Initialed by the Executive</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KMJ</w:t>
            </w:r>
          </w:p>
        </w:tc>
        <w:tc>
          <w:tcPr>
            <w:tcW w:w="2040" w:type="dxa"/>
            <w:vAlign w:val="bottom"/>
          </w:tcPr>
          <w:p>
            <w:pPr>
              <w:ind w:left="240"/>
              <w:spacing w:after="0"/>
              <w:rPr>
                <w:sz w:val="20"/>
                <w:szCs w:val="20"/>
                <w:color w:val="auto"/>
              </w:rPr>
            </w:pPr>
            <w:r>
              <w:rPr>
                <w:rFonts w:ascii="Arial" w:cs="Arial" w:eastAsia="Arial" w:hAnsi="Arial"/>
                <w:sz w:val="18"/>
                <w:szCs w:val="18"/>
                <w:color w:val="auto"/>
              </w:rPr>
              <w:t>Initialed by Lazard</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KMJ</w:t>
            </w:r>
          </w:p>
        </w:tc>
        <w:tc>
          <w:tcPr>
            <w:tcW w:w="2040" w:type="dxa"/>
            <w:vAlign w:val="bottom"/>
          </w:tcPr>
          <w:p>
            <w:pPr>
              <w:ind w:left="240"/>
              <w:spacing w:after="0"/>
              <w:rPr>
                <w:sz w:val="20"/>
                <w:szCs w:val="20"/>
                <w:color w:val="auto"/>
              </w:rPr>
            </w:pPr>
            <w:r>
              <w:rPr>
                <w:rFonts w:ascii="Arial" w:cs="Arial" w:eastAsia="Arial" w:hAnsi="Arial"/>
                <w:sz w:val="18"/>
                <w:szCs w:val="18"/>
                <w:color w:val="auto"/>
              </w:rPr>
              <w:t>Initialed by PubliCo</w:t>
            </w:r>
          </w:p>
        </w:tc>
      </w:tr>
    </w:tbl>
    <w:p>
      <w:pPr>
        <w:ind w:left="24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10.52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Second Amendment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March 14, 2013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among Lazard Ltd, a company incorporated under the Laws of Bermuda (“</w:t>
      </w:r>
      <w:r>
        <w:rPr>
          <w:rFonts w:ascii="Arial" w:cs="Arial" w:eastAsia="Arial" w:hAnsi="Arial"/>
          <w:sz w:val="18"/>
          <w:szCs w:val="18"/>
          <w:u w:val="single" w:color="auto"/>
          <w:color w:val="auto"/>
        </w:rPr>
        <w:t>PubliCo</w:t>
      </w:r>
      <w:r>
        <w:rPr>
          <w:rFonts w:ascii="Arial" w:cs="Arial" w:eastAsia="Arial" w:hAnsi="Arial"/>
          <w:sz w:val="18"/>
          <w:szCs w:val="18"/>
          <w:color w:val="auto"/>
        </w:rPr>
        <w:t>”),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their subsidiaries and affiliates (collectively with PubliCo,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Alexander F. Stern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October 4, 2004, and amended on March 23, 2010 (as amended, this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the Firm and the Executive wish to amend this Agreement to modify Schedule I to such Agreement to extend the term of certain provisions of Schedule I of this Agreement beyond March 23, 2013, eliminate the golden parachute excise tax gross-up provision and revise certain other terms.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PubliCo and Lazard hereby agree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as of the Effective Date, Schedule I of this Agreement shall hereby be amended and restated in its entirety in the form attached hereto.</w:t>
      </w:r>
    </w:p>
    <w:p>
      <w:pPr>
        <w:spacing w:after="0" w:line="19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the Executive and the Board of Directors of each of Lazard and PubliCo have caused this Second Amendment to be executed and delivered on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26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433"/>
        </w:trPr>
        <w:tc>
          <w:tcPr>
            <w:tcW w:w="3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F. Stern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Alexander F. Stern</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LTD,</w:t>
            </w:r>
          </w:p>
        </w:tc>
      </w:tr>
      <w:tr>
        <w:trPr>
          <w:trHeight w:val="434"/>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r>
        <w:trPr>
          <w:trHeight w:val="426"/>
        </w:trPr>
        <w:tc>
          <w:tcPr>
            <w:tcW w:w="3520" w:type="dxa"/>
            <w:vAlign w:val="bottom"/>
          </w:tcPr>
          <w:p>
            <w:pPr>
              <w:spacing w:after="0"/>
              <w:rPr>
                <w:sz w:val="20"/>
                <w:szCs w:val="20"/>
                <w:color w:val="auto"/>
              </w:rPr>
            </w:pPr>
            <w:r>
              <w:rPr>
                <w:rFonts w:ascii="Arial" w:cs="Arial" w:eastAsia="Arial" w:hAnsi="Arial"/>
                <w:sz w:val="18"/>
                <w:szCs w:val="18"/>
                <w:color w:val="auto"/>
              </w:rPr>
              <w:t>March 14, 2013</w:t>
            </w: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LAZARD GROUP LLC (on its behalf, and on</w:t>
            </w:r>
          </w:p>
        </w:tc>
      </w:tr>
      <w:tr>
        <w:trPr>
          <w:trHeight w:val="222"/>
        </w:trPr>
        <w:tc>
          <w:tcPr>
            <w:tcW w:w="3520" w:type="dxa"/>
            <w:vAlign w:val="bottom"/>
          </w:tcPr>
          <w:p>
            <w:pPr>
              <w:spacing w:after="0"/>
              <w:rPr>
                <w:sz w:val="19"/>
                <w:szCs w:val="19"/>
                <w:color w:val="auto"/>
              </w:rPr>
            </w:pPr>
          </w:p>
        </w:tc>
        <w:tc>
          <w:tcPr>
            <w:tcW w:w="7900" w:type="dxa"/>
            <w:vAlign w:val="bottom"/>
            <w:gridSpan w:val="2"/>
          </w:tcPr>
          <w:p>
            <w:pPr>
              <w:ind w:left="2380"/>
              <w:spacing w:after="0"/>
              <w:rPr>
                <w:sz w:val="20"/>
                <w:szCs w:val="20"/>
                <w:color w:val="auto"/>
              </w:rPr>
            </w:pPr>
            <w:r>
              <w:rPr>
                <w:rFonts w:ascii="Arial" w:cs="Arial" w:eastAsia="Arial" w:hAnsi="Arial"/>
                <w:sz w:val="18"/>
                <w:szCs w:val="18"/>
                <w:color w:val="auto"/>
              </w:rPr>
              <w:t>behalf of its subsidiaries and affiliates),</w:t>
            </w:r>
          </w:p>
        </w:tc>
      </w:tr>
      <w:tr>
        <w:trPr>
          <w:trHeight w:val="448"/>
        </w:trPr>
        <w:tc>
          <w:tcPr>
            <w:tcW w:w="3520" w:type="dxa"/>
            <w:vAlign w:val="bottom"/>
          </w:tcPr>
          <w:p>
            <w:pPr>
              <w:spacing w:after="0"/>
              <w:rPr>
                <w:sz w:val="24"/>
                <w:szCs w:val="24"/>
                <w:color w:val="auto"/>
              </w:rPr>
            </w:pPr>
          </w:p>
        </w:tc>
        <w:tc>
          <w:tcPr>
            <w:tcW w:w="2660" w:type="dxa"/>
            <w:vAlign w:val="bottom"/>
          </w:tcPr>
          <w:p>
            <w:pPr>
              <w:ind w:left="238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D. Hoffman</w:t>
            </w:r>
          </w:p>
        </w:tc>
      </w:tr>
      <w:tr>
        <w:trPr>
          <w:trHeight w:val="215"/>
        </w:trPr>
        <w:tc>
          <w:tcPr>
            <w:tcW w:w="3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Scott D. Hoffman</w:t>
            </w:r>
          </w:p>
        </w:tc>
      </w:tr>
      <w:tr>
        <w:trPr>
          <w:trHeight w:val="222"/>
        </w:trPr>
        <w:tc>
          <w:tcPr>
            <w:tcW w:w="35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Managing Director and General Counsel</w:t>
            </w:r>
          </w:p>
        </w:tc>
      </w:tr>
    </w:tbl>
    <w:p>
      <w:pPr>
        <w:sectPr>
          <w:pgSz w:w="11900" w:h="16838" w:orient="portrait"/>
          <w:cols w:equalWidth="0" w:num="1">
            <w:col w:w="11420"/>
          </w:cols>
          <w:pgMar w:left="240" w:top="125"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Name (as per Preamble):</w:t>
      </w:r>
      <w:r>
        <w:rPr>
          <w:sz w:val="20"/>
          <w:szCs w:val="20"/>
          <w:color w:val="auto"/>
        </w:rPr>
        <w:tab/>
      </w:r>
      <w:r>
        <w:rPr>
          <w:rFonts w:ascii="Arial" w:cs="Arial" w:eastAsia="Arial" w:hAnsi="Arial"/>
          <w:sz w:val="16"/>
          <w:szCs w:val="16"/>
          <w:color w:val="auto"/>
        </w:rPr>
        <w:t>Mr. Alexander F. Stern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Effective upon the effective date of the Second Amendment to this Agreement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right="140" w:firstLine="464"/>
        <w:spacing w:after="0" w:line="306"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Schedule Term</w:t>
      </w:r>
      <w:r>
        <w:rPr>
          <w:rFonts w:ascii="Arial" w:cs="Arial" w:eastAsia="Arial" w:hAnsi="Arial"/>
          <w:sz w:val="16"/>
          <w:szCs w:val="16"/>
          <w:color w:val="auto"/>
        </w:rPr>
        <w:t>. For purposes of this Schedule I, the “</w:t>
      </w:r>
      <w:r>
        <w:rPr>
          <w:rFonts w:ascii="Arial" w:cs="Arial" w:eastAsia="Arial" w:hAnsi="Arial"/>
          <w:sz w:val="16"/>
          <w:szCs w:val="16"/>
          <w:u w:val="single" w:color="auto"/>
          <w:color w:val="auto"/>
        </w:rPr>
        <w:t>Schedule Term</w:t>
      </w:r>
      <w:r>
        <w:rPr>
          <w:rFonts w:ascii="Arial" w:cs="Arial" w:eastAsia="Arial" w:hAnsi="Arial"/>
          <w:sz w:val="16"/>
          <w:szCs w:val="16"/>
          <w:color w:val="auto"/>
        </w:rPr>
        <w:t>” shall mean the period from the Second Amendment Effective Date through March 31, 2016, subject to earlier termination in accordance with this Agreement. Notwithstanding the foregoing, upon a Change in Control (as defined below), the Schedule Term shall automatically be renewed so that the Schedule Term is not less than two years from the effective date of such Change in Control.</w:t>
      </w:r>
    </w:p>
    <w:p>
      <w:pPr>
        <w:spacing w:after="0" w:line="106"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Schedule Term, the Executive shall be entitled to receive (i) an annual base salary of not less than $750,000 (“</w:t>
      </w:r>
      <w:r>
        <w:rPr>
          <w:rFonts w:ascii="Arial" w:cs="Arial" w:eastAsia="Arial" w:hAnsi="Arial"/>
          <w:sz w:val="16"/>
          <w:szCs w:val="16"/>
          <w:u w:val="single" w:color="auto"/>
          <w:color w:val="auto"/>
        </w:rPr>
        <w:t>Base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Salary</w:t>
      </w:r>
      <w:r>
        <w:rPr>
          <w:rFonts w:ascii="Arial" w:cs="Arial" w:eastAsia="Arial" w:hAnsi="Arial"/>
          <w:sz w:val="16"/>
          <w:szCs w:val="16"/>
          <w:color w:val="auto"/>
        </w:rPr>
        <w:t>”) and (ii) so long as the Executive remains employed by the Firm through the end of the applicable fiscal year of Lazard (except as otherwise provided below in this Schedule I), an annual bonus to be determined under the terms of the applicable annual bonus plan of Lazard on the same basis as annual bonuses are determined for other executive officers of PubliCo, with such annual bonus to be paid in the same ratio of cash to equity awards as is applicable to executives of the Firm receiving annual bonuses at a level comparable to the annual bonus of the Executive. For purposes hereof, the term Base Salary shall refer to Base Salary as in effect from time to time, including any increases thereto. Notwithstanding anything to the contrary contained in Section 3(c)(iv) of this Agreement, subject to the Executive’s continued employment with the Firm, the Executive shall continue to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firstLine="464"/>
        <w:spacing w:after="0" w:line="289" w:lineRule="auto"/>
        <w:tabs>
          <w:tab w:leader="none" w:pos="63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Schedule Term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(subject to the Executive delivering a waiver and release in accordance with this paragraph 3 of this Schedule I in the event such Qualifying Termination occurs prior to a Change in Control), in a lump sum in cash on the 61st day after the Date of Termination (as defined below), the aggregate of the following amounts: (i) any unpaid Base Salary through the Date of Termination; (ii) any earned and unpaid bonus amounts for fiscal years of Lazard completed prior to the Date of Termination (determined in accordance with paragraph 2 of this Schedule I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w:t>
      </w:r>
    </w:p>
    <w:p>
      <w:pPr>
        <w:sectPr>
          <w:pgSz w:w="11900" w:h="16838" w:orient="portrait"/>
          <w:cols w:equalWidth="0" w:num="1">
            <w:col w:w="11400"/>
          </w:cols>
          <w:pgMar w:left="240" w:top="274" w:right="259" w:bottom="1440" w:gutter="0" w:footer="0" w:header="0"/>
        </w:sectPr>
      </w:pPr>
    </w:p>
    <w:bookmarkStart w:id="118" w:name="page119"/>
    <w:bookmarkEnd w:id="11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w:t>
      </w:r>
      <w:r>
        <w:rPr>
          <w:rFonts w:ascii="Arial" w:cs="Arial" w:eastAsia="Arial" w:hAnsi="Arial"/>
          <w:sz w:val="16"/>
          <w:szCs w:val="16"/>
          <w:color w:val="auto"/>
        </w:rPr>
        <w:t xml:space="preserve"> </w:t>
      </w:r>
      <w:r>
        <w:rPr>
          <w:rFonts w:ascii="Arial" w:cs="Arial" w:eastAsia="Arial" w:hAnsi="Arial"/>
          <w:sz w:val="16"/>
          <w:szCs w:val="16"/>
          <w:u w:val="single" w:color="auto"/>
          <w:color w:val="auto"/>
        </w:rPr>
        <w:t>Bonus</w:t>
      </w:r>
      <w:r>
        <w:rPr>
          <w:rFonts w:ascii="Arial" w:cs="Arial" w:eastAsia="Arial" w:hAnsi="Arial"/>
          <w:sz w:val="16"/>
          <w:szCs w:val="16"/>
          <w:color w:val="auto"/>
        </w:rPr>
        <w:t>”). In addition, upon a Qualifying Termination, for a period of months equal to the product of (A) 12 and (B) the Severance Multiple (the “</w:t>
      </w:r>
      <w:r>
        <w:rPr>
          <w:rFonts w:ascii="Arial" w:cs="Arial" w:eastAsia="Arial" w:hAnsi="Arial"/>
          <w:sz w:val="16"/>
          <w:szCs w:val="16"/>
          <w:u w:val="single" w:color="auto"/>
          <w:color w:val="auto"/>
        </w:rPr>
        <w:t>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Continuation Period</w:t>
      </w:r>
      <w:r>
        <w:rPr>
          <w:rFonts w:ascii="Arial" w:cs="Arial" w:eastAsia="Arial" w:hAnsi="Arial"/>
          <w:sz w:val="16"/>
          <w:szCs w:val="16"/>
          <w:color w:val="auto"/>
        </w:rPr>
        <w:t>”),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best efforts to cause such continued coverage to be permitted under the applicable plan for the entire Benefit Continuation Period), which Benefit Continuation Period shall not run concurrently with or reduce the Executive’s right to continued coverage under COBRA and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addition, in the case of (a) a Qualifying Termination during the Schedule Term or (b) the Executive’s death or termination due to Disability during the Schedule Term, with respect to the fiscal year of Lazard during which the Date of Termination occurs, the Executive or his estate, as applicable, shall receive a pro-rata annual bonus payable in cash determined as follows:</w:t>
      </w:r>
    </w:p>
    <w:p>
      <w:pPr>
        <w:spacing w:after="0" w:line="59" w:lineRule="exact"/>
        <w:rPr>
          <w:sz w:val="20"/>
          <w:szCs w:val="20"/>
          <w:color w:val="auto"/>
        </w:rPr>
      </w:pPr>
    </w:p>
    <w:p>
      <w:pPr>
        <w:ind w:left="1120" w:hanging="217"/>
        <w:spacing w:after="0"/>
        <w:tabs>
          <w:tab w:leader="none" w:pos="11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if, with respect to the fiscal year during which the Date of Termination occurs (other than (x) as a result of the Executive’s death or Disability or</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following a Change in Control), (A) the Executive was reasonably expected by Lazard to be a “covered employee” (within the meaning of</w:t>
      </w:r>
    </w:p>
    <w:p>
      <w:pPr>
        <w:spacing w:after="0" w:line="32"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Section 162(m) of the Internal Revenue Code of 1986, as amended and the regulations promulgated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(1)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ectPr>
          <w:pgSz w:w="11900" w:h="16838" w:orient="portrait"/>
          <w:cols w:equalWidth="0" w:num="1">
            <w:col w:w="11400"/>
          </w:cols>
          <w:pgMar w:left="240" w:top="280" w:right="259" w:bottom="1440" w:gutter="0" w:footer="0" w:header="0"/>
        </w:sectPr>
      </w:pPr>
    </w:p>
    <w:bookmarkStart w:id="119" w:name="page120"/>
    <w:bookmarkEnd w:id="119"/>
    <w:p>
      <w:pPr>
        <w:ind w:left="460" w:right="60" w:firstLine="443"/>
        <w:spacing w:after="0" w:line="294" w:lineRule="auto"/>
        <w:tabs>
          <w:tab w:leader="none" w:pos="1157"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 either (A) with respect to the fiscal year during which the Date of Termination occurs, (1) the Executive is not reasonably expected by Lazard to be a “covered employee” (within the meaning of Section 162(m) of the Code) prior to his Date of Termination or (2) such termination is a result of the Executive’s death or Disability or occurs following a Change in Control or (B)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(x) the Average Bonus and (y) the Pro-Ration Fraction.</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 (and in all events no earlier than January 1st, and no later than March 15th, of the year following the year in which the Date of Termination occurs).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Notwithstanding the foregoing, the payments and benefits (other than any earned and unpaid compensation described in clauses (i) and (ii) of the first paragraph of this paragraph 3 of this Schedule I) payable to the Executive pursuant to this paragraph 3 of this Schedule 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Exhibit A that has become effective and irrevocable in accordance with its terms (such requirement to execute a release, the “</w:t>
      </w:r>
      <w:r>
        <w:rPr>
          <w:rFonts w:ascii="Arial" w:cs="Arial" w:eastAsia="Arial" w:hAnsi="Arial"/>
          <w:sz w:val="18"/>
          <w:szCs w:val="18"/>
          <w:u w:val="single" w:color="auto"/>
          <w:color w:val="auto"/>
        </w:rPr>
        <w:t>Release Requirement</w:t>
      </w:r>
      <w:r>
        <w:rPr>
          <w:rFonts w:ascii="Arial" w:cs="Arial" w:eastAsia="Arial" w:hAnsi="Arial"/>
          <w:sz w:val="18"/>
          <w:szCs w:val="18"/>
          <w:color w:val="auto"/>
        </w:rPr>
        <w:t>”). Notwithstanding the foregoing, the Release Requirement shall lapse upon a Change in Control.</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of this Agreement, including without limitation, Sections 2(g)(ii) and 5(a), and for all purposes of the outstanding equity-based awards, fund interest awards and any similar awards held by the Executive as of the Date of Termination (as defined in this Schedule I) (collectively, the “</w:t>
      </w:r>
      <w:r>
        <w:rPr>
          <w:rFonts w:ascii="Arial" w:cs="Arial" w:eastAsia="Arial" w:hAnsi="Arial"/>
          <w:sz w:val="18"/>
          <w:szCs w:val="18"/>
          <w:u w:val="single" w:color="auto"/>
          <w:color w:val="auto"/>
        </w:rPr>
        <w:t>Awards</w:t>
      </w:r>
      <w:r>
        <w:rPr>
          <w:rFonts w:ascii="Arial" w:cs="Arial" w:eastAsia="Arial" w:hAnsi="Arial"/>
          <w:sz w:val="18"/>
          <w:szCs w:val="18"/>
          <w:color w:val="auto"/>
        </w:rPr>
        <w:t>”), a resignation by the Executive for Good Reason during the Term shall be treated as a termination of the Executive by the Firm without Cause or as a Termination of Employment by the Firm other than for Cause (as such phrase or similar phrases are defined in the Plan (as defined in paragraph 4 of this Schedule I) or the award agreements governing the Awards), as applicable.</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I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and this Schedule I, as applicable, the following terms shall have the following meanings:</w:t>
      </w:r>
    </w:p>
    <w:p>
      <w:pPr>
        <w:spacing w:after="0" w:line="19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assigned to it in the Lazard 2008 Incentive Compensation Plan, as it may be amended from time to time,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120" w:name="page121"/>
    <w:bookmarkEnd w:id="120"/>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definition of “Date of Termination” set forth in Section 5 of this Agreement, for all purposes of this Agreement, including Section 5, and this Schedule I,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formally notifies the Executive in writing that it does not intend to cure, unless Lazard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including this Schedule I, constitutes a “separation from service” within the meaning of Section 409A of the Code, and notwithstanding anything contained herein (or in this Agreement) to the contrary, (x) to the extent that any amounts owed to the Executive under this Agreement (including this Schedule I)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without limitation, the default presumptions thereof and (y) the date on which such separation from service takes place shall be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w:t>
      </w:r>
    </w:p>
    <w:p>
      <w:pPr>
        <w:spacing w:after="0" w:line="13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definition of “Cause” set forth in Section 2(g)(iv) of this Agreement,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(other than any such failure resulting from incapacity due to physical or mental illness or following the Firm’s termination of the Executive other than for Cause or the Executive’s termination for Good Reason in accordance with this Schedule I) (i) to perform his employment duties in any material respect or (ii) to follow specific reasonable directions received from the Firm’s Chief Executive Officer, in each case following written notice to the Executive of such failure and, if such failure is curable, the Executive’s failing to cure such</w:t>
      </w:r>
    </w:p>
    <w:p>
      <w:pPr>
        <w:sectPr>
          <w:pgSz w:w="11900" w:h="16838" w:orient="portrait"/>
          <w:cols w:equalWidth="0" w:num="1">
            <w:col w:w="11420"/>
          </w:cols>
          <w:pgMar w:left="240" w:top="280" w:right="239" w:bottom="1440" w:gutter="0" w:footer="0" w:header="0"/>
        </w:sectPr>
      </w:pPr>
    </w:p>
    <w:bookmarkStart w:id="121" w:name="page122"/>
    <w:bookmarkEnd w:id="121"/>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within a reasonable time (but in no event less than thirty (30) days after actual receipt by the Executive of such written notice); or (D) a breach of the Covenants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(B), (C)(i) and (D) hereof, the Executive’s acts or failure to act shall not constitute Cause to the extent taken (or not taken) based upon the direct instructions of the Firm’s Chief Executive Officer or upon the direct advice of counsel to the Firm. Except in the case of a termination of the Executive’s employment under clause</w:t>
      </w:r>
    </w:p>
    <w:p>
      <w:pPr>
        <w:spacing w:after="0" w:line="1" w:lineRule="exact"/>
        <w:rPr>
          <w:sz w:val="20"/>
          <w:szCs w:val="20"/>
          <w:color w:val="auto"/>
        </w:rPr>
      </w:pPr>
    </w:p>
    <w:p>
      <w:pPr>
        <w:ind w:firstLine="8"/>
        <w:spacing w:after="0" w:line="295" w:lineRule="auto"/>
        <w:tabs>
          <w:tab w:leader="none" w:pos="28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6"/>
          <w:szCs w:val="16"/>
          <w:u w:val="single" w:color="auto"/>
          <w:color w:val="auto"/>
        </w:rPr>
        <w:t>Applicable Board</w:t>
      </w:r>
      <w:r>
        <w:rPr>
          <w:rFonts w:ascii="Arial" w:cs="Arial" w:eastAsia="Arial" w:hAnsi="Arial"/>
          <w:sz w:val="16"/>
          <w:szCs w:val="16"/>
          <w:color w:val="auto"/>
        </w:rPr>
        <w:t>”) finding that, in the good faith opinion of the Applicable Board, circumstances constituting Cause exist.</w:t>
      </w:r>
    </w:p>
    <w:p>
      <w:pPr>
        <w:spacing w:after="0" w:line="1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from those contemplated by Section 3(b) of this Agreement (without regard to the expiration of the Schedule Term), or any other action by the Firm which results in a material diminution in such position (including status, offices, titles and reporting requirements), authority, duties or responsibilities from those contemplated by Section 3(b) of this Agreement (without regard to the expiration of the Schedule Term), (ii) a material breach by the Firm of the terms of this Agreement, including, without limitation, any material failure by the Firm to comply with paragraph 2 of this Schedule I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(if capable of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Multiple</w:t>
      </w:r>
      <w:r>
        <w:rPr>
          <w:rFonts w:ascii="Arial" w:cs="Arial" w:eastAsia="Arial" w:hAnsi="Arial"/>
          <w:sz w:val="18"/>
          <w:szCs w:val="18"/>
          <w:color w:val="auto"/>
        </w:rPr>
        <w:t>” shall equal two (2).</w:t>
      </w:r>
    </w:p>
    <w:p>
      <w:pPr>
        <w:spacing w:after="0" w:line="171" w:lineRule="exact"/>
        <w:rPr>
          <w:sz w:val="20"/>
          <w:szCs w:val="20"/>
          <w:color w:val="auto"/>
        </w:rPr>
      </w:pPr>
    </w:p>
    <w:p>
      <w:pPr>
        <w:jc w:val="both"/>
        <w:ind w:right="20" w:firstLine="464"/>
        <w:spacing w:after="0" w:line="306" w:lineRule="auto"/>
        <w:tabs>
          <w:tab w:leader="none" w:pos="63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Certain Limitations on Payments</w:t>
      </w:r>
      <w:r>
        <w:rPr>
          <w:rFonts w:ascii="Arial" w:cs="Arial" w:eastAsia="Arial" w:hAnsi="Arial"/>
          <w:sz w:val="16"/>
          <w:szCs w:val="16"/>
          <w:color w:val="auto"/>
        </w:rPr>
        <w:t>.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w:t>
      </w:r>
      <w:r>
        <w:rPr>
          <w:rFonts w:ascii="Arial" w:cs="Arial" w:eastAsia="Arial" w:hAnsi="Arial"/>
          <w:sz w:val="16"/>
          <w:szCs w:val="16"/>
          <w:u w:val="single" w:color="auto"/>
          <w:color w:val="auto"/>
        </w:rPr>
        <w:t>Accountant</w:t>
      </w:r>
      <w:r>
        <w:rPr>
          <w:rFonts w:ascii="Arial" w:cs="Arial" w:eastAsia="Arial" w:hAnsi="Arial"/>
          <w:sz w:val="16"/>
          <w:szCs w:val="16"/>
          <w:color w:val="auto"/>
        </w:rPr>
        <w:t>”), which determination</w:t>
      </w:r>
    </w:p>
    <w:p>
      <w:pPr>
        <w:sectPr>
          <w:pgSz w:w="11900" w:h="16838" w:orient="portrait"/>
          <w:cols w:equalWidth="0" w:num="1">
            <w:col w:w="11400"/>
          </w:cols>
          <w:pgMar w:left="240" w:top="280" w:right="2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certified by the Accountant and set forth in a certificate delivered to the Executive setting forth in reasonable detail the basis of the Accountant’s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determinations, that the aggregate amount of the payments, distributions, benefits and entitlements in the nature of compensation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280G(B)(2) of the Code) by the Firm or any affiliate to or for the Executive’s benefit (including any payment, distribution, benefit or entitlement made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person or entity effecting a change of control), in each case, that constitute “parachute payments” within the meaning of Section 280G of the Code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that, but for this paragraph 5 of this Schedule I, would be payable to the Executive, exceeds the greatest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that could be paid to the Executive without giving rise to any liability for any excise tax imposed by Section 4999 of the Code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 provision thereto) or any similar tax imposed by state or local law (such tax or taxes being hereafter collectively referred to as the “</w:t>
      </w:r>
      <w:r>
        <w:rPr>
          <w:rFonts w:ascii="Arial" w:cs="Arial" w:eastAsia="Arial" w:hAnsi="Arial"/>
          <w:sz w:val="16"/>
          <w:szCs w:val="16"/>
          <w:u w:val="single" w:color="auto"/>
          <w:color w:val="auto"/>
        </w:rPr>
        <w:t>Excise Tax</w:t>
      </w:r>
      <w:r>
        <w:rPr>
          <w:rFonts w:ascii="Arial" w:cs="Arial" w:eastAsia="Arial" w:hAnsi="Arial"/>
          <w:sz w:val="16"/>
          <w:szCs w:val="16"/>
          <w:color w:val="auto"/>
        </w:rPr>
        <w: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Parachute Payments payable to the Executive shall equal the amount that produces the greatest after-tax benefit to the Executive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taking into account first any positions to mitigate such Excise Tax (including, without limitation, mitigation under a “reasonable compensation” analysis)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second any Excise Tax payable by the Executive. For the avoidance of doubt, this provision shall reduce the amount of Parachute Payments otherwise payable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Executive, only if doing so would place the Executive in a better net after-tax economic position as compared with not doing so (taking into account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Excise Tax payable in respect of such Parachute Payments). The Firm shall reduce or eliminate the Parachute Payments, as necessary, by first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eliminating the portion of the Parachute Payments provided under this Agreement (the “</w:t>
      </w:r>
      <w:r>
        <w:rPr>
          <w:rFonts w:ascii="Arial" w:cs="Arial" w:eastAsia="Arial" w:hAnsi="Arial"/>
          <w:sz w:val="16"/>
          <w:szCs w:val="16"/>
          <w:u w:val="single" w:color="auto"/>
          <w:color w:val="auto"/>
        </w:rPr>
        <w:t>Agreement Payments</w:t>
      </w:r>
      <w:r>
        <w:rPr>
          <w:rFonts w:ascii="Arial" w:cs="Arial" w:eastAsia="Arial" w:hAnsi="Arial"/>
          <w:sz w:val="16"/>
          <w:szCs w:val="16"/>
          <w:color w:val="auto"/>
        </w:rPr>
        <w:t>”) that are payable in cash and then by reducing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eliminating the non-cash portion of the Agreement Payments, in each case, in reverse order beginning with payments or benefits that are to be paid the furthest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 from the Date of Termination. For purposes of reducing the Parachute Payments to the Executive, only the Agreement Payments (and no other Parachute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Payments) shall be reduced.</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making determinations under this paragraph 5 of this Schedule I and determining the Excise Tax (if any), the Accountant shall take into account the value of any reasonable compensation for services to be rendered by the Executive before or after the change of control, including, without limitation,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paragraph 3 of this Schedule I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paragraph 5 of this Schedule I shall be borne by the Firm, and the Firm shall reimburse the Executive for all reasonable legal fees incurred with respect to the calculations under this paragraph 5 of this Schedule I and any reasonable legal and accounting fees incurred with respect to disputes related thereto.</w:t>
      </w:r>
    </w:p>
    <w:p>
      <w:pPr>
        <w:spacing w:after="0" w:line="123" w:lineRule="exact"/>
        <w:rPr>
          <w:sz w:val="20"/>
          <w:szCs w:val="20"/>
          <w:color w:val="auto"/>
        </w:rPr>
      </w:pPr>
    </w:p>
    <w:p>
      <w:pPr>
        <w:ind w:right="20" w:firstLine="464"/>
        <w:spacing w:after="0" w:line="259" w:lineRule="auto"/>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the intention of the parties that the payments and benefits to which the Executive could become entitled pursuant to this Agreement (including this Schedule I), as well as the termination of the Executive’s employment under this Agreement, comply with or are exempt from Section 409A of the Code. Any payments that qualify for the “short-term</w:t>
      </w:r>
    </w:p>
    <w:p>
      <w:pPr>
        <w:sectPr>
          <w:pgSz w:w="11900" w:h="16838" w:orient="portrait"/>
          <w:cols w:equalWidth="0" w:num="1">
            <w:col w:w="11400"/>
          </w:cols>
          <w:pgMar w:left="240" w:top="280" w:right="259" w:bottom="1440" w:gutter="0" w:footer="0" w:header="0"/>
        </w:sectPr>
      </w:pPr>
    </w:p>
    <w:bookmarkStart w:id="123" w:name="page124"/>
    <w:bookmarkEnd w:id="12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paragraph 3 of this Schedule I on account of the Executive’s termination of employment which is an “involuntary separation from service” (within the meaning of Treasury Regulation Section 1.409A-1(n)) shall be paid as provided under paragraph 3 of this Schedule I and in no event later than March 15 of the year following the year in which the Date of Termination occurs. In the event the parties determine that the terms of this Agreement, including this Schedule I, do not comply with Section 409A of the Code, they will negotiate reasonably and in good faith to amend the terms of this Agreement and/or Schedule I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 this Agreement (including this Schedule I)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Schedule I or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6"/>
          <w:szCs w:val="16"/>
          <w:u w:val="single" w:color="auto"/>
          <w:color w:val="auto"/>
        </w:rPr>
        <w:t>Interest</w:t>
      </w:r>
      <w:r>
        <w:rPr>
          <w:rFonts w:ascii="Arial" w:cs="Arial" w:eastAsia="Arial" w:hAnsi="Arial"/>
          <w:sz w:val="16"/>
          <w:szCs w:val="16"/>
          <w:color w:val="auto"/>
        </w:rPr>
        <w:t>”) determined as of the Date of Termination, as provided below in this paragraph 6 of this Schedule I.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or this Schedule I, as the case may be.</w:t>
      </w:r>
    </w:p>
    <w:p>
      <w:pPr>
        <w:sectPr>
          <w:pgSz w:w="11900" w:h="16838" w:orient="portrait"/>
          <w:cols w:equalWidth="0" w:num="1">
            <w:col w:w="11400"/>
          </w:cols>
          <w:pgMar w:left="240" w:top="280" w:right="259" w:bottom="1440" w:gutter="0" w:footer="0" w:header="0"/>
        </w:sectPr>
      </w:pPr>
    </w:p>
    <w:bookmarkStart w:id="124" w:name="page125"/>
    <w:bookmarkEnd w:id="124"/>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u w:val="single" w:color="auto"/>
          <w:color w:val="auto"/>
        </w:rPr>
        <w:t>Section 3(b)</w:t>
      </w:r>
      <w:r>
        <w:rPr>
          <w:rFonts w:ascii="Arial" w:cs="Arial" w:eastAsia="Arial" w:hAnsi="Arial"/>
          <w:sz w:val="16"/>
          <w:szCs w:val="16"/>
          <w:color w:val="auto"/>
        </w:rPr>
        <w:t>. Section 3(b) of this Agreement is hereby amended to replace the first sentence thereof with the following: During the Schedule Term (as defined in Schedule I attached hereto), the Executive shall continue to (i) serve as the Chief Operating Officer of PubliCo and Lazard, with such authority, duties and responsibilities as are consistent with the authority, duties and responsibilities exercised by the Executive on the Second Amendment Effective Date (as defined in Schedule I attached hereto), (ii) report directly to the Firm’s Chief Executive Officer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w:t>
      </w:r>
    </w:p>
    <w:p>
      <w:pPr>
        <w:spacing w:after="0" w:line="120" w:lineRule="exact"/>
        <w:rPr>
          <w:sz w:val="20"/>
          <w:szCs w:val="20"/>
          <w:color w:val="auto"/>
        </w:rPr>
      </w:pPr>
    </w:p>
    <w:p>
      <w:pPr>
        <w:ind w:right="200" w:firstLine="456"/>
        <w:spacing w:after="0" w:line="301" w:lineRule="auto"/>
        <w:rPr>
          <w:sz w:val="20"/>
          <w:szCs w:val="20"/>
          <w:color w:val="auto"/>
        </w:rPr>
      </w:pPr>
      <w:r>
        <w:rPr>
          <w:rFonts w:ascii="Arial" w:cs="Arial" w:eastAsia="Arial" w:hAnsi="Arial"/>
          <w:sz w:val="15"/>
          <w:szCs w:val="15"/>
          <w:u w:val="single" w:color="auto"/>
          <w:color w:val="auto"/>
        </w:rPr>
        <w:t>Section 5(a)</w:t>
      </w:r>
      <w:r>
        <w:rPr>
          <w:rFonts w:ascii="Arial" w:cs="Arial" w:eastAsia="Arial" w:hAnsi="Arial"/>
          <w:sz w:val="15"/>
          <w:szCs w:val="15"/>
          <w:color w:val="auto"/>
        </w:rPr>
        <w:t xml:space="preserve">. </w:t>
      </w:r>
      <w:r>
        <w:rPr>
          <w:rFonts w:ascii="Arial" w:cs="Arial" w:eastAsia="Arial" w:hAnsi="Arial"/>
          <w:sz w:val="15"/>
          <w:szCs w:val="15"/>
          <w:u w:val="single" w:color="auto"/>
          <w:color w:val="auto"/>
        </w:rPr>
        <w:t>Noncompetition</w:t>
      </w:r>
      <w:r>
        <w:rPr>
          <w:rFonts w:ascii="Arial" w:cs="Arial" w:eastAsia="Arial" w:hAnsi="Arial"/>
          <w:sz w:val="15"/>
          <w:szCs w:val="15"/>
          <w:color w:val="auto"/>
        </w:rPr>
        <w:t>. Section 5(a) of this Agreement is hereby amended and restated in its entirety to read as follows: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w:t>
      </w:r>
    </w:p>
    <w:p>
      <w:pPr>
        <w:spacing w:after="0" w:line="5" w:lineRule="exact"/>
        <w:rPr>
          <w:sz w:val="20"/>
          <w:szCs w:val="20"/>
          <w:color w:val="auto"/>
        </w:rPr>
      </w:pPr>
    </w:p>
    <w:p>
      <w:pPr>
        <w:ind w:firstLine="8"/>
        <w:spacing w:after="0" w:line="285" w:lineRule="auto"/>
        <w:tabs>
          <w:tab w:leader="none" w:pos="21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three months after the Date of Termination for any reason other than a termination by the Firm without Cause or by the Executive for Good Reason or (ii) one month after the Date of Termination by the Firm without Cause or by the Executive for Good Reason (such period, the “</w:t>
      </w:r>
      <w:r>
        <w:rPr>
          <w:rFonts w:ascii="Arial" w:cs="Arial" w:eastAsia="Arial" w:hAnsi="Arial"/>
          <w:sz w:val="16"/>
          <w:szCs w:val="16"/>
          <w:u w:val="single" w:color="auto"/>
          <w:color w:val="auto"/>
        </w:rPr>
        <w:t>Noncompete 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ectPr>
          <w:pgSz w:w="11900" w:h="16838" w:orient="portrait"/>
          <w:cols w:equalWidth="0" w:num="1">
            <w:col w:w="11420"/>
          </w:cols>
          <w:pgMar w:left="240" w:top="280" w:right="239" w:bottom="1440" w:gutter="0" w:footer="0" w:header="0"/>
        </w:sectPr>
      </w:pPr>
    </w:p>
    <w:bookmarkStart w:id="125" w:name="page126"/>
    <w:bookmarkEnd w:id="125"/>
    <w:p>
      <w:pPr>
        <w:ind w:right="180" w:firstLine="45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Nonsolicitation of Clients</w:t>
      </w:r>
      <w:r>
        <w:rPr>
          <w:rFonts w:ascii="Arial" w:cs="Arial" w:eastAsia="Arial" w:hAnsi="Arial"/>
          <w:sz w:val="18"/>
          <w:szCs w:val="18"/>
          <w:color w:val="auto"/>
        </w:rPr>
        <w:t>. Section 6 of this Agreement is hereby amended to replace the definition of “Client” with the following definition: “Client” means any client or prospective client of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Nondisparagement</w:t>
      </w:r>
      <w:r>
        <w:rPr>
          <w:rFonts w:ascii="Arial" w:cs="Arial" w:eastAsia="Arial" w:hAnsi="Arial"/>
          <w:sz w:val="16"/>
          <w:szCs w:val="16"/>
          <w:color w:val="auto"/>
        </w:rPr>
        <w:t>. Section 8 of this Agreement is hereby amended to add the following sentences immediately following the first sentence of such section: The Firm (including, without limitation,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 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Arbitration</w:t>
      </w:r>
      <w:r>
        <w:rPr>
          <w:rFonts w:ascii="Arial" w:cs="Arial" w:eastAsia="Arial" w:hAnsi="Arial"/>
          <w:sz w:val="16"/>
          <w:szCs w:val="16"/>
          <w:color w:val="auto"/>
        </w:rPr>
        <w:t>. Section 12 of this Agreement is hereby amended (i) to replace all references to “the New York Stock Exchange, Inc.” and the “NYSE” with references to the “Financial Industry Regulatory Authority” and “FINRA”, as applicable, and (ii) to add the following sentences at the end of such section: Prior to a Change in Control (as defined in Schedule I attached hereto), each party shall bear its own costs and expenses of any such arbitration. Following a Change in Control, Lazard shall pay to the Executive, as incurred, all legal fees and expenses reasonably incurred by the Executive or with respect to the Executive during his lifetime or within ten years after his death in connection with any contest by Lazard, the Executive or others of the validity or enforceability of, or liability under, any provision of this Agreement or any guarantee of performance thereof (including any action to compel arbitration or enforce any arbitration award or as a result of any contest by the Executive about the amount of any payment pursuant to this Agreement, and whether or not any such contest is under Section 12 or 13 of this Agreement or otherwise), plus Interest (as defined in Schedule I attached hereto) determined as of the date such legal fees and expenses were incurred; provided that, the Executive shall promptly repay to Lazard all such amounts if the Executive fails to prevail on at least one material issue in dispute in any such contest.</w:t>
      </w:r>
    </w:p>
    <w:p>
      <w:pPr>
        <w:spacing w:after="0" w:line="12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u w:val="single" w:color="auto"/>
          <w:color w:val="auto"/>
        </w:rPr>
        <w:t>Section 16(b)</w:t>
      </w:r>
      <w:r>
        <w:rPr>
          <w:rFonts w:ascii="Arial" w:cs="Arial" w:eastAsia="Arial" w:hAnsi="Arial"/>
          <w:sz w:val="18"/>
          <w:szCs w:val="18"/>
          <w:color w:val="auto"/>
        </w:rPr>
        <w:t>. Paragraphs 2, 3, 4, 5 and 6 of this Schedule I and Sections 16(i) and (j) of this Agreement are hereby added to the list of sections in Section 16(b) of this Agreement.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ectPr>
          <w:pgSz w:w="11900" w:h="16838" w:orient="portrait"/>
          <w:cols w:equalWidth="0" w:num="1">
            <w:col w:w="11380"/>
          </w:cols>
          <w:pgMar w:left="240" w:top="280" w:right="2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16(i) and (j)</w:t>
      </w:r>
      <w:r>
        <w:rPr>
          <w:rFonts w:ascii="Arial" w:cs="Arial" w:eastAsia="Arial" w:hAnsi="Arial"/>
          <w:sz w:val="18"/>
          <w:szCs w:val="18"/>
          <w:color w:val="auto"/>
        </w:rPr>
        <w:t>. Section 16 of this Agreement is hereby amended to add the following new subsections:</w:t>
      </w:r>
    </w:p>
    <w:p>
      <w:pPr>
        <w:spacing w:after="0" w:line="90" w:lineRule="exact"/>
        <w:rPr>
          <w:sz w:val="20"/>
          <w:szCs w:val="20"/>
          <w:color w:val="auto"/>
        </w:rPr>
      </w:pPr>
    </w:p>
    <w:p>
      <w:pPr>
        <w:ind w:firstLine="443"/>
        <w:spacing w:after="0" w:line="294" w:lineRule="auto"/>
        <w:tabs>
          <w:tab w:leader="none" w:pos="64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after-tax cost to the Executive of such benefits be greater than the cost applicable to similarly situated executives of the Firm who have not terminated employment or, following a Change in Control (as defined in Schedule I attached hereto), the cost applicable to the Executive immediately prior to the Change in Control, if more favorable to the Executive.</w:t>
      </w:r>
    </w:p>
    <w:p>
      <w:pPr>
        <w:spacing w:after="0" w:line="34" w:lineRule="exact"/>
        <w:rPr>
          <w:rFonts w:ascii="Arial" w:cs="Arial" w:eastAsia="Arial" w:hAnsi="Arial"/>
          <w:sz w:val="16"/>
          <w:szCs w:val="16"/>
          <w:color w:val="auto"/>
        </w:rPr>
      </w:pPr>
    </w:p>
    <w:p>
      <w:pPr>
        <w:ind w:right="660" w:firstLine="443"/>
        <w:spacing w:after="0" w:line="268"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31" w:lineRule="exact"/>
        <w:rPr>
          <w:rFonts w:ascii="Arial" w:cs="Arial" w:eastAsia="Arial" w:hAnsi="Arial"/>
          <w:sz w:val="18"/>
          <w:szCs w:val="18"/>
          <w:color w:val="auto"/>
        </w:rPr>
      </w:pPr>
    </w:p>
    <w:p>
      <w:pPr>
        <w:ind w:left="-460" w:right="40" w:firstLine="464"/>
        <w:spacing w:after="0" w:line="306" w:lineRule="auto"/>
        <w:tabs>
          <w:tab w:leader="none" w:pos="17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Second Amendment may be executed in any number of counterparts, each of which shall be an original and all of which, when taken together, will constitute one and the same instrument. Delivery of an executed counterpart of a signature page of this Second Amendment by facsimile transmission or electronic means (including by “pdf”) shall be effective as delivery of a manually executed counterpart of this Second Amendment.</w:t>
      </w:r>
    </w:p>
    <w:p>
      <w:pPr>
        <w:sectPr>
          <w:pgSz w:w="11900" w:h="16838" w:orient="portrait"/>
          <w:cols w:equalWidth="0" w:num="1">
            <w:col w:w="10920"/>
          </w:cols>
          <w:pgMar w:left="700" w:top="280" w:right="27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AFS</w:t>
            </w:r>
          </w:p>
        </w:tc>
        <w:tc>
          <w:tcPr>
            <w:tcW w:w="1940" w:type="dxa"/>
            <w:vAlign w:val="bottom"/>
          </w:tcPr>
          <w:p>
            <w:pPr>
              <w:ind w:left="120"/>
              <w:spacing w:after="0"/>
              <w:rPr>
                <w:sz w:val="20"/>
                <w:szCs w:val="20"/>
                <w:color w:val="auto"/>
              </w:rPr>
            </w:pPr>
            <w:r>
              <w:rPr>
                <w:rFonts w:ascii="Arial" w:cs="Arial" w:eastAsia="Arial" w:hAnsi="Arial"/>
                <w:sz w:val="18"/>
                <w:szCs w:val="18"/>
                <w:color w:val="auto"/>
                <w:w w:val="90"/>
              </w:rPr>
              <w:t>Initialed by the Executive</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940" w:type="dxa"/>
            <w:vAlign w:val="bottom"/>
          </w:tcPr>
          <w:p>
            <w:pPr>
              <w:ind w:left="120"/>
              <w:spacing w:after="0"/>
              <w:rPr>
                <w:sz w:val="20"/>
                <w:szCs w:val="20"/>
                <w:color w:val="auto"/>
              </w:rPr>
            </w:pPr>
            <w:r>
              <w:rPr>
                <w:rFonts w:ascii="Arial" w:cs="Arial" w:eastAsia="Arial" w:hAnsi="Arial"/>
                <w:sz w:val="18"/>
                <w:szCs w:val="18"/>
                <w:color w:val="auto"/>
              </w:rPr>
              <w:t>Initialed by Lazard</w:t>
            </w:r>
          </w:p>
        </w:tc>
      </w:tr>
      <w:tr>
        <w:trPr>
          <w:trHeight w:val="33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SDH</w:t>
            </w:r>
          </w:p>
        </w:tc>
        <w:tc>
          <w:tcPr>
            <w:tcW w:w="1940" w:type="dxa"/>
            <w:vAlign w:val="bottom"/>
          </w:tcPr>
          <w:p>
            <w:pPr>
              <w:ind w:left="120"/>
              <w:spacing w:after="0"/>
              <w:rPr>
                <w:sz w:val="20"/>
                <w:szCs w:val="20"/>
                <w:color w:val="auto"/>
              </w:rPr>
            </w:pPr>
            <w:r>
              <w:rPr>
                <w:rFonts w:ascii="Arial" w:cs="Arial" w:eastAsia="Arial" w:hAnsi="Arial"/>
                <w:sz w:val="18"/>
                <w:szCs w:val="18"/>
                <w:color w:val="auto"/>
              </w:rPr>
              <w:t>Initialed by PubliCo</w:t>
            </w:r>
          </w:p>
        </w:tc>
      </w:tr>
    </w:tbl>
    <w:p>
      <w:pPr>
        <w:ind w:left="12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8" w:name="page129"/>
    <w:bookmarkEnd w:id="128"/>
    <w:p>
      <w:pPr>
        <w:jc w:val="right"/>
        <w:spacing w:after="0"/>
        <w:rPr>
          <w:sz w:val="20"/>
          <w:szCs w:val="20"/>
          <w:color w:val="auto"/>
        </w:rPr>
      </w:pPr>
      <w:r>
        <w:rPr>
          <w:rFonts w:ascii="Arial" w:cs="Arial" w:eastAsia="Arial" w:hAnsi="Arial"/>
          <w:sz w:val="18"/>
          <w:szCs w:val="18"/>
          <w:color w:val="auto"/>
        </w:rPr>
        <w:t>Exhibit 10.53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STOCK UNIT AGREEMENT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AGREEMENT, dated as of [DATE], between Lazard Ltd, a Bermuda exempted company (the “Company”),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 follows:</w:t>
      </w:r>
    </w:p>
    <w:p>
      <w:pPr>
        <w:spacing w:after="0" w:line="269" w:lineRule="exact"/>
        <w:rPr>
          <w:sz w:val="20"/>
          <w:szCs w:val="20"/>
          <w:color w:val="auto"/>
        </w:rPr>
      </w:pPr>
    </w:p>
    <w:p>
      <w:pPr>
        <w:ind w:left="420" w:hanging="184"/>
        <w:spacing w:after="0"/>
        <w:tabs>
          <w:tab w:leader="none" w:pos="4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Performance-Based Stock Units.</w:t>
      </w:r>
    </w:p>
    <w:p>
      <w:pPr>
        <w:spacing w:after="0" w:line="96" w:lineRule="exact"/>
        <w:rPr>
          <w:rFonts w:ascii="Arial" w:cs="Arial" w:eastAsia="Arial" w:hAnsi="Arial"/>
          <w:sz w:val="18"/>
          <w:szCs w:val="18"/>
          <w:b w:val="1"/>
          <w:bCs w:val="1"/>
          <w:color w:val="auto"/>
        </w:rPr>
      </w:pPr>
    </w:p>
    <w:p>
      <w:pPr>
        <w:ind w:right="100" w:firstLine="464"/>
        <w:spacing w:after="0" w:line="291" w:lineRule="auto"/>
        <w:tabs>
          <w:tab w:leader="none" w:pos="69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a target number of [TARGET NUMBER OF UNITS] performance-based Stock Units (the “Stock Units”), each with respect to one Share. Subject to the terms and conditions set forth in this Agreement, the Employee will actually earn (or be deemed to earn) a number of Stock Units that is between 0% and 300% of the target number of Stock Units subject to this Agreement, such number of earned Stock Units to be determined based on achievement of the performance goals set forth on Appendix A (the “Performance Conditions”).</w:t>
      </w:r>
    </w:p>
    <w:p>
      <w:pPr>
        <w:spacing w:after="0" w:line="120" w:lineRule="exact"/>
        <w:rPr>
          <w:rFonts w:ascii="Arial" w:cs="Arial" w:eastAsia="Arial" w:hAnsi="Arial"/>
          <w:sz w:val="16"/>
          <w:szCs w:val="16"/>
          <w:color w:val="auto"/>
        </w:rPr>
      </w:pPr>
    </w:p>
    <w:p>
      <w:pPr>
        <w:ind w:right="500" w:firstLine="464"/>
        <w:spacing w:after="0" w:line="268" w:lineRule="auto"/>
        <w:tabs>
          <w:tab w:leader="none" w:pos="70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if each of the following two conditions has been satisfied:</w:t>
      </w:r>
    </w:p>
    <w:p>
      <w:pPr>
        <w:spacing w:after="0" w:line="50" w:lineRule="exact"/>
        <w:rPr>
          <w:rFonts w:ascii="Arial" w:cs="Arial" w:eastAsia="Arial" w:hAnsi="Arial"/>
          <w:sz w:val="18"/>
          <w:szCs w:val="18"/>
          <w:color w:val="auto"/>
        </w:rPr>
      </w:pPr>
    </w:p>
    <w:p>
      <w:pPr>
        <w:jc w:val="both"/>
        <w:ind w:left="1480" w:right="220" w:hanging="567"/>
        <w:spacing w:after="0" w:line="259" w:lineRule="auto"/>
        <w:tabs>
          <w:tab w:leader="none" w:pos="148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 xml:space="preserve">The Employee has remained continuously employed by the Company or any of its Affiliates until, with respect to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xml:space="preserve">rd of the Stock Units, [DATE] and, with respect to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rds of the Stock Units, [DATE] (such date, as applicable, the “Final Service Date”, and such condition, the “Service Condition”); and</w:t>
      </w:r>
    </w:p>
    <w:p>
      <w:pPr>
        <w:spacing w:after="0" w:line="59" w:lineRule="exact"/>
        <w:rPr>
          <w:rFonts w:ascii="Arial" w:cs="Arial" w:eastAsia="Arial" w:hAnsi="Arial"/>
          <w:sz w:val="18"/>
          <w:szCs w:val="18"/>
          <w:color w:val="auto"/>
        </w:rPr>
      </w:pPr>
    </w:p>
    <w:p>
      <w:pPr>
        <w:ind w:left="1480" w:right="40" w:hanging="567"/>
        <w:spacing w:after="0" w:line="291" w:lineRule="auto"/>
        <w:tabs>
          <w:tab w:leader="none" w:pos="148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 xml:space="preserve">The Committee concludes that during the period beginning on [DATE] and ending on [DATE] (the “Performance Period”), the Company has achieved the Performance Conditions and specifies the level at which the Stock Units shall vest, based on the scoring and weighting provisions set forth in Appendix 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in its sole discretion, may interpret the goals and scoring set forth in Appendix A as it deems necessary or appropriate (including, without limitation, to the extent necessary to address extraordinary events or circumstances). The score achieved based on Appendix A (which may range from 0.0 to 3.0) will be multiplied by the total target number of Stock Units in order to determine the number of Stock Units that may vest upon satisfaction of the</w:t>
      </w:r>
    </w:p>
    <w:p>
      <w:pPr>
        <w:sectPr>
          <w:pgSz w:w="11900" w:h="16838" w:orient="portrait"/>
          <w:cols w:equalWidth="0" w:num="1">
            <w:col w:w="11420"/>
          </w:cols>
          <w:pgMar w:left="240" w:top="131" w:right="239" w:bottom="1440" w:gutter="0" w:footer="0" w:header="0"/>
        </w:sectPr>
      </w:pPr>
    </w:p>
    <w:bookmarkStart w:id="129" w:name="page130"/>
    <w:bookmarkEnd w:id="129"/>
    <w:p>
      <w:pPr>
        <w:ind w:left="14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Condition. Furthermore, the Committee shall determine, following the end of each fiscal year during the Performance Period, the extent to which the Company has achieved the Performance Conditions with respect to such fiscal year and, in the event that the Performance Conditions in that year have been achieved at the target level (</w:t>
      </w:r>
      <w:r>
        <w:rPr>
          <w:rFonts w:ascii="Arial" w:cs="Arial" w:eastAsia="Arial" w:hAnsi="Arial"/>
          <w:sz w:val="16"/>
          <w:szCs w:val="16"/>
          <w:u w:val="single" w:color="auto"/>
          <w:color w:val="auto"/>
        </w:rPr>
        <w:t>i.e.</w:t>
      </w:r>
      <w:r>
        <w:rPr>
          <w:rFonts w:ascii="Arial" w:cs="Arial" w:eastAsia="Arial" w:hAnsi="Arial"/>
          <w:sz w:val="16"/>
          <w:szCs w:val="16"/>
          <w:color w:val="auto"/>
        </w:rPr>
        <w:t>, the 1.0x level) or above, then the Performance Condition will be deemed satisfied with respect to twenty-five percent (25%) of the total target number of Stock Units (any such Stock Units that are earned in accordance with this sentence, the “Fiscal Year Stock Units”). Any Fiscal Year Stock Units will vest upon satisfaction (or deemed satisfaction) of the applicable Service Condition in accordance with Section 1(b)(i) above or Section 1(d) or 1(f) below, and any such Fiscal Year Stock Units will be allocated on a pro rata basis to each Final Service Date in the same proportions as set forth in Section 1(b)(i). In the event that the Committee makes any conclusion regarding achievement of the Performance Conditions for the full Performance Period (or, in the case of Section 1(d)(i) or 1(f)(i), for a portion thereof), any Fiscal Year Stock Units will be applied to reduce the number of Stock Units that would otherwise be earned in accordance with this Agreement.</w:t>
      </w:r>
    </w:p>
    <w:p>
      <w:pPr>
        <w:spacing w:after="0" w:line="123" w:lineRule="exact"/>
        <w:rPr>
          <w:sz w:val="20"/>
          <w:szCs w:val="20"/>
          <w:color w:val="auto"/>
        </w:rPr>
      </w:pPr>
    </w:p>
    <w:p>
      <w:pPr>
        <w:ind w:right="100" w:firstLine="464"/>
        <w:spacing w:after="0" w:line="291" w:lineRule="auto"/>
        <w:tabs>
          <w:tab w:leader="none" w:pos="69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applicable Final Service Date for any reason not set forth in Section 1(d), all unvested Stock Units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shall be forfeited by the Employee immediately upon delivery of any such notice. In addition, all unvested Stock Units shall be forfeited by the Employee to the extent that, following the last day of the Performance Period (or such earlier date as specified in Section 1(d) or 1(f)), the Performance Conditions with respect to such Stock Units have not been satisfied.</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(d)(i) Except as set forth in Section 1(f) below, in the event that the Employee incurs a Termination of Employment prior to the applicable Final Service Date due to (A) the Employee’s Disability, (B) the Employee’s death or (C) a Termination of Employment by the Company other than for Cause, all Stock Units held by the Employee on the Date of Termination shall no longer be subject to the Performance Conditions and the Service Condition and shall be settled as set forth in Section 1(d)(iii) or Section 2 below but shall remain subject to forfeiture pursuant to Section 1(e) through the applicable Final Service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Termination of Employment due to an Employee’s death as described in clause (B) of this Section 1(d)(i) or in the case of the Employee’s death subsequent to a Termination of Employment described in this Section 1(d), the Stock Units will immediately vest upon the date of death (or, in the event the Employee’s death occurs during the final quarter of the Performance Period, as soon as practicable following the date that the Committee determines the extent to which the Performance Conditions have been satisfied). The Stock Units shall vest based on (1) the actual performance level achieved during the period beginning on the first day of the Performance Period and ending on the last day of the most recent fiscal quarter preceding the Date of Termination (or, if the Date of Termination occurs more than halfway through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0" w:name="page131"/>
    <w:bookmarkEnd w:id="13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fiscal quarter, the last day of such current fiscal quarter), as determined by the Committee, and (2) the target level for the period beginning on the first day of the following fiscal quarter through the last day of the Performance Period.</w:t>
      </w:r>
    </w:p>
    <w:p>
      <w:pPr>
        <w:spacing w:after="0" w:line="51" w:lineRule="exact"/>
        <w:rPr>
          <w:sz w:val="20"/>
          <w:szCs w:val="20"/>
          <w:color w:val="auto"/>
        </w:rPr>
      </w:pPr>
    </w:p>
    <w:p>
      <w:pPr>
        <w:ind w:left="1480" w:right="20" w:hanging="567"/>
        <w:spacing w:after="0" w:line="286" w:lineRule="auto"/>
        <w:tabs>
          <w:tab w:leader="none" w:pos="1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Except as set forth in Section 1(f) below, in the event that the Employee incurs a Termination of Employment prior to the applicable Final Service Date due to the Employee’s Retirement (as defined below), all Stock Units held by the Employee on the Date of Termination (and, in the event that any Stock Units have been settled prior to such date in accordance with Section 1(d)(iii) or Section 2 below, all Remaining Shares) shall no longer be subject to the Service Condition and, following satisfaction of the Performance Conditions, shall be settled as set forth in Section 1(d)(iii) below (unless already settled pursuant to such section prior to Termination of Employment) but shall remain subject to forfeiture pursuant to Section 1(e) through the applicable Final Service Date. Such Stock Units (or, if applicable, Remaining Shares) shall vest at the level determined by the Committee following the last day of the Performance Period, based on actual performance during the Performance Period. For purposes of this Agreement, “Retirement” shall mean that the Employee voluntarily incurs a Termination of Employment on or after the date on which the Employee meets all of the following retirement eligibility requirements (such date, the “Retirement Eligibility Date”): (A) minimum age fifty-six (56); (B) minimum of five (5) years service with the Company or its Affiliates; and (C) actual age plus years of service with the Company or any of its Affiliates at least seventy (70).</w:t>
      </w:r>
    </w:p>
    <w:p>
      <w:pPr>
        <w:spacing w:after="0" w:line="46" w:lineRule="exact"/>
        <w:rPr>
          <w:rFonts w:ascii="Arial" w:cs="Arial" w:eastAsia="Arial" w:hAnsi="Arial"/>
          <w:sz w:val="16"/>
          <w:szCs w:val="16"/>
          <w:color w:val="auto"/>
        </w:rPr>
      </w:pPr>
    </w:p>
    <w:p>
      <w:pPr>
        <w:ind w:left="1480" w:hanging="567"/>
        <w:spacing w:after="0" w:line="286" w:lineRule="auto"/>
        <w:tabs>
          <w:tab w:leader="none" w:pos="14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Subject to the final sentence of Section 2 below, all Shares underlying the Stock Units for which the Performance Conditions have been satisfied (or are deemed to be satisfied, in accordance with Section 1(d)(i) or Section 4) shall be delivered to the Employee within 30 days following the later of (A) the date that the Employee is no longer required to perform any additional services in order to retain such Stock Units (which shall occur upon the earlier of Retirement Eligibility Date and any Termination of Employment under the circumstances specified in Section 1(d)(i) above) and (B) the date that the Committee determines the extent to which the Performance Conditions have been satisfied (the date that Shares are delivered to the Employee is an “Initial Delivery Date”). For the avoidance of doubt, there may be multiple Initial Delivery Dates for purposes of this Agreement (including as a result of achievement of Performance Conditions applicable to the Fiscal Year Stock Units and as a result of the Dividend Equivalent Stock Units (as defined in Section 4)). Immediately following the Initial Delivery Date with respect to any Stock Units, the Employee will be permitted to dispose of the Applicable Percentage (as defined below) of the Shares (such Shares, the “Transferable Shares”) delivered to the Employee pursuant to the first sentence of this Section 1(d)(iii) immediately following the date that such Shares are delivered to the Employee. For purposes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1" w:name="page132"/>
    <w:bookmarkEnd w:id="131"/>
    <w:p>
      <w:pPr>
        <w:ind w:left="14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“Applicable Percentage” is the percentage of the Shares delivered to the 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until the applicable date that such Remaining Shares otherwise would have been delivered to the Employee in accordance with this Agreement (each such date, a “Final Delivery Date”). Accordingly, prior to the applicable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B, which are incorporated herein by reference (the “Restrictive Covenants”) until the applicable Final Delivery Date.</w:t>
      </w:r>
    </w:p>
    <w:p>
      <w:pPr>
        <w:spacing w:after="0" w:line="123" w:lineRule="exact"/>
        <w:rPr>
          <w:sz w:val="20"/>
          <w:szCs w:val="20"/>
          <w:color w:val="auto"/>
        </w:rPr>
      </w:pPr>
    </w:p>
    <w:p>
      <w:pPr>
        <w:ind w:right="120" w:firstLine="464"/>
        <w:spacing w:after="0" w:line="294" w:lineRule="auto"/>
        <w:tabs>
          <w:tab w:leader="none" w:pos="69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the Restrictive Covenants, all outstanding vested or unvested Stock Units and, if applicable, prior to the relevant Final Delivery Date, all Remaining Shares, shall be forfeited and canceled. Notwithstanding that certain Restricted Covenants in Appendix B apply for only a limited period following Termination of Employment, in the event that the Employee’s employment with the Company or its Affiliate terminates by reason of Retirement, the Employee will forfeit any outstanding Stock Units (and, if applicable, any Remaining Shares) if the Employee does not comply with all of the Restrictive Covenants in Appendix B until the relevant Final Service Date or, as applicable, Final Delivery Date.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(f)(i) Notwithstanding any provision of this Agreement to the contrary, in the event of a Change in Control (as defined in the Plan) that occurs prior to the end of the Performance Period, the Performance Conditions shall no longer apply and, instead, shall be deemed to have been satisfied as of immediately prior to the Change in Control at the greater of (A) the target level and (B) the actual performance level achieved during the period beginning at the start of the Performance Period and ending on the date of such Change in Control, as confirmed by the Committee prior to the Change in Control with any necessary exercise of discretion determined by the Committee prior to the Change in Control.</w:t>
      </w:r>
    </w:p>
    <w:p>
      <w:pPr>
        <w:spacing w:after="0" w:line="35" w:lineRule="exact"/>
        <w:rPr>
          <w:sz w:val="20"/>
          <w:szCs w:val="20"/>
          <w:color w:val="auto"/>
        </w:rPr>
      </w:pPr>
    </w:p>
    <w:p>
      <w:pPr>
        <w:ind w:left="1480" w:right="280" w:hanging="567"/>
        <w:spacing w:after="0" w:line="255" w:lineRule="auto"/>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Section 1(f)(ii) and 1(f)(iii) below, following a Change in Control, the unvested Stock Units (and, if applicable, any Remaining Shares) shall remain outstanding through the applicable Final Service Date or Final Delivery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Employee incurs a Termination of Employment upon or following a Change in Control but prior to the Final Service Date under any of the circumstances described in Section 1(d)(i) or 1(d)(ii) above, the date of such Termination of Employment shall be deemed to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2" w:name="page133"/>
    <w:bookmarkEnd w:id="132"/>
    <w:p>
      <w:pPr>
        <w:ind w:left="14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Delivery Date, and all Shares issued in settlement of such Stock Units shall be Transferable Shares. Furthermore, in the event that the Employee incurs a Termination of Employment under any of the circumstances described in Section 1(d)(i) or 1(d)(ii) above prior to the Final Delivery Date and prior to a Change in Control, upon a Change in Control, the date of the Change in Control shall be deemed to be the Final Service Date for purposes of any Stock Units (and the Final Delivery Date for any Remaining Shares) then held by the Employee and any dividends held by an escrow agent with respect thereto, as set forth in Section 4 below.</w:t>
      </w:r>
    </w:p>
    <w:p>
      <w:pPr>
        <w:spacing w:after="0" w:line="35" w:lineRule="exact"/>
        <w:rPr>
          <w:sz w:val="20"/>
          <w:szCs w:val="20"/>
          <w:color w:val="auto"/>
        </w:rPr>
      </w:pPr>
    </w:p>
    <w:p>
      <w:pPr>
        <w:ind w:left="1480" w:right="60" w:hanging="567"/>
        <w:spacing w:after="0" w:line="288" w:lineRule="auto"/>
        <w:tabs>
          <w:tab w:leader="none" w:pos="14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prior to the applicable Final Service Date, unless (A) either (1) the unvested Stock Units remain outstanding following a Change in Control or (2) provision is made in connection with the Change in Control for assumption of such Stock Units or substitution of such Stock Units for new awards covering equity interests in a successor entity, with appropriate adjustments to the number of Stock Units, as determined by the Committee prior to the Change in Control pursuant to Section 3(b)(ii) of the Plan, and (B) the material terms and conditions of such Stock Units as in effect immediately prior to the Change in Control are preserved following the Change in Control (including, without limitation, with respect to the vesting schedules, the intrinsic value of the Stock Units and transferability of the Shares or other securities underlying the Stock Units prior to and following the Change in Control), the date of the Change in Control shall be deemed to be the Final Service Date for purposes of such Stock Units (and the Final Delivery Date for purposes of any Remaining Shares then outstanding) and such Stock Units shall be settled within 30 days following such date.</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420" w:hanging="184"/>
        <w:spacing w:after="0"/>
        <w:tabs>
          <w:tab w:leader="none" w:pos="4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9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As soon as practicable (but in no event more than 30 days) after any Stock Unit has vested and is no longer subject to the applicable Service Condition and Performance Conditions, the Company shall, subject to Section 1(d) and Section 6, cause its applicable Affiliate to deliver to the Employee one or more unlegended, freely-transferable stock certificates in respect of such Shares issued upon settlement of the vested Stock Units. Notwithstanding the foregoing,</w:t>
      </w:r>
    </w:p>
    <w:p>
      <w:pPr>
        <w:spacing w:after="0" w:line="1" w:lineRule="exact"/>
        <w:rPr>
          <w:sz w:val="20"/>
          <w:szCs w:val="20"/>
          <w:color w:val="auto"/>
        </w:rPr>
      </w:pPr>
    </w:p>
    <w:p>
      <w:pPr>
        <w:ind w:right="40" w:firstLine="8"/>
        <w:spacing w:after="0" w:line="254" w:lineRule="auto"/>
        <w:tabs>
          <w:tab w:leader="none" w:pos="2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63"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33" w:name="page134"/>
    <w:bookmarkEnd w:id="133"/>
    <w:p>
      <w:pPr>
        <w:ind w:left="46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Compensation Plan and an Award Agreement, as well as the terms and conditions of applicable law. Copies of such Plan and Agreement are on file at the offices of Lazard Ltd.”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(or is deemed to occur) with respect to the Remaining Shares, the legend set forth shall be removed from the certificates or book entry credits evidencing such Shares. Notwithstanding any provision of this Agreement to the contrary, Shares will be delivered to the Employee in settlement of any Stock Units no later than seventy (70) days following the date that such Stock Units are no longer subject to a substantial risk of forfeiture within the meaning of Treasury Regulation Section 1.409A-1(d).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Nontransferability of the Stock Units.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Until such time as the Stock Units are ultimately settled as provided in Section 1(d) or Section 2 above, the Stock Units shall not be transferable by the Employee by means of sale, assignment, exchange, encumbrance, pledge, hedge or otherwise.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Dividend Equivalents, Rights as a Shareholder.</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Company declares and pays (or sets a record date with respect to) ordinary quarterly cash dividends on the Common Stock (a) during the Performance Period, the target number of Stock Units (such Stock Units, the “Target Stock Units”) shall be credited with additional Stock Units (determined by dividing the aggregate dividend amount that would have been paid with respect to the Target Stock Units if they had been actual Shares by the Fair Market Value of a Share on the dividend payment date) (such additional Stock Units, the “Dividend Equivalent Stock Units”), which Dividend Equivalent Stock Units (and any additional Dividend Equivalent Stock Units that are granted while the Dividend Equivalent Stock Units are outstanding) shall be subject to the Service Condition and all other terms of this Agreement but shall not be subject to the Performance Condition (</w:t>
      </w:r>
      <w:r>
        <w:rPr>
          <w:rFonts w:ascii="Arial" w:cs="Arial" w:eastAsia="Arial" w:hAnsi="Arial"/>
          <w:sz w:val="16"/>
          <w:szCs w:val="16"/>
          <w:u w:val="single" w:color="auto"/>
          <w:color w:val="auto"/>
        </w:rPr>
        <w:t>i.e.</w:t>
      </w:r>
      <w:r>
        <w:rPr>
          <w:rFonts w:ascii="Arial" w:cs="Arial" w:eastAsia="Arial" w:hAnsi="Arial"/>
          <w:sz w:val="16"/>
          <w:szCs w:val="16"/>
          <w:color w:val="auto"/>
        </w:rPr>
        <w:t>, the Dividend Equivalent Stock Units shall be treated as Stock Units for which the Performance Condition has already been satisfied), or (b) after the Performance Period but while any Stock Units remain outstanding, any then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For the avoidance of doubt, the provisions of the immediately preceding sentence shall not apply to any extraordinary dividends or distributions, which are addressed in Section 3(b)(i) of the Plan.</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subject to Section 1(d) and Section 2 and any other applicable law or agreement, from and after the Initial Delivery Date, the Employee will have all rights and privileges of a shareholder with respect to the Shares delivered on such Initial Delivery Date, including the right to vote the Shares and to receive dividends and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4" w:name="page135"/>
    <w:bookmarkEnd w:id="134"/>
    <w:p>
      <w:pPr>
        <w:jc w:val="both"/>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distributions with respect thereto, provided that, any dividends that are paid on the Remaining Shares prior to the applicable Final Delivery Date (whether payable in cash or Shares) will be held until the applicable Final Delivery Date by Lazard Capital Markets LLC or any other escrow agent that is subsequently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Payment of Transfer Taxes, Fees and Other Expenses.</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Taxes and Withholding.</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such Shares are issued to the Employee in accordance with this Agreement.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 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5" w:name="page136"/>
    <w:bookmarkEnd w:id="135"/>
    <w:p>
      <w:pPr>
        <w:ind w:lef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Effect of Agreement.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19" w:lineRule="exact"/>
        <w:rPr>
          <w:sz w:val="20"/>
          <w:szCs w:val="20"/>
          <w:color w:val="auto"/>
        </w:rPr>
      </w:pPr>
    </w:p>
    <w:p>
      <w:pPr>
        <w:ind w:left="420" w:hanging="184"/>
        <w:spacing w:after="0"/>
        <w:tabs>
          <w:tab w:leader="none" w:pos="4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40" w:firstLine="464"/>
        <w:spacing w:after="0" w:line="298"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12" w:lineRule="exact"/>
        <w:rPr>
          <w:rFonts w:ascii="Arial" w:cs="Arial" w:eastAsia="Arial" w:hAnsi="Arial"/>
          <w:sz w:val="16"/>
          <w:szCs w:val="16"/>
          <w:color w:val="auto"/>
        </w:rPr>
      </w:pPr>
    </w:p>
    <w:p>
      <w:pPr>
        <w:ind w:right="80" w:firstLine="464"/>
        <w:spacing w:after="0" w:line="256"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20" w:firstLine="464"/>
        <w:spacing w:after="0" w:line="289" w:lineRule="auto"/>
        <w:tabs>
          <w:tab w:leader="none" w:pos="69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18" w:lineRule="exact"/>
        <w:rPr>
          <w:rFonts w:ascii="Arial" w:cs="Arial" w:eastAsia="Arial" w:hAnsi="Arial"/>
          <w:sz w:val="16"/>
          <w:szCs w:val="16"/>
          <w:color w:val="auto"/>
        </w:rPr>
      </w:pPr>
    </w:p>
    <w:p>
      <w:pPr>
        <w:ind w:right="40" w:firstLine="464"/>
        <w:spacing w:after="0" w:line="259" w:lineRule="auto"/>
        <w:tabs>
          <w:tab w:leader="none" w:pos="7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36" w:name="page137"/>
    <w:bookmarkEnd w:id="13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concerning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Conflicts and Interpretation.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 Amendment.</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Section 409A of the Code.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Electronic Delivery.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lieu of receiving documents in paper format, the Employee hereby agrees, to the fullest extent permitted by law, to accept electronic delivery of any documents that the Company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7" w:name="page138"/>
    <w:bookmarkEnd w:id="13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13. Compensation Recovery Policy.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Headings.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INTENTIONALLY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8" w:name="page139"/>
    <w:bookmarkEnd w:id="13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10795</wp:posOffset>
            </wp:positionV>
            <wp:extent cx="27787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452755</wp:posOffset>
            </wp:positionV>
            <wp:extent cx="2718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w:t>
      </w:r>
    </w:p>
    <w:p>
      <w:pPr>
        <w:spacing w:after="0" w:line="17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280" w:right="65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Criteria and Calculation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80" w:right="1440"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Employee acknowledges that the grant of the performance-based Stock Units pursuant to the Performance-Based Stock Unit Agreement (such Stock Units, the “Stock Units” and such Performance-Based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45" w:lineRule="exact"/>
        <w:rPr>
          <w:sz w:val="20"/>
          <w:szCs w:val="20"/>
          <w:color w:val="auto"/>
        </w:rPr>
      </w:pPr>
    </w:p>
    <w:p>
      <w:pPr>
        <w:ind w:firstLine="464"/>
        <w:spacing w:after="0" w:line="286"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141" w:name="page142"/>
    <w:bookmarkEnd w:id="14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w:t>
      </w:r>
    </w:p>
    <w:p>
      <w:pPr>
        <w:ind w:right="100" w:firstLine="8"/>
        <w:spacing w:after="0" w:line="287" w:lineRule="auto"/>
        <w:tabs>
          <w:tab w:leader="none" w:pos="2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464"/>
        <w:spacing w:after="0" w:line="286" w:lineRule="auto"/>
        <w:tabs>
          <w:tab w:leader="none" w:pos="69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142" w:name="page143"/>
    <w:bookmarkEnd w:id="142"/>
    <w:p>
      <w:pPr>
        <w:ind w:left="-20" w:right="20" w:firstLine="464"/>
        <w:spacing w:after="0" w:line="290"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60" w:firstLine="464"/>
        <w:spacing w:after="0" w:line="291" w:lineRule="auto"/>
        <w:tabs>
          <w:tab w:leader="none" w:pos="67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65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left="-20" w:firstLine="464"/>
        <w:spacing w:after="0" w:line="289" w:lineRule="auto"/>
        <w:tabs>
          <w:tab w:leader="none" w:pos="68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60" w:top="280" w:right="239" w:bottom="1440" w:gutter="0" w:footer="0" w:header="0"/>
        </w:sectPr>
      </w:pPr>
    </w:p>
    <w:bookmarkStart w:id="143" w:name="page144"/>
    <w:bookmarkEnd w:id="143"/>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60" w:firstLine="464"/>
        <w:spacing w:after="0" w:line="255"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10.54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LAZARD FUND INTEREST AGREEMENT</w:t>
      </w:r>
    </w:p>
    <w:p>
      <w:pPr>
        <w:spacing w:after="0" w:line="17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THIS AGREEMENT, dated as of [DATE], between Lazard Group LLC, a Delaware limited liability company (the “Company”), on its behalf and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0"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Investment Elections.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5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Subject to the provisions of this Agreement, the Company, on its behalf and on behalf of its applicable Affiliate, hereby grants to the Employee, as of the date set forth above (the “Grant Date”), $[AMOUNT] (the “Fund Interest Amount”), which shall be invested in one or more of the specified portfolios of The Lazard Funds Inc., as may be offered by the Company for this purpose from time to time (the “Company Funds”), in the manner specified by the Employee, subject to minimum allocations as established by the Administrator (as defined below) from time to time. The Employee’s initial allocation shall be specified on a form or by other means (including electronically) as established by the Administrator (the “Investment Election Form”). All capitalized terms used herein, to the extent not defined, shall have the meaning set forth in the Lazard Ltd 2008 Incentive Compensation Plan (the “Plan”).</w:t>
      </w:r>
    </w:p>
    <w:p>
      <w:pPr>
        <w:spacing w:after="0" w:line="120" w:lineRule="exact"/>
        <w:rPr>
          <w:rFonts w:ascii="Arial" w:cs="Arial" w:eastAsia="Arial" w:hAnsi="Arial"/>
          <w:sz w:val="16"/>
          <w:szCs w:val="16"/>
          <w:color w:val="auto"/>
        </w:rPr>
      </w:pPr>
    </w:p>
    <w:p>
      <w:pPr>
        <w:ind w:right="60" w:firstLine="921"/>
        <w:spacing w:after="0" w:line="289" w:lineRule="auto"/>
        <w:tabs>
          <w:tab w:leader="none" w:pos="116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As of [DATE] or, if earlier and only if permitted by the Administrator, the business day following the date on which the Employee submits the Investment Election Form in accordance with Section 1(c) below (the “Effective Date”), the Company, or one of its Affiliates, shall purchase on the Employee’s behalf interests from the applicable Company Funds (the “Lazard Fund Interests”) using the Fund Interest Amount, in accordance with the allocations specified by the Employee in the Investment Election Form. The Lazard Fund Interests will be held in a restricted brokerage account established at Lazard Capital Markets LLC (“LCM”) or such other location as may be determined by the Administrator, for which Lazard Asset Management LLC will be the owner of record, as custodian, for the benefit of the Employee (the “Fund Account”). The Lazard Fund Interests will be beneficially owned by the Employee, subject to forfeiture in accordance with Section 2. For the avoidance of doubt, the Lazard Fund Interests constitute property that will be transferred to the Employee on the Effective Date for purposes of Section 83 of the Internal Revenue Code of 1986, as amended (the “Code”).</w:t>
      </w:r>
    </w:p>
    <w:p>
      <w:pPr>
        <w:spacing w:after="0" w:line="118" w:lineRule="exact"/>
        <w:rPr>
          <w:rFonts w:ascii="Arial" w:cs="Arial" w:eastAsia="Arial" w:hAnsi="Arial"/>
          <w:sz w:val="16"/>
          <w:szCs w:val="16"/>
          <w:color w:val="auto"/>
        </w:rPr>
      </w:pPr>
    </w:p>
    <w:p>
      <w:pPr>
        <w:ind w:right="60" w:firstLine="921"/>
        <w:spacing w:after="0" w:line="289" w:lineRule="auto"/>
        <w:tabs>
          <w:tab w:leader="none" w:pos="115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The Employee shall submit, in accordance with procedures established from time to time by the Company (the “Administrator”), the Investment Election Form with respect to the Fund Interest Amount during the period established by the Administrator in its sole discretion, which period shall end no later than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once the Employee has submitted the Investment Election Form, such election shall be irrevocable until a Reallocation Date, if any. Such Investment Election Form shall designate the percentage of the Fund Interest Amount that shall be invested in each Company Fund. Without limiting the generality of Sections 11 and 12 below, the Administrator, in its sole discretion, may (i) establish rules governing the Employee’s ability to reallocate investments in the Fund Account among the various Company Funds, (ii) establish any minimum and maximum percentages of the Fund Interest Amount that may be invested in each Company Fund, (iii) determine the Company investment funds that may be offered as Company Funds from time to time, (iv) determine the consequences of eliminating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investment fund from the list of Company Funds and (v) establish rules or procedures governing such other matters as it determines are necessary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advisable for the proper administration of this Agreement. If the Employee fails to properly complete and submit the Investment Election Form by [DATE],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Interest Amount will be invested pro rata in each Company Fund as of such date. Unless otherwise directed by the Employee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1(d) below, subject to the Administrator’s authority pursuant to this Section 1(c), the allocation of the Fund Interest Amount among the Company Funds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not be changed from the initial allocation.</w:t>
      </w:r>
    </w:p>
    <w:p>
      <w:pPr>
        <w:spacing w:after="0" w:line="165" w:lineRule="exact"/>
        <w:rPr>
          <w:sz w:val="20"/>
          <w:szCs w:val="20"/>
          <w:color w:val="auto"/>
        </w:rPr>
      </w:pPr>
    </w:p>
    <w:p>
      <w:pPr>
        <w:ind w:firstLine="921"/>
        <w:spacing w:after="0" w:line="259" w:lineRule="auto"/>
        <w:tabs>
          <w:tab w:leader="none" w:pos="116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Unless the Administrator determines otherwise, the Employee will be permitted to reallocate the investments in the Company Funds at least once annually (each such date, a “Reallocation Date”) by completing a new Investment Election Form, as may be updated by the Administrator from time to time, which shall be submitted in accordance with procedures established from time to time by the Administrator.</w:t>
      </w:r>
    </w:p>
    <w:p>
      <w:pPr>
        <w:spacing w:after="0" w:line="140" w:lineRule="exact"/>
        <w:rPr>
          <w:rFonts w:ascii="Arial" w:cs="Arial" w:eastAsia="Arial" w:hAnsi="Arial"/>
          <w:sz w:val="18"/>
          <w:szCs w:val="18"/>
          <w:color w:val="auto"/>
        </w:rPr>
      </w:pPr>
    </w:p>
    <w:p>
      <w:pPr>
        <w:ind w:firstLine="921"/>
        <w:spacing w:after="0" w:line="332" w:lineRule="auto"/>
        <w:tabs>
          <w:tab w:leader="none" w:pos="115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Employee shall receive statements from LCM (or such other broker-dealer, as applicable) with respect to the Lazard Fund Interests and Fund Account in such a manner and at such times as are consistent with LCM’s (or such other broker-dealer’s, as applicable) standard procedures.</w:t>
      </w:r>
    </w:p>
    <w:p>
      <w:pPr>
        <w:spacing w:after="0" w:line="200" w:lineRule="exact"/>
        <w:rPr>
          <w:rFonts w:ascii="Arial" w:cs="Arial" w:eastAsia="Arial" w:hAnsi="Arial"/>
          <w:sz w:val="16"/>
          <w:szCs w:val="16"/>
          <w:color w:val="auto"/>
        </w:rPr>
      </w:pPr>
    </w:p>
    <w:p>
      <w:pPr>
        <w:ind w:left="900" w:hanging="446"/>
        <w:spacing w:after="0"/>
        <w:tabs>
          <w:tab w:leader="none" w:pos="9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Lazard Fund Interests.</w:t>
      </w:r>
    </w:p>
    <w:p>
      <w:pPr>
        <w:spacing w:after="0" w:line="96" w:lineRule="exact"/>
        <w:rPr>
          <w:rFonts w:ascii="Arial" w:cs="Arial" w:eastAsia="Arial" w:hAnsi="Arial"/>
          <w:sz w:val="18"/>
          <w:szCs w:val="18"/>
          <w:b w:val="1"/>
          <w:bCs w:val="1"/>
          <w:color w:val="auto"/>
        </w:rPr>
      </w:pPr>
    </w:p>
    <w:p>
      <w:pPr>
        <w:ind w:right="160" w:firstLine="921"/>
        <w:spacing w:after="0" w:line="254" w:lineRule="auto"/>
        <w:tabs>
          <w:tab w:leader="none" w:pos="115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Lazard Fund Interests shall vest and no longer be subject to any restriction (such period during which restrictions apply to the Lazard Fund Interests is the “Restriction Period”) in accordance with the following schedule: 1/3rd of the Lazard Fund Interests shall vest on [DATE] and 2/3rds of the Lazard Fund Interests shall vest on [DATE]. Each of [DATE] and [DATE] is referred to herein, as applicable, as the “Vesting Date”. Unless the Administrator determines otherwise, on each Vesting Date, the percentage of Lazard Fund Interests that shall have vested shall be applied pro rata to all Lazard Fund Interests in the Employee’s Fund Account regardless of the Company Fund in which such Lazard Fund Interests are invested on such Vesting Date.</w:t>
      </w:r>
    </w:p>
    <w:p>
      <w:pPr>
        <w:spacing w:after="0" w:line="144" w:lineRule="exact"/>
        <w:rPr>
          <w:rFonts w:ascii="Arial" w:cs="Arial" w:eastAsia="Arial" w:hAnsi="Arial"/>
          <w:sz w:val="18"/>
          <w:szCs w:val="18"/>
          <w:color w:val="auto"/>
        </w:rPr>
      </w:pPr>
    </w:p>
    <w:p>
      <w:pPr>
        <w:ind w:right="60" w:firstLine="921"/>
        <w:spacing w:after="0" w:line="255" w:lineRule="auto"/>
        <w:tabs>
          <w:tab w:leader="none" w:pos="116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set forth in Section 2(f) below, in the event that the Employee incurs a Termination of Employment during the applicable Restriction Period for any reason not set forth in Section 2(c) or 2(e), all unvested Lazard Fund Interests shall be forfeited by the Employee effective immediately upon such Termination of Employment. For purposes of this Section 2(b), the Employee will be deemed to have incurred a Termination of Employment on the date that the Employee provides notice of termination to the Company, and accordingly, all unvested Lazard Fund Interests shall be forfeited by the Employee immediately upon delivery of any such notice.</w:t>
      </w:r>
    </w:p>
    <w:p>
      <w:pPr>
        <w:spacing w:after="0" w:line="14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(c)(i) Except as set forth in Section 2(f) below, in the event that the Employee (A) incurs a Termination of Employment during the applicable Restriction Period due to the Employee’s Disability or due to a Termination of Employment by the Company other than for Cause or (B) at any time during the applicable Restriction Period, meets the requirements of the retirement policy applicable to equity awards granted under the Plan, as in effect from time to time (such Employee, a “Retirement Eligible Employee”), then, in each case, subject to Sections 2(d) and 3, the Lazard Fund Interests shall vest immediately following the date that the Employee is no longer required to perform any additional services in order to retain such Lazard Fund Interests (the date that such Lazard Fund Interests vest is the “Initial Vesting Date”). Within 30 days following the Initial Vesting Date, the percentage of the Lazard Fund Interests that vested pursuant to the preceding sentence equal to the amount that the Administrator determines, in its sole discretion, is necessary to satisfy the Employee’s tax liability incurred as a result of</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6" w:name="page147"/>
    <w:bookmarkEnd w:id="14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vesting will be transferred to an unrestricted brokerage account at LCM (or such other broker-dealer as is selected by the Administrator from time to time, as applicable) in the Employee’s name (such Lazard Fund Interests, the “Transferable Interests”), and the Employee shall be permitted to dispose of such Transferable Interests. All vested Lazard Fund Interests following the Initial Vesting Date that are not Transferable Interests (such Lazard Fund Interests, the “Remaining Interests”) will remain subject to the restrictions set forth in this Agreement until the applicable date that such Remaining Interests otherwise would have vested in accordance with this Agreement (each such date, a “Final Vesting Date”). Accordingly, prior to the applicable Final Vesting Date, neither the Employee nor any of the Employee’s creditors or beneficiaries will have the right to subject the Remaining Interests to any anticipation, alienation, sale, transfer, assignment, pledge, encumbrance, hedge, exchange, attachment or garnishment or any similar transaction. Furthermore, for the avoidance of doubt, the Remaining Interests shall continue to be subject to the forfeiture provisions set forth in this Agreement (including, without limitation, those relating to violation of the restrictive covenants set forth in Appendix A, which are incorporated herein by reference (the “Restrictive Covenants”)) until the applicable Final Vesting Date.</w:t>
      </w:r>
    </w:p>
    <w:p>
      <w:pPr>
        <w:spacing w:after="0" w:line="255" w:lineRule="exact"/>
        <w:rPr>
          <w:sz w:val="20"/>
          <w:szCs w:val="20"/>
          <w:color w:val="auto"/>
        </w:rPr>
      </w:pPr>
    </w:p>
    <w:p>
      <w:pPr>
        <w:ind w:left="920" w:right="120" w:firstLine="1"/>
        <w:spacing w:after="0" w:line="256" w:lineRule="auto"/>
        <w:tabs>
          <w:tab w:leader="none" w:pos="11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2(d), dies during the applicable Restriction Period subsequent to a Termination of Employment as described in Section 2(c)(i) or 2(e), all Lazard Fund Interests, including any Remaining Interests, if applicable, shall automatically vest, and all forfeiture provisions shall lapse, as applicable, on the date of death.</w:t>
      </w:r>
    </w:p>
    <w:p>
      <w:pPr>
        <w:spacing w:after="0" w:line="143" w:lineRule="exact"/>
        <w:rPr>
          <w:sz w:val="20"/>
          <w:szCs w:val="20"/>
          <w:color w:val="auto"/>
        </w:rPr>
      </w:pPr>
    </w:p>
    <w:p>
      <w:pPr>
        <w:ind w:firstLine="921"/>
        <w:spacing w:after="0" w:line="291" w:lineRule="auto"/>
        <w:tabs>
          <w:tab w:leader="none" w:pos="11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event that the Employee violates any of the provisions of the Restrictive Covenants, all outstanding vested or unvested Lazard Fund Interests and, if applicable, prior to the relevant Final Vesting Date, all Remaining Interests, shall be forfeited and canceled. Notwithstanding that certain Restrictive Covenants apply for only a limited period following Termination of Employment, in the event that the Employee’s employment with the Company terminates by reason of retirement in accordance with Section 2(e) below, the Employee will forfeit any outstanding Remaining Interests if the Employee does not comply with all Restrictive Covenants until the applicable Final Vesting Date. Furthermore, in the event that the Employee incurs a Termination of Employment for Cause, the Employee will forfeit all outstanding Remaining Interests.</w:t>
      </w:r>
    </w:p>
    <w:p>
      <w:pPr>
        <w:spacing w:after="0" w:line="120" w:lineRule="exact"/>
        <w:rPr>
          <w:rFonts w:ascii="Arial" w:cs="Arial" w:eastAsia="Arial" w:hAnsi="Arial"/>
          <w:sz w:val="16"/>
          <w:szCs w:val="16"/>
          <w:color w:val="auto"/>
        </w:rPr>
      </w:pPr>
    </w:p>
    <w:p>
      <w:pPr>
        <w:ind w:right="80" w:firstLine="921"/>
        <w:spacing w:after="0" w:line="259" w:lineRule="auto"/>
        <w:tabs>
          <w:tab w:leader="none" w:pos="115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 and after the date an Employee becomes a Retirement Eligible Employee, the Employee will be permitted to retire from the Company and its Subsidiaries and Affiliates and, subject to the restrictions set forth in this Agreement, the forfeiture provisions on the Remaining Interests will continue to lapse following retirement.</w:t>
      </w:r>
    </w:p>
    <w:p>
      <w:pPr>
        <w:spacing w:after="0" w:line="14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(f)(i) Except as otherwise provided in this Section 2(f)(i) and Section 2(f)(ii) below, following a Change in Control, the unvested but outstanding Lazard Fund Interests, including any Remaining Interests, shall remain outstanding through the applicable Vesting Date (or, as applicable, Final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applicable Vesting Date under any of the circumstances described in Section 2(c) or Section 2(e) above, the date of such Termination of Employment shall be deemed to be the Vesting Date, and all Lazard Fund Interests then outstanding shall be Transferable Interests. Furthermore, in the event that the Employee incurs a Termination of Employment under any of the circumstances described in Section 2(c) or Section 2(e) above prior to the applicable Vesting Date and prior to a Change in Control, upon a Change in Control, the date of the Change in Control shall be deemed to be the Vesting Date for purposes of the unvested Lazard Fund Interests (and the Final Vesting Date for any Remaining Interests) then held by the Employee.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7" w:name="page148"/>
    <w:bookmarkEnd w:id="147"/>
    <w:p>
      <w:pPr>
        <w:ind w:left="920" w:right="20" w:firstLine="1"/>
        <w:spacing w:after="0" w:line="288" w:lineRule="auto"/>
        <w:tabs>
          <w:tab w:leader="none" w:pos="1178" w:val="left"/>
        </w:tabs>
        <w:numPr>
          <w:ilvl w:val="1"/>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 the event of a Change in Control prior to the applicable Vesting Date, unless (A) the unvested but outstanding Lazard Fund Interests, including any Remaining Interests, remain outstanding following a Change in Control, (B) the material terms and conditions of such Lazard Fund Interests (and, if applicable, Remaining Interests) as in effect immediately prior to the Change in Control are preserved following the Change in Control (including, without limitation, with respect to the vesting schedules, the intrinsic value of the Lazard Fund Interests (and, if applicable, Remaining Interests), and the reallocation provisions) and (C) the investment funds that are offered following the Change in Control are the same as, or substantially similar to, the investment funds in which the Employee has invested as of the Change in Control, the date of the Change in Control shall be deemed to be the Vesting Date for purposes of such Lazard Fund Interests (and the Final Vesting Date for purposes of any Remaining Interests then outstanding) and such Lazard Fund Interests (and, if applicable, Remaining Interests) shall automatically vest and all forfeiture provisions shall lapse, as applicable, as of such date.</w:t>
      </w:r>
    </w:p>
    <w:p>
      <w:pPr>
        <w:spacing w:after="0" w:line="235" w:lineRule="exact"/>
        <w:rPr>
          <w:rFonts w:ascii="Arial" w:cs="Arial" w:eastAsia="Arial" w:hAnsi="Arial"/>
          <w:sz w:val="16"/>
          <w:szCs w:val="16"/>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Unrestricted Lazard Fund Interests.</w:t>
      </w:r>
    </w:p>
    <w:p>
      <w:pPr>
        <w:spacing w:after="0" w:line="9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As soon as practicable (but in no event more than 30 days) after any Lazard Fund Interest has vested and is no longer subject to the applicable Restriction Period or after any Remaining Interest is no longer subject to any restrictions, the Company shall, subject to Section 6, deliver to the Employee an unrestricted, freely-transferable Lazard Fund Interest, which shall be transferred to an unrestricted brokerage account at LCM (or such other broker-dealer, as applicable) in the Employee’s name. Notwithstanding the foregoing, the Company shall be entitled to hold the unrestricted Lazard Fund Interests to be transferred upon vesting and lapse of all restrictions until the Company shall have received from the Employee a duly executed Form W-9 or W-8, as applicable.</w:t>
      </w:r>
    </w:p>
    <w:p>
      <w:pPr>
        <w:spacing w:after="0" w:line="231"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the Lazard Fund Interests.</w:t>
      </w:r>
    </w:p>
    <w:p>
      <w:pPr>
        <w:spacing w:after="0" w:line="96"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During the applicable Restriction Period and until such time as the Lazard Fund Interests, including, if applicable, any Remaining Interests, have ultimately vested and the unrestricted Lazard Fund Interests have been transferred to the unrestricted brokerage account as provided in Section 3 above, unless the Administrator determines otherwise, the Lazard Fund Interests, including, if applicable, any Remaining Interests, but excluding the Transferable Interests (if any), shall not be transferable by the Employee by means of sale, assignment, exchange, encumbrance, pledge, hedge or otherwise.</w:t>
      </w:r>
    </w:p>
    <w:p>
      <w:pPr>
        <w:spacing w:after="0" w:line="228"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Rights as a Holder of Interests in Company Funds.</w:t>
      </w:r>
    </w:p>
    <w:p>
      <w:pPr>
        <w:spacing w:after="0" w:line="9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If any Company Fund in which the Employee holds an interest distributes earnings with respect to an unvested Lazard Fund Interest, or with respect to any Remaining Interests, in each case, prior to the date on which the unrestricted Lazard Fund Interests are transferred to the unrestricted brokerage account as provided in Section 3 above, the Fund Account shall be credited as follows. In the event distributions are made in cash, such cash distributions shall be automatically reinvested in the applicable Company Fund, and the additional Lazard Fund Interests shall be held in the Fund Account. In the event any Company Fund in which the Employee holds an interest makes an in-kind distribution, extraordinary distribution (whether distributed in other securities or other property) or adjustment with respect to the Lazard Fund Interests or Remaining Interests, such distributions shall be held in the Fund Account and such adjustments shall be reflected in the Fund Account. In the event of distributions made in cash, in-kind or in other securities or other property, additional Lazard Fund Interests and any other securities or property held in the Fund Account shall vest concurrently with the underlying Lazard Fund Interests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8" w:name="page149"/>
    <w:bookmarkEnd w:id="148"/>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Remaining Interests, as applicable, and be treated as Lazard Fund Interests or Remaining Interests, as applicable, for all purposes of this Agreement. For the avoidance of doubt, in the event that any Lazard Fund Interests and Remaining Interests are forfeited in accordance with this Agreement, the distributions with respect to any such interests will also be forfeited. Notwithstanding the foregoing, subject to Sections 2(c)(i) and 3 and any other applicable law or agreement, from and after the Effective Date, the Employee will be entitled to exercise voting rights with respect to the Remaining Interests.</w:t>
      </w:r>
    </w:p>
    <w:p>
      <w:pPr>
        <w:spacing w:after="0" w:line="228"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Transfer Taxes, Fees and Other Expenses.</w:t>
      </w:r>
    </w:p>
    <w:p>
      <w:pPr>
        <w:spacing w:after="0" w:line="96"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agrees to pay any and all original issue taxes and transfer taxes that may be imposed in connection with the purchase of any Lazard Fund Interest or the transfer of an unrestricted Lazard Fund Interest to an unrestricted brokerage account as provided in Section 3 above, together with any and all other fees and expenses necessarily incurred by the Company in connection therewith.</w:t>
      </w:r>
    </w:p>
    <w:p>
      <w:pPr>
        <w:spacing w:after="0" w:line="256"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96" w:lineRule="exact"/>
        <w:rPr>
          <w:sz w:val="20"/>
          <w:szCs w:val="20"/>
          <w:color w:val="auto"/>
        </w:rPr>
      </w:pPr>
    </w:p>
    <w:p>
      <w:pPr>
        <w:ind w:right="20" w:firstLine="913"/>
        <w:spacing w:after="0" w:line="282"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Lazard Fund Interests,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Lazard Fund Interests on the date that the Employee is no longer required to perform any additional services in order to retain such Lazard Fund Interests. The obligations of the Company under this Agreement shall be conditioned on compliance by the Employee with this Section 7, and the Company or its applicable Affiliate shall, to the extent permitted by law, have the right to deduct any such taxes from any payment otherwise due to the Employee, including deducting such amount from the delivery of Lazard Fund Interests that gives rise to the withholding requirement. Notwithstanding the foregoing, the Company or an Affiliate may, in the Company’s sole discretion and subject to such other terms and conditions as the Company may determine, (a) if the Employee is subject to withholding as a matter of applicable law as of the applicable vesting date, retain that portion of the Transferable Interests (which may be all of the Transferable Interests) that the Company determines has a value that the Company or an Affiliate is required by applicable law to remit to the appropriate taxing authorities on the Employee’s behalf in connection with the vesting of the Lazard Fund Interests and (b) if the Employee is not subject to withholding as a matter of applicable law as of the applicable vesting date (including if the Employee is a member of the Company who reports income from the Company and its Affiliates on Schedule K-1 to the Company’s Federal income tax return) and pursuant to the prior written approval of the Company, retain some or all of the Transferable Interests and have the Company or such Affiliate either (i) remit the relevant taxes on the Employee’s behalf to the appropriate taxing authorities or</w:t>
      </w:r>
    </w:p>
    <w:p>
      <w:pPr>
        <w:spacing w:after="0" w:line="5" w:lineRule="exact"/>
        <w:rPr>
          <w:sz w:val="20"/>
          <w:szCs w:val="20"/>
          <w:color w:val="auto"/>
        </w:rPr>
      </w:pPr>
    </w:p>
    <w:p>
      <w:pPr>
        <w:ind w:firstLine="8"/>
        <w:spacing w:after="0" w:line="254" w:lineRule="auto"/>
        <w:tabs>
          <w:tab w:leader="none" w:pos="2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deposit cash equal to the value of the Transferable Interests retained by the Company or an Affiliate (as reasonably determined by the Company) into the Employee’s tax advance account (if any). Prior to an Initial Vesting Date, the Company will notify the Employee of (A) how many Lazard Fund Interests will vest on such Initial Vesting Date and (B) the portion, if any, of the Transferable Interests that the Company or an Affiliate will retain pursuant to clause (a) or (b), as applicable, of the immediately preceding sentence.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49" w:name="page150"/>
    <w:bookmarkEnd w:id="149"/>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Disgorgement of Tax Benefits.</w:t>
      </w:r>
    </w:p>
    <w:p>
      <w:pPr>
        <w:spacing w:after="0" w:line="96"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In the event that the Employee retires from the Company in accordance with Section 2(e) above and, after the Employee’s retirement, the Employee forfeits the Remaining Interests and any distributions thereon, the Employee shall disgorge to the Company any current or future tax benefit the Employee may derive from the forfeiture of any Lazard Fund Interests and distributions thereon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8 shall not apply in the event of a Change in Control or a Termination of Employment other than for Cause or due to death or Disability.</w:t>
      </w:r>
    </w:p>
    <w:p>
      <w:pPr>
        <w:spacing w:after="0" w:line="260"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shall confer upon the Employee any right to continue in the employ of the Company or any of its Affiliates or interfere in any way with the right of the Company or any such Affiliates to terminate the Employee’s employment at any time. Until the Lazard Fund Interests vest and all restrictions lapse, the Employee shall not have any rights as an interest holder with respect to the Lazard Fund Interests or any underlying Company Funds, except as specifically provided herein (including, for the avoidance of doubt, pursuant to Section 1(b) above).</w:t>
      </w:r>
    </w:p>
    <w:p>
      <w:pPr>
        <w:spacing w:after="0" w:line="236"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20" w:firstLine="921"/>
        <w:spacing w:after="0" w:line="259" w:lineRule="auto"/>
        <w:tabs>
          <w:tab w:leader="none" w:pos="115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By accepting the Lazard Fund Interests, the Employee agrees to and is bound by the Restrictive Covenants.</w:t>
      </w:r>
    </w:p>
    <w:p>
      <w:pPr>
        <w:spacing w:after="0" w:line="140" w:lineRule="exact"/>
        <w:rPr>
          <w:rFonts w:ascii="Arial" w:cs="Arial" w:eastAsia="Arial" w:hAnsi="Arial"/>
          <w:sz w:val="18"/>
          <w:szCs w:val="18"/>
          <w:color w:val="auto"/>
        </w:rPr>
      </w:pPr>
    </w:p>
    <w:p>
      <w:pPr>
        <w:jc w:val="both"/>
        <w:ind w:right="260" w:firstLine="921"/>
        <w:spacing w:after="0" w:line="256" w:lineRule="auto"/>
        <w:tabs>
          <w:tab w:leader="none" w:pos="116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Subject to the provisions of Section 10(c), any controversy or claim between the Employee and the Company or its Affiliates arising out of or relating to or concerning the provisions of this Agreement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20" w:firstLine="921"/>
        <w:spacing w:after="0" w:line="289" w:lineRule="auto"/>
        <w:tabs>
          <w:tab w:leader="none" w:pos="115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Notwithstanding the provisions of Section 10(b),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10(c), the Employee (i) expressly consents to the application of Section 10(d)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Lazard Ltd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0" w:name="page151"/>
    <w:bookmarkEnd w:id="150"/>
    <w:p>
      <w:pPr>
        <w:ind w:firstLine="921"/>
        <w:spacing w:after="0" w:line="286" w:lineRule="auto"/>
        <w:tabs>
          <w:tab w:leader="none" w:pos="1162"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and the Company hereby irrevocably submit to the exclusive jurisdiction of any state or federal court located in the City of New York over any suit, action, or proceeding arising out of relating to or concerning this Agreement that is not otherwise required to be arbitrated or resolved in accordance with the provisions of Section 10(b). This includes any suit, action or proceeding to compel arbitration or to enforce an arbitration award. The Employee and the Company acknowledge that the forum designated by this Section 10(d)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10(a), 10(b) or this Section 10(d).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10(d). The Employee and the Company undertake not to commence any action arising out of or relating to or concerning this Agreement in any forum other than a forum described in this Section 10(d), or, to the extent applicable, Section 10(b).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36"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of the Administrator.</w:t>
      </w:r>
    </w:p>
    <w:p>
      <w:pPr>
        <w:spacing w:after="0" w:line="96"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The Administrator has the power, among others, to (a) interpret this Agreement, (b) prescribe, amend and rescind rules and regulations relating to this Agreement, and (c) make all other determinations deemed necessary or advisable for the administration of this Agreement.</w:t>
      </w:r>
    </w:p>
    <w:p>
      <w:pPr>
        <w:spacing w:after="0" w:line="201"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96"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Lazard Fund Interests shall require an instrument in writing to be signed (either in paper format or electronically) by both parties hereto, except such a modification, amendment or waiver made to cause the Lazard Fund Interests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 For the avoidance of doubt, the Administrator shall have the authority to make immaterial modifications and amendments to this Agreement without obtaining the Employee’s consent, provided that such modifications and amendments do not materially impair the rights of the Employee with respect to the Fund Interest Amount.</w:t>
      </w:r>
    </w:p>
    <w:p>
      <w:pPr>
        <w:spacing w:after="0" w:line="234"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96"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This Agreement shall not be assignable by the Employee. The parties agree that any attempt by the Employee to delegate the Employee’s rights and duties hereunder shall be null and void. The Company and its Affiliates shall be permitted to assign the Company’s rights and obligations hereunder among one another. In such case, this Agreement shall be binding upon and shall inure to the benefit of any Affiliate or successor of the Company to which it is assigned. As used in this Agreement, the term “Company” shall mean the Company as hereinbefore defined in this Agreement and any permitted assignee to which this Agreement is assigned.</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51" w:name="page152"/>
    <w:bookmarkEnd w:id="151"/>
    <w:p>
      <w:pPr>
        <w:ind w:left="900" w:hanging="446"/>
        <w:spacing w:after="0"/>
        <w:tabs>
          <w:tab w:leader="none" w:pos="9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Lazard Fund Interests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the Employee has access.</w:t>
      </w:r>
    </w:p>
    <w:p>
      <w:pPr>
        <w:spacing w:after="0" w:line="236"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Policy.</w:t>
      </w:r>
    </w:p>
    <w:p>
      <w:pPr>
        <w:spacing w:after="0" w:line="96"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The Employee acknowledges and agrees that the Employee and the Lazard Fund Interests are subject to the Company’s Compensation Recovery Policy Applicable to Named Executive Officers, as in effect as of the date hereof (a copy of which has been provided to the Employee).</w:t>
      </w:r>
    </w:p>
    <w:p>
      <w:pPr>
        <w:spacing w:after="0" w:line="201"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96"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48"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jc w:val="center"/>
        <w:ind w:right="1920"/>
        <w:spacing w:after="0" w:line="506" w:lineRule="auto"/>
        <w:rPr>
          <w:sz w:val="20"/>
          <w:szCs w:val="20"/>
          <w:color w:val="auto"/>
        </w:rPr>
      </w:pPr>
      <w:r>
        <w:rPr>
          <w:rFonts w:ascii="Arial" w:cs="Arial" w:eastAsia="Arial" w:hAnsi="Arial"/>
          <w:sz w:val="18"/>
          <w:szCs w:val="18"/>
          <w:color w:val="auto"/>
        </w:rPr>
        <w:t>This Agreement may be executed in counterparts, which together shall constitute one and the same original. [REMAINDER OF PAGE LEFT INTENTIONALLY BLANK] 8</w:t>
      </w:r>
    </w:p>
    <w:p>
      <w:pPr>
        <w:sectPr>
          <w:pgSz w:w="11900" w:h="16838" w:orient="portrait"/>
          <w:cols w:equalWidth="0" w:num="1">
            <w:col w:w="11340"/>
          </w:cols>
          <w:pgMar w:left="240" w:top="273" w:right="319" w:bottom="1440" w:gutter="0" w:footer="0" w:header="0"/>
        </w:sectPr>
      </w:pPr>
    </w:p>
    <w:bookmarkStart w:id="152" w:name="page153"/>
    <w:bookmarkEnd w:id="15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itself or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-5715</wp:posOffset>
            </wp:positionV>
            <wp:extent cx="2693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281305</wp:posOffset>
            </wp:positionV>
            <wp:extent cx="269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240" w:top="280" w:right="51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Employee acknowledges that the grant of the Fund Interest Amount (and Lazard Fund Interests related thereto) (as defined in the Agreement, and hereinafter in this Appendix A, collectively, the “Award”) pursuant to the Restricted Lazard Fund Interest Agreement (such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Award will be forfeited upon a violation by the Employee of the Restrictive Covenants, and that, pursuant to the Agreement, the Firm may seek injunctive relief in order to enforce the Restrictive Covenants:</w:t>
      </w:r>
    </w:p>
    <w:p>
      <w:pPr>
        <w:spacing w:after="0" w:line="118" w:lineRule="exact"/>
        <w:rPr>
          <w:sz w:val="20"/>
          <w:szCs w:val="20"/>
          <w:color w:val="auto"/>
        </w:rPr>
      </w:pPr>
    </w:p>
    <w:p>
      <w:pPr>
        <w:ind w:firstLine="464"/>
        <w:spacing w:after="0" w:line="286" w:lineRule="auto"/>
        <w:tabs>
          <w:tab w:leader="none" w:pos="69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100" w:firstLine="464"/>
        <w:spacing w:after="0" w:line="290" w:lineRule="auto"/>
        <w:tabs>
          <w:tab w:leader="none" w:pos="705"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 reason other than a termination by the Firm without Cause or (B) one month after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54" w:name="page155"/>
    <w:bookmarkEnd w:id="1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6" w:lineRule="exact"/>
        <w:rPr>
          <w:sz w:val="20"/>
          <w:szCs w:val="20"/>
          <w:color w:val="auto"/>
        </w:rPr>
      </w:pPr>
    </w:p>
    <w:p>
      <w:pPr>
        <w:ind w:right="60" w:firstLine="464"/>
        <w:spacing w:after="0" w:line="286"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27"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55" w:name="page156"/>
    <w:bookmarkEnd w:id="155"/>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07" w:lineRule="exact"/>
        <w:rPr>
          <w:sz w:val="20"/>
          <w:szCs w:val="20"/>
          <w:color w:val="auto"/>
        </w:rPr>
      </w:pPr>
    </w:p>
    <w:p>
      <w:pPr>
        <w:ind w:right="60" w:firstLine="464"/>
        <w:spacing w:after="0" w:line="291"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right="20" w:firstLine="464"/>
        <w:spacing w:after="0" w:line="294" w:lineRule="auto"/>
        <w:tabs>
          <w:tab w:leader="none" w:pos="676"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firstLine="464"/>
        <w:spacing w:after="0" w:line="285" w:lineRule="auto"/>
        <w:tabs>
          <w:tab w:leader="none" w:pos="70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xml:space="preserve">.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 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Award.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156" w:name="page157"/>
    <w:bookmarkEnd w:id="156"/>
    <w:p>
      <w:pPr>
        <w:ind w:left="-80" w:firstLine="464"/>
        <w:spacing w:after="0" w:line="255" w:lineRule="auto"/>
        <w:tabs>
          <w:tab w:leader="none" w:pos="62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Restrictive Covenants.</w:t>
      </w:r>
      <w:r>
        <w:rPr>
          <w:rFonts w:ascii="Arial" w:cs="Arial" w:eastAsia="Arial" w:hAnsi="Arial"/>
          <w:sz w:val="18"/>
          <w:szCs w:val="18"/>
          <w:color w:val="auto"/>
        </w:rPr>
        <w:t xml:space="preserve">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60"/>
          </w:cols>
          <w:pgMar w:left="320" w:top="280" w:right="3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10.55</w:t>
      </w:r>
    </w:p>
    <w:p>
      <w:pPr>
        <w:spacing w:after="0" w:line="252" w:lineRule="exact"/>
        <w:rPr>
          <w:sz w:val="20"/>
          <w:szCs w:val="20"/>
          <w:color w:val="auto"/>
        </w:rPr>
      </w:pPr>
    </w:p>
    <w:p>
      <w:pPr>
        <w:jc w:val="center"/>
        <w:spacing w:after="0" w:line="441" w:lineRule="auto"/>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 STOCK UNIT AGREEMENT</w:t>
      </w:r>
    </w:p>
    <w:p>
      <w:pPr>
        <w:spacing w:after="0" w:line="2"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THIS AGREEMENT, dated as of [DATE], between Lazard Ltd, a Bermuda exempted company (the “Company”), on behalf of its applicable Affiliate (as defined under the definitional rules of Section 1(a) below), and [NAME] (the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0"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Grant and Vesting of Stock Units.</w:t>
      </w:r>
    </w:p>
    <w:p>
      <w:pPr>
        <w:spacing w:after="0" w:line="96" w:lineRule="exact"/>
        <w:rPr>
          <w:rFonts w:ascii="Arial" w:cs="Arial" w:eastAsia="Arial" w:hAnsi="Arial"/>
          <w:sz w:val="18"/>
          <w:szCs w:val="18"/>
          <w:b w:val="1"/>
          <w:bCs w:val="1"/>
          <w:color w:val="auto"/>
        </w:rPr>
      </w:pPr>
    </w:p>
    <w:p>
      <w:pPr>
        <w:ind w:right="260" w:firstLine="921"/>
        <w:spacing w:after="0" w:line="306" w:lineRule="auto"/>
        <w:tabs>
          <w:tab w:leader="none" w:pos="115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Subject to the provisions of this Agreement and to the provisions of the Company’s 2008 Incentive Compensation Plan (the “Plan”) (all capitalized terms used herein, to the extent not defined, shall have the meaning set forth in the Plan), the Company, on behalf of its applicable Affiliate, hereby grants to the Employee, as of the date set forth above (the “Grant Date”), «UNITS» Stock Units (the “Stock Units”), each with respect to one Share.</w:t>
      </w:r>
    </w:p>
    <w:p>
      <w:pPr>
        <w:spacing w:after="0" w:line="106" w:lineRule="exact"/>
        <w:rPr>
          <w:rFonts w:ascii="Arial" w:cs="Arial" w:eastAsia="Arial" w:hAnsi="Arial"/>
          <w:sz w:val="16"/>
          <w:szCs w:val="16"/>
          <w:color w:val="auto"/>
        </w:rPr>
      </w:pPr>
    </w:p>
    <w:p>
      <w:pPr>
        <w:ind w:right="40" w:firstLine="921"/>
        <w:spacing w:after="0" w:line="256" w:lineRule="auto"/>
        <w:tabs>
          <w:tab w:leader="none" w:pos="116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to the provisions of the Plan, the Stock Units shall vest and no longer be subject to any restriction (such period during which restrictions apply to the Stock Units is the “Restriction Period”) in accordance with the following schedule: 1/3rd of the Stock Units shall vest on [DATE] and 2/3rds of the Stock Units shall vest on [DATE]. Each of [DATE] and [DATE] is referred to herein, as applicable, as the “Vesting Date”.</w:t>
      </w:r>
    </w:p>
    <w:p>
      <w:pPr>
        <w:spacing w:after="0" w:line="143" w:lineRule="exact"/>
        <w:rPr>
          <w:rFonts w:ascii="Arial" w:cs="Arial" w:eastAsia="Arial" w:hAnsi="Arial"/>
          <w:sz w:val="18"/>
          <w:szCs w:val="18"/>
          <w:color w:val="auto"/>
        </w:rPr>
      </w:pPr>
    </w:p>
    <w:p>
      <w:pPr>
        <w:ind w:right="240" w:firstLine="921"/>
        <w:spacing w:after="0" w:line="255" w:lineRule="auto"/>
        <w:tabs>
          <w:tab w:leader="none" w:pos="115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Except as set forth in Section 1(f) below, in the event that the Employee incurs a Termination of Employment during the applicable Restriction Period for any reason not set forth in Section 1(d), all unvested Stock Units shall be forfeited by the Employee effective immediately upon such Termination of Employment. For purposes of this Section 1(c), the Employee will be deemed to have incurred a Termination of Employment on the date that the Employee provides notice of termination to the Company, and accordingly, all unvested Stock Units shall be forfeited by the Employee immediately upon delivery of any such notice.</w:t>
      </w:r>
    </w:p>
    <w:p>
      <w:pPr>
        <w:spacing w:after="0" w:line="14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(d)(i) Except as set forth in Section 1(f) below, in the event that the Employee incurs a Termination of Employment during the applicable Restriction Period due to the Employee’s Disability or due to a Termination of Employment by the Company other than for Cause, subject to Section 1(e) and Section 2, all Shares underlying the Employee’s Stock Units shall be delivered to the Employee within 30 days following the date that the Employee is no longer required to perform any additional services in order to retain such Stock Units (the date that such Shares are delivered to the Employee is the “Initial Delivery Date”). The Employee will be permitted to dispose of the Applicable Percentage (as defined below) of the Shares (such Shares, the “Transferable Shares”) delivered to the Employee pursuant to the preceding sentence immediately following the date that such Shares are delivered to the Employee. For purposes of this Agreement, the “Applicable Percentage” is the percentage of Shares delivered to the</w:t>
      </w:r>
    </w:p>
    <w:p>
      <w:pPr>
        <w:sectPr>
          <w:pgSz w:w="11900" w:h="16838" w:orient="portrait"/>
          <w:cols w:equalWidth="0" w:num="1">
            <w:col w:w="11420"/>
          </w:cols>
          <w:pgMar w:left="240" w:top="125" w:right="239" w:bottom="1440" w:gutter="0" w:footer="0" w:header="0"/>
        </w:sectPr>
      </w:pPr>
    </w:p>
    <w:bookmarkStart w:id="158" w:name="page159"/>
    <w:bookmarkEnd w:id="15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that the Company determines, in its sole discretion, is necessary to satisfy the Employee’s tax liability incurred with respect to such Shares on the date that such Shares are delivered to the Employee. All Shares delivered to the Employee on the Initial Delivery Date that are not Transferable Shares (such Shares, the “Remaining Shares”) will remain subject to the restrictions set forth in this Agreement until the applicable date that such Remaining Shares otherwise would have been delivered to the Employee in accordance with this Agreement (each such date, a “Final Delivery Date”). Accordingly, prior to the applicable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relating to violation of the restrictive covenants set forth in Appendix A, which are incorporated herein by reference (the “Restrictive Covenants”) until the applicable Final Delivery Date.</w:t>
      </w:r>
    </w:p>
    <w:p>
      <w:pPr>
        <w:spacing w:after="0" w:line="118" w:lineRule="exact"/>
        <w:rPr>
          <w:sz w:val="20"/>
          <w:szCs w:val="20"/>
          <w:color w:val="auto"/>
        </w:rPr>
      </w:pPr>
    </w:p>
    <w:p>
      <w:pPr>
        <w:ind w:firstLine="1492"/>
        <w:spacing w:after="0" w:line="256" w:lineRule="auto"/>
        <w:tabs>
          <w:tab w:leader="none" w:pos="174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 the event that the Employee incurs a Termination of Employment during the applicable Restriction Period due to the Employee’s death or, subject to Section 1(e), dies during the applicable Restriction Period subsequent to a Termination of Employment described in the preceding sentence, all Stock Units shall remain outstanding and vest and be settled within 30 days following the first to occur of (x) the applicable Vesting Date and (y) the date of death.</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 the event that the Employee violates any of the provisions of the Restrictive Covenants, all outstanding vested or unvested Stock Units and, if applicable, prior to the relevant Final Delivery Date, all Remaining Shares, shall be forfeited and canceled.</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(f)(i) Except as otherwise provided in this Section 1(f)(i) and Section 1(f)(ii) below, following a Change in Control, the unvested Stock Units (and, if applicable, any Remaining Shares) shall remain outstanding through the applicable Vesting Date or Final Delivery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Employee incurs a Termination of Employment upon or following a Change in Control but prior to the applicable Vesting Date under any of the circumstances described in Section 1(d) above, the date of such Termination of Employment shall be deemed to be the Vesting Date, and all Shares issued in settlement of such Stock Units shall be Transferable Shares. Furthermore, in the event that the Employee incurs a Termination of Employment under any of the circumstances described in Section 1(d) above prior to the applicable Vesting Date and prior to a Change in Control, upon a Change in Control, the date of the Change in Control shall be deemed to be the Vesting Date for purposes of the unvested Stock Units (and the Final Delivery Date for any Remaining Shares) then held by the Employee and any dividends held by an escrow agent with respect thereto, as set forth in Section 4 below.</w:t>
      </w:r>
    </w:p>
    <w:p>
      <w:pPr>
        <w:spacing w:after="0" w:line="118" w:lineRule="exact"/>
        <w:rPr>
          <w:sz w:val="20"/>
          <w:szCs w:val="20"/>
          <w:color w:val="auto"/>
        </w:rPr>
      </w:pPr>
    </w:p>
    <w:p>
      <w:pPr>
        <w:ind w:firstLine="1492"/>
        <w:spacing w:after="0" w:line="294" w:lineRule="auto"/>
        <w:tabs>
          <w:tab w:leader="none" w:pos="1742"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prior to the applicable Vesting Date, unless (A) either (1) the unvested Stock Units remain outstanding following a Change in Control or (2) provision is made in connection with the Change in Control for assumption of such Stock Units or substitution of such Stock Units for new awards covering equity interests in a successor entity, with appropriate adjustments to the number of Stock Units, as determined by the Committee prior to the Change in Control pursuant to Section 3(b)(ii) of the Plan, and (B) the material terms and conditions of such Stock Units as in effect immediately prior to the Change in Control are preserved following the Change in Control (including, without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9" w:name="page160"/>
    <w:bookmarkEnd w:id="159"/>
    <w:p>
      <w:pPr>
        <w:ind w:right="2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with respect to the vesting schedules, the intrinsic value of the Stock Units and transferability of the Shares or other securities underlying the Stock Units prior to and following the Change in Control), the date of the Change in Control shall be deemed to be the Vesting Date for purposes of such Stock Units (and the Final Delivery Date for purposes of any Remaining Shares then outstanding) and such Stock Units shall be settled within 30 days following such date.</w:t>
      </w:r>
    </w:p>
    <w:p>
      <w:pPr>
        <w:spacing w:after="0" w:line="204"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Units, Restrictions on Remaining Shares.</w:t>
      </w:r>
    </w:p>
    <w:p>
      <w:pPr>
        <w:spacing w:after="0" w:line="96"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As soon as practicable (but in no event more than 30 days) after any Stock Unit has vested and is no longer subject to the applicable Restriction Period, the Company shall, subject to Section 1(d) and Section 6, cause its applicable Affiliate to deliver to the Employee one or more unlegended, freely-transferable stock certificates in respect of such Shares issued upon settlement of the vested Stock Units. Notwithstanding the foregoing, (a) the Company shall be entitled to hold the Shares or cash issuable upon settlement of Stock Units that have vested until the Company shall have received from the Employee a duly executed Form W-9 or W-8, as applicable, and (b)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6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“The transferability of this certificate and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(or is deemed to occur) with respect to the Remaining Shares, the legend set forth shall be removed from the certificates or book entry credits evidencing such Shares.</w:t>
      </w:r>
    </w:p>
    <w:p>
      <w:pPr>
        <w:spacing w:after="0" w:line="228" w:lineRule="exact"/>
        <w:rPr>
          <w:sz w:val="20"/>
          <w:szCs w:val="20"/>
          <w:color w:val="auto"/>
        </w:rPr>
      </w:pPr>
    </w:p>
    <w:p>
      <w:pPr>
        <w:ind w:left="900" w:hanging="446"/>
        <w:spacing w:after="0"/>
        <w:tabs>
          <w:tab w:leader="none" w:pos="9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the Stock Units.</w:t>
      </w:r>
    </w:p>
    <w:p>
      <w:pPr>
        <w:spacing w:after="0" w:line="96"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During the applicable Restriction Period and until such time as the Stock Units are ultimately settled as provided in Section 2 above, the Stock Units shall not be transferable by the Employee by means of sale, assignment, exchange, encumbrance, pledge, hedge or otherwise.</w:t>
      </w:r>
    </w:p>
    <w:p>
      <w:pPr>
        <w:spacing w:after="0" w:line="201" w:lineRule="exact"/>
        <w:rPr>
          <w:sz w:val="20"/>
          <w:szCs w:val="20"/>
          <w:color w:val="auto"/>
        </w:rPr>
      </w:pPr>
    </w:p>
    <w:p>
      <w:pPr>
        <w:ind w:left="900" w:hanging="446"/>
        <w:spacing w:after="0"/>
        <w:tabs>
          <w:tab w:leader="none" w:pos="9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 Rights as a Shareholder.</w:t>
      </w:r>
    </w:p>
    <w:p>
      <w:pPr>
        <w:spacing w:after="0" w:line="96" w:lineRule="exact"/>
        <w:rPr>
          <w:sz w:val="20"/>
          <w:szCs w:val="20"/>
          <w:color w:val="auto"/>
        </w:rPr>
      </w:pPr>
    </w:p>
    <w:p>
      <w:pPr>
        <w:ind w:right="560" w:firstLine="913"/>
        <w:spacing w:after="0" w:line="259" w:lineRule="auto"/>
        <w:rPr>
          <w:sz w:val="20"/>
          <w:szCs w:val="20"/>
          <w:color w:val="auto"/>
        </w:rPr>
      </w:pPr>
      <w:r>
        <w:rPr>
          <w:rFonts w:ascii="Arial" w:cs="Arial" w:eastAsia="Arial" w:hAnsi="Arial"/>
          <w:sz w:val="18"/>
          <w:szCs w:val="18"/>
          <w:color w:val="auto"/>
        </w:rPr>
        <w:t>If the Company declares and pays (or sets a record date with respect to) ordinary quarterly cash dividends on the Common Stock during the applicable Restriction Period, the Employee’s outstanding Stock Units shall be credited with additional Stock Units (determined by dividing the aggregate dividend amount that would have been paid with respect to the Stock Units if they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60" w:name="page161"/>
    <w:bookmarkEnd w:id="16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had been actual Shares by the Fair Market Value of a Share on the dividend payment date), which additional Stock Units shall vest and be settled concurrently with the underlying Stock Units and be treated as Stock Units for all purposes of this Agreement (it being understood that the provisions of this sentence shall not apply to any extraordinary dividends or distributions). Notwithstanding the foregoing, subject to Section 1(d) and Section 2 and any other applicable law or agreement, from and after the Initial Delivery Date, the Employee will have all rights and privileges of a shareholder with respect to the Shares, including the right to vote the Shares and to receive dividends and other distributions with respect thereto, provided that, any dividends that are paid on the Remaining Shares prior to the applicable Final Delivery Date (whether payable in cash or Shares) will be held until the applicable Final Delivery Date by Lazard Capital Markets LLC or any other escrow agent that is subsequently designated by the Company, and in the event that the Remaining Shares are forfeited in accordance with Section 1(e), such dividends will also be forfeited. For the avoidance of doubt, the determination of applicable dividends, and the calculation of amounts equivalent thereto, provided for in this Section 4 shall be made consistent with the Company’s past practice with respect to similar Awards.</w:t>
      </w:r>
    </w:p>
    <w:p>
      <w:pPr>
        <w:spacing w:after="0" w:line="235"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Transfer Taxes, Fees and Other Expenses.</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256"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96"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 as otherwise required by applicable law, the Company will report that the Employee will be taxed on the full value of the Shares underlying the Employee’s Stock Units on the date that the Employee is no longer required to perform any additional services in order to retain such Stock Units. The obligations of the Company under this Agreement shall be conditioned on compliance by the Employee with this Section 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or an Affiliate may, in the Company’s sole discretion and subject to such other terms and conditions as the Company may determine, if the Employee is not subject to withholding as a matter of applicable law as of the date that the Shares are delivered to the Employee (including if the Employee is a member of the Company who reports income from the Company and its Affiliates on Schedule K-1 to the Company’s Federal income tax return) and pursuant to the prior written approval of the Company, permit the Employee to surrender some or all of the Transferable Shares to the Company or an Affiliate and have the Company or such Affiliate remit the relevant taxes on the Employee’s behalf to the appropriate taxing authorities. Prior to an Initial Delivery Date,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1" w:name="page162"/>
    <w:bookmarkEnd w:id="161"/>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will notify the Employee of (i) how many Shares will be delivered to the Employee on such Initial Delivery Date and (ii) the portion, if any, of the Transferable Shares that the Company or an Affiliate will retain pursuant to the immediately preceding sentence.</w:t>
      </w:r>
    </w:p>
    <w:p>
      <w:pPr>
        <w:spacing w:after="0" w:line="248"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Agreement.</w:t>
      </w:r>
    </w:p>
    <w:p>
      <w:pPr>
        <w:spacing w:after="0" w:line="9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260"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Laws Applicable to Construction; Consent to Jurisdiction.</w:t>
      </w:r>
    </w:p>
    <w:p>
      <w:pPr>
        <w:spacing w:after="0" w:line="96" w:lineRule="exact"/>
        <w:rPr>
          <w:rFonts w:ascii="Arial" w:cs="Arial" w:eastAsia="Arial" w:hAnsi="Arial"/>
          <w:sz w:val="18"/>
          <w:szCs w:val="18"/>
          <w:b w:val="1"/>
          <w:bCs w:val="1"/>
          <w:color w:val="auto"/>
        </w:rPr>
      </w:pPr>
    </w:p>
    <w:p>
      <w:pPr>
        <w:ind w:right="100" w:firstLine="921"/>
        <w:spacing w:after="0" w:line="298" w:lineRule="auto"/>
        <w:tabs>
          <w:tab w:leader="none" w:pos="115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the Restrictive Covenants, the Stock Units are subject to the terms and conditions of the Plan, which is hereby incorporated by reference. By accepting the Stock Units, the Employee agrees to and is bound by the Plan and the Restrictive Covenants.</w:t>
      </w:r>
    </w:p>
    <w:p>
      <w:pPr>
        <w:spacing w:after="0" w:line="112" w:lineRule="exact"/>
        <w:rPr>
          <w:rFonts w:ascii="Arial" w:cs="Arial" w:eastAsia="Arial" w:hAnsi="Arial"/>
          <w:sz w:val="16"/>
          <w:szCs w:val="16"/>
          <w:color w:val="auto"/>
        </w:rPr>
      </w:pPr>
    </w:p>
    <w:p>
      <w:pPr>
        <w:ind w:right="200" w:firstLine="921"/>
        <w:spacing w:after="0" w:line="256" w:lineRule="auto"/>
        <w:tabs>
          <w:tab w:leader="none" w:pos="116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Subject to the provisions of Section 8(c), 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right="140" w:firstLine="921"/>
        <w:spacing w:after="0" w:line="289" w:lineRule="auto"/>
        <w:tabs>
          <w:tab w:leader="none" w:pos="115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Notwithstanding the provisions of Section 8(b), and in addition to its right to submit any dispute or controversy to arbitration, the Company or one of its Affiliates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Restrictive Covenants, or to enforce an arbitration award, and, for the purposes of this Section 8(c), the Employee (i) expressly consents to the application of Section 8(d) to any such action or proceeding, (ii) agrees that proof shall not be required that monetary damages for breach of the provisions of the Restrictive Covenants or this Agreement would be difficult to calculate and that remedies at law would be inadequate, and (iii) irrevocably appoints the General Counsel of the Company as the Employee’s agent for service of process in connection with any such action or proceeding, who shall promptly advise the Employee of any such service of process by notifying the Employee at the last address on file in the Company’s records.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62" w:name="page163"/>
    <w:bookmarkEnd w:id="162"/>
    <w:p>
      <w:pPr>
        <w:ind w:firstLine="921"/>
        <w:spacing w:after="0" w:line="286" w:lineRule="auto"/>
        <w:tabs>
          <w:tab w:leader="none" w:pos="1162" w:val="left"/>
        </w:tabs>
        <w:numPr>
          <w:ilvl w:val="1"/>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8(b). This includes any suit, action or proceeding to compel arbitration or to enforce an arbitration award. The Employee and the Company acknowledge that the forum designated by this Section 8(d)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Sections 8(a), 8(b), or this Section 8(d).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8(d). The Employee and the Company undertake not to commence any action arising out of or relating to or concerning this Agreement in any forum other than a forum described in this Section 8(d), or, to the extent applicable, Section 8(b).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236" w:lineRule="exact"/>
        <w:rPr>
          <w:rFonts w:ascii="Arial" w:cs="Arial" w:eastAsia="Arial" w:hAnsi="Arial"/>
          <w:sz w:val="16"/>
          <w:szCs w:val="16"/>
          <w:color w:val="auto"/>
        </w:rPr>
      </w:pPr>
    </w:p>
    <w:p>
      <w:pPr>
        <w:ind w:left="900" w:hanging="446"/>
        <w:spacing w:after="0"/>
        <w:tabs>
          <w:tab w:leader="none" w:pos="9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and Interpretation.</w:t>
      </w:r>
    </w:p>
    <w:p>
      <w:pPr>
        <w:spacing w:after="0" w:line="96"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(a) interpret the Plan, (b) prescribe, amend and rescind rules and regulations relating to the Plan, and (c) make all other determinations deemed necessary or advisable for the administration of the Plan.</w:t>
      </w:r>
    </w:p>
    <w:p>
      <w:pPr>
        <w:spacing w:after="0" w:line="259"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9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Any modification, amendment or waiver to this Agreement that shall materially impair the rights of the Employee with respect to the Stock Units shall require an instrument in writing to be signed (either in paper format or electronically) by both parties hereto, except such a modification, amendment or waiver made to cause the Plan or the Stock Units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231" w:lineRule="exact"/>
        <w:rPr>
          <w:sz w:val="20"/>
          <w:szCs w:val="20"/>
          <w:color w:val="auto"/>
        </w:rPr>
      </w:pPr>
    </w:p>
    <w:p>
      <w:pPr>
        <w:ind w:left="900" w:hanging="446"/>
        <w:spacing w:after="0"/>
        <w:tabs>
          <w:tab w:leader="none" w:pos="9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 of the Code.</w:t>
      </w:r>
    </w:p>
    <w:p>
      <w:pPr>
        <w:spacing w:after="0" w:line="96"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It is intended that the Stock Units shall be exempt from Section 409A of the Code pursuant to the “short-term deferral” rule applicable to such section, as set forth in the regulations or other guidance published by the Internal Revenue Service thereunder.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63" w:name="page164"/>
    <w:bookmarkEnd w:id="163"/>
    <w:p>
      <w:pPr>
        <w:ind w:left="900" w:hanging="446"/>
        <w:spacing w:after="0"/>
        <w:tabs>
          <w:tab w:leader="none" w:pos="9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Delivery.</w:t>
      </w:r>
    </w:p>
    <w:p>
      <w:pPr>
        <w:spacing w:after="0" w:line="9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In lieu of receiving documents in paper format, the Employee hereby agrees, to the fullest extent permitted by law, to accept electronic delivery of any documents that the Company or any Affiliate may be required to deliver (including, but not limited to, prospectuses, prospectus supplements, grant or Award notifications and agreements, account statements, annual and quarterly reports, and all other forms of communications) in connection with the Stock Units or any other prior or future Award (it being understood and agreed that the Company or its Affiliates may, in their sole discretion, elect to satisfy any delivery requirements electronically, in paper format, or a combination of both methods). Electronic delivery of a document to the Employee may be via a Company email system or by reference to a location on a Company intranet or secure internet site to which Employee has access.</w:t>
      </w:r>
    </w:p>
    <w:p>
      <w:pPr>
        <w:spacing w:after="0" w:line="236" w:lineRule="exact"/>
        <w:rPr>
          <w:sz w:val="20"/>
          <w:szCs w:val="20"/>
          <w:color w:val="auto"/>
        </w:rPr>
      </w:pPr>
    </w:p>
    <w:p>
      <w:pPr>
        <w:ind w:left="900" w:hanging="446"/>
        <w:spacing w:after="0"/>
        <w:tabs>
          <w:tab w:leader="none" w:pos="9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Policy.</w:t>
      </w:r>
    </w:p>
    <w:p>
      <w:pPr>
        <w:spacing w:after="0" w:line="96" w:lineRule="exact"/>
        <w:rPr>
          <w:sz w:val="20"/>
          <w:szCs w:val="20"/>
          <w:color w:val="auto"/>
        </w:rPr>
      </w:pPr>
    </w:p>
    <w:p>
      <w:pPr>
        <w:ind w:right="500" w:firstLine="913"/>
        <w:spacing w:after="0" w:line="332" w:lineRule="auto"/>
        <w:rPr>
          <w:sz w:val="20"/>
          <w:szCs w:val="20"/>
          <w:color w:val="auto"/>
        </w:rPr>
      </w:pPr>
      <w:r>
        <w:rPr>
          <w:rFonts w:ascii="Arial" w:cs="Arial" w:eastAsia="Arial" w:hAnsi="Arial"/>
          <w:sz w:val="16"/>
          <w:szCs w:val="16"/>
          <w:color w:val="auto"/>
        </w:rPr>
        <w:t>The Employee acknowledges and agrees that the Employee and the Stock Units are subject to the Company’s Compensation Recovery Policy Applicable to Named Executive Officers, as in effect as of the date hereof (a copy of which has been provided to the Employee).</w:t>
      </w:r>
    </w:p>
    <w:p>
      <w:pPr>
        <w:spacing w:after="0" w:line="201"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96"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headings of paragraphs herein are included solely for convenience of reference and shall not affect the meaning or interpretation of any of the provisions of this Agreement.</w:t>
      </w:r>
    </w:p>
    <w:p>
      <w:pPr>
        <w:spacing w:after="0" w:line="248"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96" w:lineRule="exact"/>
        <w:rPr>
          <w:sz w:val="20"/>
          <w:szCs w:val="20"/>
          <w:color w:val="auto"/>
        </w:rPr>
      </w:pPr>
    </w:p>
    <w:p>
      <w:pPr>
        <w:jc w:val="center"/>
        <w:ind w:right="1960"/>
        <w:spacing w:after="0" w:line="506" w:lineRule="auto"/>
        <w:rPr>
          <w:sz w:val="20"/>
          <w:szCs w:val="20"/>
          <w:color w:val="auto"/>
        </w:rPr>
      </w:pPr>
      <w:r>
        <w:rPr>
          <w:rFonts w:ascii="Arial" w:cs="Arial" w:eastAsia="Arial" w:hAnsi="Arial"/>
          <w:sz w:val="18"/>
          <w:szCs w:val="18"/>
          <w:color w:val="auto"/>
        </w:rPr>
        <w:t>This Agreement may be executed in counterparts, which together shall constitute one and the same original. [REMAINDER OF PAGE LEFT INTENTIONALLY BLANK] 7</w:t>
      </w:r>
    </w:p>
    <w:p>
      <w:pPr>
        <w:sectPr>
          <w:pgSz w:w="11900" w:h="16838" w:orient="portrait"/>
          <w:cols w:equalWidth="0" w:num="1">
            <w:col w:w="11380"/>
          </w:cols>
          <w:pgMar w:left="240" w:top="274" w:right="279" w:bottom="1440" w:gutter="0" w:footer="0" w:header="0"/>
        </w:sectPr>
      </w:pPr>
    </w:p>
    <w:bookmarkStart w:id="164" w:name="page165"/>
    <w:bookmarkEnd w:id="16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itself or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281305</wp:posOffset>
            </wp:positionV>
            <wp:extent cx="2693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280" w:right="51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Employee acknowledges that the grant of the Stock Units pursuant to the Stock Unit Agreement (such Stock Units, the “Stock Units” and such Stock Unit Agreement, the “Agreement”) confers a substantial benefit upon the Employee, and agrees to the following covenants (the “Restrictive Covenants”), which are designed, among other things, to protect the interests of the Lazard Group LLC, a Delaware limited liability company (the “Company”), and its Affiliates (collectively, the “Firm”) in its confidential and proprietary information, trade secrets, customer and employee relationships, orderly transition of responsibilities, and other legitimate business interests. All capitalized terms used herein, to the extent not defined, shall have the meaning set forth in the Lazard Ltd 2008 Incentive Compensation Plan. The Employee acknowledges that the Stock Units will be forfeited upon a violation by the Employee of the Restrictive Covenants, and that, pursuant to the Agreement, the Firm may seek injunctive relief in order to enforce the Restrictive Covenants:</w:t>
      </w:r>
    </w:p>
    <w:p>
      <w:pPr>
        <w:spacing w:after="0" w:line="118" w:lineRule="exact"/>
        <w:rPr>
          <w:sz w:val="20"/>
          <w:szCs w:val="20"/>
          <w:color w:val="auto"/>
        </w:rPr>
      </w:pPr>
    </w:p>
    <w:p>
      <w:pPr>
        <w:ind w:firstLine="464"/>
        <w:spacing w:after="0" w:line="286" w:lineRule="auto"/>
        <w:tabs>
          <w:tab w:leader="none" w:pos="695"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information that is not unique to the Firm or that is generally known to the industry or the public other than as a result of the Employee’s breach of this Restrictive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Paragraph (a),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rFonts w:ascii="Arial" w:cs="Arial" w:eastAsia="Arial" w:hAnsi="Arial"/>
          <w:sz w:val="16"/>
          <w:szCs w:val="16"/>
          <w:color w:val="auto"/>
        </w:rPr>
      </w:pPr>
    </w:p>
    <w:p>
      <w:pPr>
        <w:ind w:right="100" w:firstLine="464"/>
        <w:spacing w:after="0" w:line="291" w:lineRule="auto"/>
        <w:tabs>
          <w:tab w:leader="none" w:pos="705"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 (i) (A) three months after the Employee’s date of Termination of Employment for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166" w:name="page167"/>
    <w:bookmarkEnd w:id="16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(other than an award agreement evidencing previously granted equity-based, fund interest, deferred cash or similar awards (collectively, the “Prior Awards”))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the Agreement, including this Appendix A, “Competitive Enterprise” shall mean a business (or business unit) that</w:t>
      </w:r>
    </w:p>
    <w:p>
      <w:pPr>
        <w:ind w:right="100" w:firstLine="8"/>
        <w:spacing w:after="0" w:line="287" w:lineRule="auto"/>
        <w:tabs>
          <w:tab w:leader="none" w:pos="24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A, the Employee shall not be considered to be in violation of the Restrictive Covenants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Paragraph (b) shall be applicable to each jurisdiction, foreign country, state, possession or territory in which the Firm may be engaged in business while the Employee is providing services to the Firm.</w:t>
      </w:r>
    </w:p>
    <w:p>
      <w:pPr>
        <w:spacing w:after="0" w:line="124" w:lineRule="exact"/>
        <w:rPr>
          <w:rFonts w:ascii="Arial" w:cs="Arial" w:eastAsia="Arial" w:hAnsi="Arial"/>
          <w:sz w:val="16"/>
          <w:szCs w:val="16"/>
          <w:color w:val="auto"/>
        </w:rPr>
      </w:pPr>
    </w:p>
    <w:p>
      <w:pPr>
        <w:ind w:right="60" w:firstLine="464"/>
        <w:spacing w:after="0" w:line="286" w:lineRule="auto"/>
        <w:tabs>
          <w:tab w:leader="none" w:pos="695"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Paragraph (b) above if such services were provided by the Employee, or (ii) interfere with or damage (or attempt to interfere with or damage) any relationship between the Firm and a Client. For purposes of the Agreement, including this Appendix A,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67" w:name="page168"/>
    <w:bookmarkEnd w:id="167"/>
    <w:p>
      <w:pPr>
        <w:ind w:left="-20" w:right="20" w:firstLine="464"/>
        <w:spacing w:after="0" w:line="290"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Hire of Employees</w:t>
      </w:r>
      <w:r>
        <w:rPr>
          <w:rFonts w:ascii="Arial" w:cs="Arial" w:eastAsia="Arial" w:hAnsi="Arial"/>
          <w:sz w:val="16"/>
          <w:szCs w:val="16"/>
          <w:color w:val="auto"/>
        </w:rPr>
        <w:t>. The Employee hereby agrees that while employed by the Firm and thereafter until (i) six months after the Date of Termination for any reason or (ii) the end of any longer period during which any similar covenants would be applicable to the Employee pursuant to any other agreement (other than an award agreement evidencing any Prior Awards)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rFonts w:ascii="Arial" w:cs="Arial" w:eastAsia="Arial" w:hAnsi="Arial"/>
          <w:sz w:val="16"/>
          <w:szCs w:val="16"/>
          <w:color w:val="auto"/>
        </w:rPr>
      </w:pPr>
    </w:p>
    <w:p>
      <w:pPr>
        <w:ind w:left="-20" w:right="60" w:firstLine="464"/>
        <w:spacing w:after="0" w:line="291" w:lineRule="auto"/>
        <w:tabs>
          <w:tab w:leader="none" w:pos="67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The Employee shall not at any time (whether prior to or following the Employee’s Termination of Employment), and shall instruct the Employee’s spouse or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rFonts w:ascii="Arial" w:cs="Arial" w:eastAsia="Arial" w:hAnsi="Arial"/>
          <w:sz w:val="16"/>
          <w:szCs w:val="16"/>
          <w:color w:val="auto"/>
        </w:rPr>
      </w:pPr>
    </w:p>
    <w:p>
      <w:pPr>
        <w:ind w:left="-20" w:right="20" w:firstLine="464"/>
        <w:spacing w:after="0" w:line="294" w:lineRule="auto"/>
        <w:tabs>
          <w:tab w:leader="none" w:pos="656"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The Employee agrees to provide a period of advance written notice to the Firm prior to the Employee’s Termination of Employment equal to (i) three months or (ii) any longer notice period required pursuant to any other agreement (other than an award agreement evidencing any Prior Awards) between the Employee and the Firm. The Employee hereby agrees that, if, during the applicable period after the Employee has provided notice of termination to the Firm or prior thereto, the Employee enters (or has entered into) a written agreement to provide services or perform activities for a Competitive Enterprise that would violate Paragraph (b) if performed during the Non-compete Restriction Period, such action shall be deemed a violation of this Paragraph (f).</w:t>
      </w:r>
    </w:p>
    <w:p>
      <w:pPr>
        <w:spacing w:after="0" w:line="115" w:lineRule="exact"/>
        <w:rPr>
          <w:rFonts w:ascii="Arial" w:cs="Arial" w:eastAsia="Arial" w:hAnsi="Arial"/>
          <w:sz w:val="16"/>
          <w:szCs w:val="16"/>
          <w:color w:val="auto"/>
        </w:rPr>
      </w:pPr>
    </w:p>
    <w:p>
      <w:pPr>
        <w:ind w:left="-20" w:firstLine="464"/>
        <w:spacing w:after="0" w:line="289"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Restrictive Covenants Generally</w:t>
      </w:r>
      <w:r>
        <w:rPr>
          <w:rFonts w:ascii="Arial" w:cs="Arial" w:eastAsia="Arial" w:hAnsi="Arial"/>
          <w:sz w:val="16"/>
          <w:szCs w:val="16"/>
          <w:color w:val="auto"/>
        </w:rPr>
        <w:t>. If any of the Restrictive Covenants is finally held to be invalid, illegal or unenforceable (whether in whole or in part), such Restrictive Covenant shall be deemed modified to the extent, but only to the extent, of such invalidity, illegality or unenforceability and the remaining such Restrictive Covenants shall not be affected thereby; provided, however, that if any of such Restrictive Covenants is finally held to be invalid, illegal or unenforceable because it exceeds the maximum scope determined to be acceptable to permit such provision to be enforceable, such Restrictive Covenant shall be deemed to be modified to the minimum extent necessary to modify such scope in order to make such 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A, with a copy of such notice delivered no later than the date of the Employee’s commencement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60" w:top="280" w:right="239" w:bottom="1440" w:gutter="0" w:footer="0" w:header="0"/>
        </w:sectPr>
      </w:pPr>
    </w:p>
    <w:bookmarkStart w:id="168" w:name="page169"/>
    <w:bookmarkEnd w:id="16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employment with such prospective employer, to the General Counsel of the Company. The Employee acknowledges and agrees that the terms of the Restrictive Covenants: (i) are reasonable in light of all of the circumstances, (ii) are sufficiently limited to protect the legitimate interests of the Firm, (iii) impose no undue hardship on the Employee and (iv) are not injurious to the public. The Employee acknowledges and agrees that the Employee’s breach of the Restrictive Covenants will cause the Firm irreparable harm, which cannot be adequately compensated by money damages. The Employee also agrees that the Firm shall be entitled to injunctive relief for any actual or threatened violation of any of the Restrictive Covenants in addition to any other remedies it may have, including, without limitation, money damages and forfeiture of the Stock Units. The Employee further acknowledges that, except as provided in Paragraph (h), the Restrictive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18" w:lineRule="exact"/>
        <w:rPr>
          <w:sz w:val="20"/>
          <w:szCs w:val="20"/>
          <w:color w:val="auto"/>
        </w:rPr>
      </w:pPr>
    </w:p>
    <w:p>
      <w:pPr>
        <w:ind w:right="60" w:firstLine="464"/>
        <w:spacing w:after="0" w:line="255"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Other Restrictive Covenants</w:t>
      </w:r>
      <w:r>
        <w:rPr>
          <w:rFonts w:ascii="Arial" w:cs="Arial" w:eastAsia="Arial" w:hAnsi="Arial"/>
          <w:sz w:val="18"/>
          <w:szCs w:val="18"/>
          <w:color w:val="auto"/>
        </w:rPr>
        <w:t>. The Employee acknowledges that, in the event that the Employee is subject to an employment contract, the Restrictive Covenants set forth in this Appendix A constitute a supplement to such employment contract and will be entirely governed by the distinct and specific provisions of this Appendix A. The Employee acknowledges that the Restrictive Covenants set forth in this Appendix A shall supersede and are in full substitution for any and all prior restrictive covenants included in any award agreement evidencing any Prior Awards by which the Employee is bound, and this Paragraph (h) shall constitute a valid amendment to such award agreements.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620" w:type="dxa"/>
            <w:vAlign w:val="bottom"/>
            <w:gridSpan w:val="4"/>
            <w:vMerge w:val="restart"/>
          </w:tcPr>
          <w:p>
            <w:pPr>
              <w:ind w:left="320"/>
              <w:spacing w:after="0" w:line="149" w:lineRule="exact"/>
              <w:rPr>
                <w:sz w:val="20"/>
                <w:szCs w:val="20"/>
                <w:color w:val="auto"/>
              </w:rPr>
            </w:pPr>
            <w:r>
              <w:rPr>
                <w:rFonts w:ascii="Arial" w:cs="Arial" w:eastAsia="Arial" w:hAnsi="Arial"/>
                <w:sz w:val="14"/>
                <w:szCs w:val="14"/>
                <w:b w:val="1"/>
                <w:bCs w:val="1"/>
                <w:color w:val="auto"/>
              </w:rPr>
              <w:t>Ended March 31,</w:t>
            </w: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gridSpan w:val="3"/>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4"/>
          </w:tcPr>
          <w:p>
            <w:pPr>
              <w:jc w:val="right"/>
              <w:ind w:right="860"/>
              <w:spacing w:after="0" w:line="155" w:lineRule="exact"/>
              <w:rPr>
                <w:sz w:val="20"/>
                <w:szCs w:val="20"/>
                <w:color w:val="auto"/>
              </w:rPr>
            </w:pPr>
            <w:r>
              <w:rPr>
                <w:rFonts w:ascii="Arial" w:cs="Arial" w:eastAsia="Arial" w:hAnsi="Arial"/>
                <w:sz w:val="14"/>
                <w:szCs w:val="14"/>
                <w:b w:val="1"/>
                <w:bCs w:val="1"/>
                <w:color w:val="auto"/>
                <w:w w:val="84"/>
              </w:rPr>
              <w:t>(dollars in thousands)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21,224</w:t>
            </w:r>
          </w:p>
        </w:tc>
        <w:tc>
          <w:tcPr>
            <w:tcW w:w="3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121,593</w:t>
            </w: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241,791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$246,809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(181,988)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Add—Fixed charges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6"/>
              </w:rPr>
              <w:t>116,255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114,998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132,785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8"/>
                <w:szCs w:val="18"/>
                <w:color w:val="auto"/>
              </w:rPr>
              <w:t>Operating income (loss) before</w:t>
            </w: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fixed charges</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49,857</w:t>
            </w:r>
          </w:p>
        </w:tc>
        <w:tc>
          <w:tcPr>
            <w:tcW w:w="3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237,848</w:t>
            </w:r>
          </w:p>
        </w:tc>
        <w:tc>
          <w:tcPr>
            <w:tcW w:w="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356,789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(49,203)</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203,694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420"/>
              <w:spacing w:after="0"/>
              <w:rPr>
                <w:sz w:val="20"/>
                <w:szCs w:val="20"/>
                <w:color w:val="auto"/>
              </w:rPr>
            </w:pPr>
            <w:r>
              <w:rPr>
                <w:rFonts w:ascii="Arial" w:cs="Arial" w:eastAsia="Arial" w:hAnsi="Arial"/>
                <w:sz w:val="18"/>
                <w:szCs w:val="18"/>
                <w:color w:val="auto"/>
              </w:rPr>
              <w:t>Interest (b)</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22,194</w:t>
            </w:r>
          </w:p>
        </w:tc>
        <w:tc>
          <w:tcPr>
            <w:tcW w:w="3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91,359</w:t>
            </w:r>
          </w:p>
        </w:tc>
        <w:tc>
          <w:tcPr>
            <w:tcW w:w="7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94,211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$102,249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113,280</w:t>
            </w:r>
          </w:p>
        </w:tc>
        <w:tc>
          <w:tcPr>
            <w:tcW w:w="4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24,896</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20,252</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Total fixed charges</w:t>
            </w: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gridSpan w:val="3"/>
            <w:vMerge w:val="continue"/>
          </w:tcPr>
          <w:p>
            <w:pPr>
              <w:spacing w:after="0"/>
              <w:rPr>
                <w:sz w:val="19"/>
                <w:szCs w:val="19"/>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28,633</w:t>
            </w:r>
          </w:p>
        </w:tc>
        <w:tc>
          <w:tcPr>
            <w:tcW w:w="3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116,255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114,998</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121,656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132,785</w:t>
            </w:r>
          </w:p>
        </w:tc>
        <w:tc>
          <w:tcPr>
            <w:tcW w:w="4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161,665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2.05(e)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3.03(f)</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1.26(h)</w:t>
            </w: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w w:val="97"/>
              </w:rPr>
              <w:t>Deficiency in the coverage of operating income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(loss) before fixed charges to total fixed</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charges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181,988</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100" w:hanging="452"/>
        <w:spacing w:after="0" w:line="357" w:lineRule="auto"/>
        <w:tabs>
          <w:tab w:leader="none" w:pos="4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Operating income for the three month period ended March 31, 2013 is presented after giving effect to a charge of $26,322 associated with the cost saving initiatives announced by the Company in October, 2012. Excluding the impact of such charge, the ratio of earnings to fixed charges would have been 2.66.</w:t>
      </w:r>
    </w:p>
    <w:p>
      <w:pPr>
        <w:ind w:left="460" w:right="160" w:hanging="452"/>
        <w:spacing w:after="0" w:line="323" w:lineRule="auto"/>
        <w:tabs>
          <w:tab w:leader="none" w:pos="4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(ii) a charge in the fourth quarter of $102,576 associated with the cost saving initiatives announced by the Company in October, 2012. Excluding the impact of such items, the ratio of earnings to fixed charges would have been 3.14.</w:t>
      </w:r>
    </w:p>
    <w:p>
      <w:pPr>
        <w:spacing w:after="0" w:line="16" w:lineRule="exact"/>
        <w:rPr>
          <w:rFonts w:ascii="Arial" w:cs="Arial" w:eastAsia="Arial" w:hAnsi="Arial"/>
          <w:sz w:val="15"/>
          <w:szCs w:val="15"/>
          <w:color w:val="auto"/>
        </w:rPr>
      </w:pPr>
    </w:p>
    <w:p>
      <w:pPr>
        <w:ind w:left="460" w:right="40" w:hanging="452"/>
        <w:spacing w:after="0" w:line="259"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420"/>
          </w:cols>
          <w:pgMar w:left="240" w:top="125" w:right="239" w:bottom="1440" w:gutter="0" w:footer="0" w:header="0"/>
        </w:sectPr>
      </w:pPr>
    </w:p>
    <w:bookmarkStart w:id="170" w:name="page171"/>
    <w:bookmarkEnd w:id="170"/>
    <w:p>
      <w:pPr>
        <w:ind w:left="452" w:hanging="452"/>
        <w:spacing w:after="0" w:line="298" w:lineRule="auto"/>
        <w:tabs>
          <w:tab w:leader="none" w:pos="4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392"/>
          </w:cols>
          <w:pgMar w:left="248" w:top="280" w:right="2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2013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2013</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2013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1."/>
      <w:numFmt w:val="decimal"/>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decimal"/>
      <w:start w:val="2"/>
    </w:lvl>
  </w:abstractNum>
  <w:abstractNum w:abstractNumId="7">
    <w:nsid w:val="46B7D447"/>
    <w:multiLevelType w:val="hybridMultilevel"/>
    <w:lvl w:ilvl="0">
      <w:lvlJc w:val="left"/>
      <w:lvlText w:val="%1."/>
      <w:numFmt w:val="decimal"/>
      <w:start w:val="3"/>
    </w:lvl>
  </w:abstractNum>
  <w:abstractNum w:abstractNumId="8">
    <w:nsid w:val="4A2AC315"/>
    <w:multiLevelType w:val="hybridMultilevel"/>
    <w:lvl w:ilvl="0">
      <w:lvlJc w:val="left"/>
      <w:lvlText w:val="%1."/>
      <w:numFmt w:val="decimal"/>
      <w:start w:val="4"/>
    </w:lvl>
  </w:abstractNum>
  <w:abstractNum w:abstractNumId="9">
    <w:nsid w:val="39EE015C"/>
    <w:multiLevelType w:val="hybridMultilevel"/>
    <w:lvl w:ilvl="0">
      <w:lvlJc w:val="left"/>
      <w:lvlText w:val="(%1)"/>
      <w:numFmt w:val="lowerLetter"/>
      <w:start w:val="1"/>
    </w:lvl>
  </w:abstractNum>
  <w:abstractNum w:abstractNumId="10">
    <w:nsid w:val="57FC4FBB"/>
    <w:multiLevelType w:val="hybridMultilevel"/>
    <w:lvl w:ilvl="0">
      <w:lvlJc w:val="left"/>
      <w:lvlText w:val="%1."/>
      <w:numFmt w:val="decimal"/>
      <w:start w:val="5"/>
    </w:lvl>
  </w:abstractNum>
  <w:abstractNum w:abstractNumId="11">
    <w:nsid w:val="CC1016F"/>
    <w:multiLevelType w:val="hybridMultilevel"/>
    <w:lvl w:ilvl="0">
      <w:lvlJc w:val="left"/>
      <w:lvlText w:val="(%1)"/>
      <w:numFmt w:val="lowerLetter"/>
      <w:start w:val="1"/>
    </w:lvl>
  </w:abstractNum>
  <w:abstractNum w:abstractNumId="12">
    <w:nsid w:val="43F18422"/>
    <w:multiLevelType w:val="hybridMultilevel"/>
    <w:lvl w:ilvl="0">
      <w:lvlJc w:val="left"/>
      <w:lvlText w:val="(%1)"/>
      <w:numFmt w:val="lowerLetter"/>
      <w:start w:val="1"/>
    </w:lvl>
  </w:abstractNum>
  <w:abstractNum w:abstractNumId="13">
    <w:nsid w:val="60EF0119"/>
    <w:multiLevelType w:val="hybridMultilevel"/>
    <w:lvl w:ilvl="0">
      <w:lvlJc w:val="left"/>
      <w:lvlText w:val="(%1)"/>
      <w:numFmt w:val="lowerLetter"/>
      <w:start w:val="1"/>
    </w:lvl>
  </w:abstractNum>
  <w:abstractNum w:abstractNumId="14">
    <w:nsid w:val="26F324BA"/>
    <w:multiLevelType w:val="hybridMultilevel"/>
    <w:lvl w:ilvl="0">
      <w:lvlJc w:val="left"/>
      <w:lvlText w:val="%1."/>
      <w:numFmt w:val="decimal"/>
      <w:start w:val="6"/>
    </w:lvl>
  </w:abstractNum>
  <w:abstractNum w:abstractNumId="15">
    <w:nsid w:val="7F01579B"/>
    <w:multiLevelType w:val="hybridMultilevel"/>
    <w:lvl w:ilvl="0">
      <w:lvlJc w:val="left"/>
      <w:lvlText w:val="(%1)"/>
      <w:numFmt w:val="lowerLetter"/>
      <w:start w:val="1"/>
    </w:lvl>
  </w:abstractNum>
  <w:abstractNum w:abstractNumId="16">
    <w:nsid w:val="49DA307D"/>
    <w:multiLevelType w:val="hybridMultilevel"/>
    <w:lvl w:ilvl="0">
      <w:lvlJc w:val="left"/>
      <w:lvlText w:val="%1."/>
      <w:numFmt w:val="decimal"/>
      <w:start w:val="7"/>
    </w:lvl>
  </w:abstractNum>
  <w:abstractNum w:abstractNumId="17">
    <w:nsid w:val="7055A5F5"/>
    <w:multiLevelType w:val="hybridMultilevel"/>
    <w:lvl w:ilvl="0">
      <w:lvlJc w:val="left"/>
      <w:lvlText w:val="%1."/>
      <w:numFmt w:val="decimal"/>
      <w:start w:val="8"/>
    </w:lvl>
  </w:abstractNum>
  <w:abstractNum w:abstractNumId="18">
    <w:nsid w:val="5FB8370B"/>
    <w:multiLevelType w:val="hybridMultilevel"/>
    <w:lvl w:ilvl="0">
      <w:lvlJc w:val="left"/>
      <w:lvlText w:val="(%1)"/>
      <w:numFmt w:val="lowerLetter"/>
      <w:start w:val="1"/>
    </w:lvl>
  </w:abstractNum>
  <w:abstractNum w:abstractNumId="19">
    <w:nsid w:val="50801EE1"/>
    <w:multiLevelType w:val="hybridMultilevel"/>
    <w:lvl w:ilvl="0">
      <w:lvlJc w:val="left"/>
      <w:lvlText w:val="%1."/>
      <w:numFmt w:val="decimal"/>
      <w:start w:val="9"/>
    </w:lvl>
  </w:abstractNum>
  <w:abstractNum w:abstractNumId="20">
    <w:nsid w:val="488AC1A"/>
    <w:multiLevelType w:val="hybridMultilevel"/>
    <w:lvl w:ilvl="0">
      <w:lvlJc w:val="left"/>
      <w:lvlText w:val="%1."/>
      <w:numFmt w:val="decimal"/>
      <w:start w:val="10"/>
    </w:lvl>
  </w:abstractNum>
  <w:abstractNum w:abstractNumId="21">
    <w:nsid w:val="5FB8011C"/>
    <w:multiLevelType w:val="hybridMultilevel"/>
    <w:lvl w:ilvl="0">
      <w:lvlJc w:val="left"/>
      <w:lvlText w:val="%1."/>
      <w:numFmt w:val="decimal"/>
      <w:start w:val="11"/>
    </w:lvl>
  </w:abstractNum>
  <w:abstractNum w:abstractNumId="22">
    <w:nsid w:val="6AA78F7F"/>
    <w:multiLevelType w:val="hybridMultilevel"/>
    <w:lvl w:ilvl="0">
      <w:lvlJc w:val="left"/>
      <w:lvlText w:val="(%1)"/>
      <w:numFmt w:val="lowerLetter"/>
      <w:start w:val="1"/>
    </w:lvl>
  </w:abstractNum>
  <w:abstractNum w:abstractNumId="23">
    <w:nsid w:val="7672BD23"/>
    <w:multiLevelType w:val="hybridMultilevel"/>
    <w:lvl w:ilvl="0">
      <w:lvlJc w:val="left"/>
      <w:lvlText w:val="%1."/>
      <w:numFmt w:val="decimal"/>
      <w:start w:val="12"/>
    </w:lvl>
  </w:abstractNum>
  <w:abstractNum w:abstractNumId="24">
    <w:nsid w:val="6FC75AF8"/>
    <w:multiLevelType w:val="hybridMultilevel"/>
    <w:lvl w:ilvl="0">
      <w:lvlJc w:val="left"/>
      <w:lvlText w:val="(%1)"/>
      <w:numFmt w:val="lowerLetter"/>
      <w:start w:val="1"/>
    </w:lvl>
  </w:abstractNum>
  <w:abstractNum w:abstractNumId="25">
    <w:nsid w:val="6A5F7029"/>
    <w:multiLevelType w:val="hybridMultilevel"/>
    <w:lvl w:ilvl="0">
      <w:lvlJc w:val="left"/>
      <w:lvlText w:val="(%1)"/>
      <w:numFmt w:val="lowerLetter"/>
      <w:start w:val="1"/>
    </w:lvl>
  </w:abstractNum>
  <w:abstractNum w:abstractNumId="26">
    <w:nsid w:val="7D5E18F8"/>
    <w:multiLevelType w:val="hybridMultilevel"/>
    <w:lvl w:ilvl="0">
      <w:lvlJc w:val="left"/>
      <w:lvlText w:val="%1."/>
      <w:numFmt w:val="decimal"/>
      <w:start w:val="13"/>
    </w:lvl>
  </w:abstractNum>
  <w:abstractNum w:abstractNumId="27">
    <w:nsid w:val="5F3534A4"/>
    <w:multiLevelType w:val="hybridMultilevel"/>
    <w:lvl w:ilvl="0">
      <w:lvlJc w:val="left"/>
      <w:lvlText w:val="%1."/>
      <w:numFmt w:val="decimal"/>
      <w:start w:val="14"/>
    </w:lvl>
  </w:abstractNum>
  <w:abstractNum w:abstractNumId="28">
    <w:nsid w:val="73A1821B"/>
    <w:multiLevelType w:val="hybridMultilevel"/>
    <w:lvl w:ilvl="0">
      <w:lvlJc w:val="left"/>
      <w:lvlText w:val="%1."/>
      <w:numFmt w:val="decimal"/>
      <w:start w:val="15"/>
    </w:lvl>
  </w:abstractNum>
  <w:abstractNum w:abstractNumId="29">
    <w:nsid w:val="7DE67713"/>
    <w:multiLevelType w:val="hybridMultilevel"/>
    <w:lvl w:ilvl="0">
      <w:lvlJc w:val="left"/>
      <w:lvlText w:val="%1."/>
      <w:numFmt w:val="decimal"/>
      <w:start w:val="16"/>
    </w:lvl>
  </w:abstractNum>
  <w:abstractNum w:abstractNumId="30">
    <w:nsid w:val="555C55B5"/>
    <w:multiLevelType w:val="hybridMultilevel"/>
    <w:lvl w:ilvl="0">
      <w:lvlJc w:val="left"/>
      <w:lvlText w:val="%1."/>
      <w:numFmt w:val="decimal"/>
      <w:start w:val="17"/>
    </w:lvl>
  </w:abstractNum>
  <w:abstractNum w:abstractNumId="31">
    <w:nsid w:val="3FA62ACA"/>
    <w:multiLevelType w:val="hybridMultilevel"/>
    <w:lvl w:ilvl="0">
      <w:lvlJc w:val="left"/>
      <w:lvlText w:val="%1."/>
      <w:numFmt w:val="decimal"/>
      <w:start w:val="18"/>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1)"/>
      <w:numFmt w:val="lowerLetter"/>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1)"/>
      <w:numFmt w:val="lowerRoman"/>
      <w:start w:val="1"/>
    </w:lvl>
  </w:abstractNum>
  <w:abstractNum w:abstractNumId="39">
    <w:nsid w:val="1D545C4D"/>
    <w:multiLevelType w:val="hybridMultilevel"/>
    <w:lvl w:ilvl="0">
      <w:lvlJc w:val="left"/>
      <w:lvlText w:val="(%1)"/>
      <w:numFmt w:val="lowerRoman"/>
      <w:start w:val="3"/>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1)"/>
      <w:numFmt w:val="lowerLetter"/>
      <w:start w:val="1"/>
    </w:lvl>
  </w:abstractNum>
  <w:abstractNum w:abstractNumId="43">
    <w:nsid w:val="1D9F6E5F"/>
    <w:multiLevelType w:val="hybridMultilevel"/>
    <w:lvl w:ilvl="0">
      <w:lvlJc w:val="left"/>
      <w:lvlText w:val="(%1)"/>
      <w:numFmt w:val="lowerLetter"/>
      <w:start w:val="1"/>
    </w:lvl>
  </w:abstractNum>
  <w:abstractNum w:abstractNumId="44">
    <w:nsid w:val="97E1B4E"/>
    <w:multiLevelType w:val="hybridMultilevel"/>
    <w:lvl w:ilvl="0">
      <w:lvlJc w:val="left"/>
      <w:lvlText w:val="(%1)"/>
      <w:numFmt w:val="lowerLetter"/>
      <w:start w:val="1"/>
    </w:lvl>
  </w:abstractNum>
  <w:abstractNum w:abstractNumId="45">
    <w:nsid w:val="51088277"/>
    <w:multiLevelType w:val="hybridMultilevel"/>
    <w:lvl w:ilvl="0">
      <w:lvlJc w:val="left"/>
      <w:lvlText w:val="(%1)"/>
      <w:numFmt w:val="lowerLetter"/>
      <w:start w:val="1"/>
    </w:lvl>
  </w:abstractNum>
  <w:abstractNum w:abstractNumId="46">
    <w:nsid w:val="1CA0C5FA"/>
    <w:multiLevelType w:val="hybridMultilevel"/>
    <w:lvl w:ilvl="0">
      <w:lvlJc w:val="left"/>
      <w:lvlText w:val="(%1)"/>
      <w:numFmt w:val="lowerLetter"/>
      <w:start w:val="1"/>
    </w:lvl>
  </w:abstractNum>
  <w:abstractNum w:abstractNumId="47">
    <w:nsid w:val="53584BCB"/>
    <w:multiLevelType w:val="hybridMultilevel"/>
    <w:lvl w:ilvl="0">
      <w:lvlJc w:val="left"/>
      <w:lvlText w:val="(%1)"/>
      <w:numFmt w:val="lowerLetter"/>
      <w:start w:val="1"/>
    </w:lvl>
  </w:abstractNum>
  <w:abstractNum w:abstractNumId="48">
    <w:nsid w:val="415E286C"/>
    <w:multiLevelType w:val="hybridMultilevel"/>
    <w:lvl w:ilvl="0">
      <w:lvlJc w:val="left"/>
      <w:lvlText w:val="(%1)"/>
      <w:numFmt w:val="lowerLetter"/>
      <w:start w:val="1"/>
    </w:lvl>
  </w:abstractNum>
  <w:abstractNum w:abstractNumId="49">
    <w:nsid w:val="7C58FD05"/>
    <w:multiLevelType w:val="hybridMultilevel"/>
    <w:lvl w:ilvl="0">
      <w:lvlJc w:val="left"/>
      <w:lvlText w:val="(%1)"/>
      <w:numFmt w:val="lowerLetter"/>
      <w:start w:val="1"/>
    </w:lvl>
  </w:abstractNum>
  <w:abstractNum w:abstractNumId="50">
    <w:nsid w:val="23D86AAC"/>
    <w:multiLevelType w:val="hybridMultilevel"/>
    <w:lvl w:ilvl="0">
      <w:lvlJc w:val="left"/>
      <w:lvlText w:val="(%1)"/>
      <w:numFmt w:val="lowerLetter"/>
      <w:start w:val="2"/>
    </w:lvl>
  </w:abstractNum>
  <w:abstractNum w:abstractNumId="51">
    <w:nsid w:val="45E6D486"/>
    <w:multiLevelType w:val="hybridMultilevel"/>
    <w:lvl w:ilvl="0">
      <w:lvlJc w:val="left"/>
      <w:lvlText w:val="(%1)"/>
      <w:numFmt w:val="lowerLetter"/>
      <w:start w:val="1"/>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1)"/>
      <w:numFmt w:val="lowerLetter"/>
      <w:start w:val="1"/>
    </w:lvl>
  </w:abstractNum>
  <w:abstractNum w:abstractNumId="54">
    <w:nsid w:val="3C5991AA"/>
    <w:multiLevelType w:val="hybridMultilevel"/>
    <w:lvl w:ilvl="0">
      <w:lvlJc w:val="left"/>
      <w:lvlText w:val="(%1)"/>
      <w:numFmt w:val="lowerLetter"/>
      <w:start w:val="4"/>
    </w:lvl>
  </w:abstractNum>
  <w:abstractNum w:abstractNumId="55">
    <w:nsid w:val="4BD8591A"/>
    <w:multiLevelType w:val="hybridMultilevel"/>
    <w:lvl w:ilvl="0">
      <w:lvlJc w:val="left"/>
      <w:lvlText w:val="(%1)"/>
      <w:numFmt w:val="lowerLetter"/>
      <w:start w:val="6"/>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2"/>
    </w:lvl>
  </w:abstractNum>
  <w:abstractNum w:abstractNumId="59">
    <w:nsid w:val="6C80EC70"/>
    <w:multiLevelType w:val="hybridMultilevel"/>
    <w:lvl w:ilvl="0">
      <w:lvlJc w:val="left"/>
      <w:lvlText w:val="%1"/>
      <w:numFmt w:val="lowerLetter"/>
      <w:start w:val="1"/>
    </w:lvl>
    <w:lvl w:ilvl="1">
      <w:lvlJc w:val="left"/>
      <w:lvlText w:val="(%2)"/>
      <w:numFmt w:val="lowerLetter"/>
      <w:start w:val="9"/>
    </w:lvl>
  </w:abstractNum>
  <w:abstractNum w:abstractNumId="60">
    <w:nsid w:val="379E21B5"/>
    <w:multiLevelType w:val="hybridMultilevel"/>
    <w:lvl w:ilvl="0">
      <w:lvlJc w:val="left"/>
      <w:lvlText w:val="(%1)"/>
      <w:numFmt w:val="lowerLetter"/>
      <w:start w:val="25"/>
    </w:lvl>
    <w:lvl w:ilvl="1">
      <w:lvlJc w:val="left"/>
      <w:lvlText w:val="%2"/>
      <w:numFmt w:val="lowerLetter"/>
      <w:start w:val="1"/>
    </w:lvl>
  </w:abstractNum>
  <w:abstractNum w:abstractNumId="61">
    <w:nsid w:val="69E373"/>
    <w:multiLevelType w:val="hybridMultilevel"/>
    <w:lvl w:ilvl="0">
      <w:lvlJc w:val="left"/>
      <w:lvlText w:val="(%1)"/>
      <w:numFmt w:val="decimal"/>
      <w:start w:val="2"/>
    </w:lvl>
    <w:lvl w:ilvl="1">
      <w:lvlJc w:val="left"/>
      <w:lvlText w:val="(%2)"/>
      <w:numFmt w:val="lowerRoman"/>
      <w:start w:val="2"/>
    </w:lvl>
  </w:abstractNum>
  <w:abstractNum w:abstractNumId="62">
    <w:nsid w:val="2C27173B"/>
    <w:multiLevelType w:val="hybridMultilevel"/>
    <w:lvl w:ilvl="0">
      <w:lvlJc w:val="left"/>
      <w:lvlText w:val="(%1)"/>
      <w:numFmt w:val="decimal"/>
      <w:start w:val="30"/>
    </w:lvl>
  </w:abstractNum>
  <w:abstractNum w:abstractNumId="63">
    <w:nsid w:val="4C9B0904"/>
    <w:multiLevelType w:val="hybridMultilevel"/>
    <w:lvl w:ilvl="0">
      <w:lvlJc w:val="left"/>
      <w:lvlText w:val="(%1)"/>
      <w:numFmt w:val="decimal"/>
      <w:start w:val="90"/>
    </w:lvl>
  </w:abstractNum>
  <w:abstractNum w:abstractNumId="64">
    <w:nsid w:val="6AA7B75C"/>
    <w:multiLevelType w:val="hybridMultilevel"/>
    <w:lvl w:ilvl="0">
      <w:lvlJc w:val="left"/>
      <w:lvlText w:val="%1."/>
      <w:numFmt w:val="decimal"/>
      <w:start w:val="5"/>
    </w:lvl>
  </w:abstractNum>
  <w:abstractNum w:abstractNumId="65">
    <w:nsid w:val="1DF029D3"/>
    <w:multiLevelType w:val="hybridMultilevel"/>
    <w:lvl w:ilvl="0">
      <w:lvlJc w:val="left"/>
      <w:lvlText w:val="%1."/>
      <w:numFmt w:val="decimal"/>
      <w:start w:val="6"/>
    </w:lvl>
  </w:abstractNum>
  <w:abstractNum w:abstractNumId="66">
    <w:nsid w:val="5675FF36"/>
    <w:multiLevelType w:val="hybridMultilevel"/>
    <w:lvl w:ilvl="0">
      <w:lvlJc w:val="left"/>
      <w:lvlText w:val="%1."/>
      <w:numFmt w:val="decimal"/>
      <w:start w:val="7"/>
    </w:lvl>
  </w:abstractNum>
  <w:abstractNum w:abstractNumId="67">
    <w:nsid w:val="3DD15094"/>
    <w:multiLevelType w:val="hybridMultilevel"/>
    <w:lvl w:ilvl="0">
      <w:lvlJc w:val="left"/>
      <w:lvlText w:val="(%1)"/>
      <w:numFmt w:val="lowerRoman"/>
      <w:start w:val="3"/>
    </w:lvl>
  </w:abstractNum>
  <w:abstractNum w:abstractNumId="68">
    <w:nsid w:val="3DB012B3"/>
    <w:multiLevelType w:val="hybridMultilevel"/>
    <w:lvl w:ilvl="0">
      <w:lvlJc w:val="left"/>
      <w:lvlText w:val="(%1)"/>
      <w:numFmt w:val="lowerRoman"/>
      <w:start w:val="1"/>
    </w:lvl>
  </w:abstractNum>
  <w:abstractNum w:abstractNumId="69">
    <w:nsid w:val="2708C9AF"/>
    <w:multiLevelType w:val="hybridMultilevel"/>
    <w:lvl w:ilvl="0">
      <w:lvlJc w:val="left"/>
      <w:lvlText w:val="%1"/>
      <w:numFmt w:val="decimal"/>
      <w:start w:val="1"/>
    </w:lvl>
    <w:lvl w:ilvl="1">
      <w:lvlJc w:val="left"/>
      <w:lvlText w:val="(%2)"/>
      <w:numFmt w:val="lowerLetter"/>
      <w:start w:val="9"/>
    </w:lvl>
  </w:abstractNum>
  <w:abstractNum w:abstractNumId="70">
    <w:nsid w:val="5B25ACE2"/>
    <w:multiLevelType w:val="hybridMultilevel"/>
    <w:lvl w:ilvl="0">
      <w:lvlJc w:val="left"/>
      <w:lvlText w:val="%1."/>
      <w:numFmt w:val="decimal"/>
      <w:start w:val="8"/>
    </w:lvl>
    <w:lvl w:ilvl="1">
      <w:lvlJc w:val="left"/>
      <w:lvlText w:val="%2"/>
      <w:numFmt w:val="lowerLetter"/>
      <w:start w:val="1"/>
    </w:lvl>
  </w:abstractNum>
  <w:abstractNum w:abstractNumId="71">
    <w:nsid w:val="175DFCF0"/>
    <w:multiLevelType w:val="hybridMultilevel"/>
    <w:lvl w:ilvl="0">
      <w:lvlJc w:val="left"/>
      <w:lvlText w:val="%1."/>
      <w:numFmt w:val="decimal"/>
      <w:start w:val="1"/>
    </w:lvl>
  </w:abstractNum>
  <w:abstractNum w:abstractNumId="72">
    <w:nsid w:val="4F97E3E4"/>
    <w:multiLevelType w:val="hybridMultilevel"/>
    <w:lvl w:ilvl="0">
      <w:lvlJc w:val="left"/>
      <w:lvlText w:val="%1"/>
      <w:numFmt w:val="decimal"/>
      <w:start w:val="1"/>
    </w:lvl>
    <w:lvl w:ilvl="1">
      <w:lvlJc w:val="left"/>
      <w:lvlText w:val="%2."/>
      <w:numFmt w:val="decimal"/>
      <w:start w:val="3"/>
    </w:lvl>
  </w:abstractNum>
  <w:abstractNum w:abstractNumId="73">
    <w:nsid w:val="53B0A9E"/>
    <w:multiLevelType w:val="hybridMultilevel"/>
    <w:lvl w:ilvl="0">
      <w:lvlJc w:val="left"/>
      <w:lvlText w:val="(%1)"/>
      <w:numFmt w:val="decimal"/>
      <w:start w:val="2"/>
    </w:lvl>
    <w:lvl w:ilvl="1">
      <w:lvlJc w:val="left"/>
      <w:lvlText w:val="%2"/>
      <w:numFmt w:val="decimal"/>
      <w:start w:val="1"/>
    </w:lvl>
  </w:abstractNum>
  <w:abstractNum w:abstractNumId="74">
    <w:nsid w:val="34FD6B4F"/>
    <w:multiLevelType w:val="hybridMultilevel"/>
    <w:lvl w:ilvl="0">
      <w:lvlJc w:val="left"/>
      <w:lvlText w:val="%1"/>
      <w:numFmt w:val="lowerLetter"/>
      <w:start w:val="1"/>
    </w:lvl>
    <w:lvl w:ilvl="1">
      <w:lvlJc w:val="left"/>
      <w:lvlText w:val="(%2)"/>
      <w:numFmt w:val="lowerLetter"/>
      <w:start w:val="9"/>
    </w:lvl>
  </w:abstractNum>
  <w:abstractNum w:abstractNumId="75">
    <w:nsid w:val="5915FF32"/>
    <w:multiLevelType w:val="hybridMultilevel"/>
    <w:lvl w:ilvl="0">
      <w:lvlJc w:val="left"/>
      <w:lvlText w:val="(%1)"/>
      <w:numFmt w:val="lowerLetter"/>
      <w:start w:val="25"/>
    </w:lvl>
    <w:lvl w:ilvl="1">
      <w:lvlJc w:val="left"/>
      <w:lvlText w:val="%2"/>
      <w:numFmt w:val="lowerLetter"/>
      <w:start w:val="1"/>
    </w:lvl>
  </w:abstractNum>
  <w:abstractNum w:abstractNumId="76">
    <w:nsid w:val="56438D15"/>
    <w:multiLevelType w:val="hybridMultilevel"/>
    <w:lvl w:ilvl="0">
      <w:lvlJc w:val="left"/>
      <w:lvlText w:val="(%1)"/>
      <w:numFmt w:val="lowerRoman"/>
      <w:start w:val="2"/>
    </w:lvl>
  </w:abstractNum>
  <w:abstractNum w:abstractNumId="77">
    <w:nsid w:val="519E3149"/>
    <w:multiLevelType w:val="hybridMultilevel"/>
    <w:lvl w:ilvl="0">
      <w:lvlJc w:val="left"/>
      <w:lvlText w:val="(%1)"/>
      <w:numFmt w:val="lowerRoman"/>
      <w:start w:val="4"/>
    </w:lvl>
  </w:abstractNum>
  <w:abstractNum w:abstractNumId="78">
    <w:nsid w:val="2C6E4AFD"/>
    <w:multiLevelType w:val="hybridMultilevel"/>
    <w:lvl w:ilvl="0">
      <w:lvlJc w:val="left"/>
      <w:lvlText w:val="%1."/>
      <w:numFmt w:val="decimal"/>
      <w:start w:val="5"/>
    </w:lvl>
  </w:abstractNum>
  <w:abstractNum w:abstractNumId="79">
    <w:nsid w:val="17A1B582"/>
    <w:multiLevelType w:val="hybridMultilevel"/>
    <w:lvl w:ilvl="0">
      <w:lvlJc w:val="left"/>
      <w:lvlText w:val="%1."/>
      <w:numFmt w:val="decimal"/>
      <w:start w:val="6"/>
    </w:lvl>
  </w:abstractNum>
  <w:abstractNum w:abstractNumId="80">
    <w:nsid w:val="4DF72E4E"/>
    <w:multiLevelType w:val="hybridMultilevel"/>
    <w:lvl w:ilvl="0">
      <w:lvlJc w:val="left"/>
      <w:lvlText w:val="%1."/>
      <w:numFmt w:val="decimal"/>
      <w:start w:val="7"/>
    </w:lvl>
  </w:abstractNum>
  <w:abstractNum w:abstractNumId="81">
    <w:nsid w:val="5046B5A9"/>
    <w:multiLevelType w:val="hybridMultilevel"/>
    <w:lvl w:ilvl="0">
      <w:lvlJc w:val="left"/>
      <w:lvlText w:val="(%1)"/>
      <w:numFmt w:val="lowerRoman"/>
      <w:start w:val="2"/>
    </w:lvl>
  </w:abstractNum>
  <w:abstractNum w:abstractNumId="82">
    <w:nsid w:val="5D888A08"/>
    <w:multiLevelType w:val="hybridMultilevel"/>
    <w:lvl w:ilvl="0">
      <w:lvlJc w:val="left"/>
      <w:lvlText w:val="(%1)"/>
      <w:numFmt w:val="lowerRoman"/>
      <w:start w:val="1"/>
    </w:lvl>
  </w:abstractNum>
  <w:abstractNum w:abstractNumId="83">
    <w:nsid w:val="2A082C70"/>
    <w:multiLevelType w:val="hybridMultilevel"/>
    <w:lvl w:ilvl="0">
      <w:lvlJc w:val="left"/>
      <w:lvlText w:val="(%1)"/>
      <w:numFmt w:val="lowerRoman"/>
      <w:start w:val="1"/>
    </w:lvl>
  </w:abstractNum>
  <w:abstractNum w:abstractNumId="84">
    <w:nsid w:val="5EC6AFD4"/>
    <w:multiLevelType w:val="hybridMultilevel"/>
    <w:lvl w:ilvl="0">
      <w:lvlJc w:val="left"/>
      <w:lvlText w:val="(%1)"/>
      <w:numFmt w:val="lowerLetter"/>
      <w:start w:val="10"/>
    </w:lvl>
  </w:abstractNum>
  <w:abstractNum w:abstractNumId="85">
    <w:nsid w:val="19E21BB2"/>
    <w:multiLevelType w:val="hybridMultilevel"/>
    <w:lvl w:ilvl="0">
      <w:lvlJc w:val="left"/>
      <w:lvlText w:val="%1."/>
      <w:numFmt w:val="decimal"/>
      <w:start w:val="8"/>
    </w:lvl>
  </w:abstractNum>
  <w:abstractNum w:abstractNumId="86">
    <w:nsid w:val="75E0858A"/>
    <w:multiLevelType w:val="hybridMultilevel"/>
    <w:lvl w:ilvl="0">
      <w:lvlJc w:val="left"/>
      <w:lvlText w:val="%1."/>
      <w:numFmt w:val="decimal"/>
      <w:start w:val="1"/>
    </w:lvl>
  </w:abstractNum>
  <w:abstractNum w:abstractNumId="87">
    <w:nsid w:val="57A61A29"/>
    <w:multiLevelType w:val="hybridMultilevel"/>
    <w:lvl w:ilvl="0">
      <w:lvlJc w:val="left"/>
      <w:lvlText w:val="%1"/>
      <w:numFmt w:val="lowerLetter"/>
      <w:start w:val="1"/>
    </w:lvl>
    <w:lvl w:ilvl="1">
      <w:lvlJc w:val="left"/>
      <w:lvlText w:val="(%2)"/>
      <w:numFmt w:val="lowerLetter"/>
      <w:start w:val="9"/>
    </w:lvl>
  </w:abstractNum>
  <w:abstractNum w:abstractNumId="88">
    <w:nsid w:val="5399C654"/>
    <w:multiLevelType w:val="hybridMultilevel"/>
    <w:lvl w:ilvl="0">
      <w:lvlJc w:val="left"/>
      <w:lvlText w:val="(%1)"/>
      <w:numFmt w:val="lowerLetter"/>
      <w:start w:val="25"/>
    </w:lvl>
    <w:lvl w:ilvl="1">
      <w:lvlJc w:val="left"/>
      <w:lvlText w:val="%2"/>
      <w:numFmt w:val="lowerLetter"/>
      <w:start w:val="1"/>
    </w:lvl>
  </w:abstractNum>
  <w:abstractNum w:abstractNumId="89">
    <w:nsid w:val="20EE1348"/>
    <w:multiLevelType w:val="hybridMultilevel"/>
    <w:lvl w:ilvl="0">
      <w:lvlJc w:val="left"/>
      <w:lvlText w:val="(%1)"/>
      <w:numFmt w:val="decimal"/>
      <w:start w:val="2"/>
    </w:lvl>
    <w:lvl w:ilvl="1">
      <w:lvlJc w:val="left"/>
      <w:lvlText w:val="(%2)"/>
      <w:numFmt w:val="lowerRoman"/>
      <w:start w:val="2"/>
    </w:lvl>
  </w:abstractNum>
  <w:abstractNum w:abstractNumId="90">
    <w:nsid w:val="4427069A"/>
    <w:multiLevelType w:val="hybridMultilevel"/>
    <w:lvl w:ilvl="0">
      <w:lvlJc w:val="left"/>
      <w:lvlText w:val="%1."/>
      <w:numFmt w:val="decimal"/>
      <w:start w:val="5"/>
    </w:lvl>
  </w:abstractNum>
  <w:abstractNum w:abstractNumId="91">
    <w:nsid w:val="B37E80A"/>
    <w:multiLevelType w:val="hybridMultilevel"/>
    <w:lvl w:ilvl="0">
      <w:lvlJc w:val="left"/>
      <w:lvlText w:val="%1."/>
      <w:numFmt w:val="decimal"/>
      <w:start w:val="6"/>
    </w:lvl>
  </w:abstractNum>
  <w:abstractNum w:abstractNumId="92">
    <w:nsid w:val="2157F6BC"/>
    <w:multiLevelType w:val="hybridMultilevel"/>
    <w:lvl w:ilvl="0">
      <w:lvlJc w:val="left"/>
      <w:lvlText w:val="%1."/>
      <w:numFmt w:val="decimal"/>
      <w:start w:val="7"/>
    </w:lvl>
  </w:abstractNum>
  <w:abstractNum w:abstractNumId="93">
    <w:nsid w:val="704E1DD5"/>
    <w:multiLevelType w:val="hybridMultilevel"/>
    <w:lvl w:ilvl="0">
      <w:lvlJc w:val="left"/>
      <w:lvlText w:val="(%1)"/>
      <w:numFmt w:val="lowerRoman"/>
      <w:start w:val="1"/>
    </w:lvl>
  </w:abstractNum>
  <w:abstractNum w:abstractNumId="94">
    <w:nsid w:val="57D2F10E"/>
    <w:multiLevelType w:val="hybridMultilevel"/>
    <w:lvl w:ilvl="0">
      <w:lvlJc w:val="left"/>
      <w:lvlText w:val="%1"/>
      <w:numFmt w:val="decimal"/>
      <w:start w:val="1"/>
    </w:lvl>
    <w:lvl w:ilvl="1">
      <w:lvlJc w:val="left"/>
      <w:lvlText w:val="(%2)"/>
      <w:numFmt w:val="lowerLetter"/>
      <w:start w:val="9"/>
    </w:lvl>
  </w:abstractNum>
  <w:abstractNum w:abstractNumId="95">
    <w:nsid w:val="BFFAE18"/>
    <w:multiLevelType w:val="hybridMultilevel"/>
    <w:lvl w:ilvl="0">
      <w:lvlJc w:val="left"/>
      <w:lvlText w:val="%1."/>
      <w:numFmt w:val="decimal"/>
      <w:start w:val="8"/>
    </w:lvl>
    <w:lvl w:ilvl="1">
      <w:lvlJc w:val="left"/>
      <w:lvlText w:val="%2"/>
      <w:numFmt w:val="lowerLetter"/>
      <w:start w:val="1"/>
    </w:lvl>
  </w:abstractNum>
  <w:abstractNum w:abstractNumId="96">
    <w:nsid w:val="E3E47A8"/>
    <w:multiLevelType w:val="hybridMultilevel"/>
    <w:lvl w:ilvl="0">
      <w:lvlJc w:val="left"/>
      <w:lvlText w:val="%1."/>
      <w:numFmt w:val="decimal"/>
      <w:start w:val="1"/>
    </w:lvl>
  </w:abstractNum>
  <w:abstractNum w:abstractNumId="97">
    <w:nsid w:val="2E48F044"/>
    <w:multiLevelType w:val="hybridMultilevel"/>
    <w:lvl w:ilvl="0">
      <w:lvlJc w:val="left"/>
      <w:lvlText w:val="%1"/>
      <w:numFmt w:val="lowerLetter"/>
      <w:start w:val="1"/>
    </w:lvl>
    <w:lvl w:ilvl="1">
      <w:lvlJc w:val="left"/>
      <w:lvlText w:val="(%2)"/>
      <w:numFmt w:val="lowerLetter"/>
      <w:start w:val="9"/>
    </w:lvl>
  </w:abstractNum>
  <w:abstractNum w:abstractNumId="98">
    <w:nsid w:val="49D0FEAC"/>
    <w:multiLevelType w:val="hybridMultilevel"/>
    <w:lvl w:ilvl="0">
      <w:lvlJc w:val="left"/>
      <w:lvlText w:val="(%1)"/>
      <w:numFmt w:val="lowerLetter"/>
      <w:start w:val="25"/>
    </w:lvl>
    <w:lvl w:ilvl="1">
      <w:lvlJc w:val="left"/>
      <w:lvlText w:val="%2"/>
      <w:numFmt w:val="lowerLetter"/>
      <w:start w:val="1"/>
    </w:lvl>
  </w:abstractNum>
  <w:abstractNum w:abstractNumId="99">
    <w:nsid w:val="4BEE5A5B"/>
    <w:multiLevelType w:val="hybridMultilevel"/>
    <w:lvl w:ilvl="0">
      <w:lvlJc w:val="left"/>
      <w:lvlText w:val="(%1)"/>
      <w:numFmt w:val="lowerRoman"/>
      <w:start w:val="2"/>
    </w:lvl>
  </w:abstractNum>
  <w:abstractNum w:abstractNumId="100">
    <w:nsid w:val="5551B9F3"/>
    <w:multiLevelType w:val="hybridMultilevel"/>
    <w:lvl w:ilvl="0">
      <w:lvlJc w:val="left"/>
      <w:lvlText w:val="(%1)"/>
      <w:numFmt w:val="upperLetter"/>
      <w:start w:val="1"/>
    </w:lvl>
  </w:abstractNum>
  <w:abstractNum w:abstractNumId="101">
    <w:nsid w:val="24F6AB8E"/>
    <w:multiLevelType w:val="hybridMultilevel"/>
    <w:lvl w:ilvl="0">
      <w:lvlJc w:val="left"/>
      <w:lvlText w:val="%1."/>
      <w:numFmt w:val="decimal"/>
      <w:start w:val="5"/>
    </w:lvl>
  </w:abstractNum>
  <w:abstractNum w:abstractNumId="102">
    <w:nsid w:val="634C574C"/>
    <w:multiLevelType w:val="hybridMultilevel"/>
    <w:lvl w:ilvl="0">
      <w:lvlJc w:val="left"/>
      <w:lvlText w:val="%1."/>
      <w:numFmt w:val="decimal"/>
      <w:start w:val="6"/>
    </w:lvl>
  </w:abstractNum>
  <w:abstractNum w:abstractNumId="103">
    <w:nsid w:val="24E99DD7"/>
    <w:multiLevelType w:val="hybridMultilevel"/>
    <w:lvl w:ilvl="0">
      <w:lvlJc w:val="left"/>
      <w:lvlText w:val="%1."/>
      <w:numFmt w:val="decimal"/>
      <w:start w:val="7"/>
    </w:lvl>
  </w:abstractNum>
  <w:abstractNum w:abstractNumId="104">
    <w:nsid w:val="2A31B62D"/>
    <w:multiLevelType w:val="hybridMultilevel"/>
    <w:lvl w:ilvl="0">
      <w:lvlJc w:val="left"/>
      <w:lvlText w:val="(%1)"/>
      <w:numFmt w:val="lowerRoman"/>
      <w:start w:val="1"/>
    </w:lvl>
  </w:abstractNum>
  <w:abstractNum w:abstractNumId="105">
    <w:nsid w:val="1849C29B"/>
    <w:multiLevelType w:val="hybridMultilevel"/>
    <w:lvl w:ilvl="0">
      <w:lvlJc w:val="left"/>
      <w:lvlText w:val="%1"/>
      <w:numFmt w:val="decimal"/>
      <w:start w:val="1"/>
    </w:lvl>
    <w:lvl w:ilvl="1">
      <w:lvlJc w:val="left"/>
      <w:lvlText w:val="(%2)"/>
      <w:numFmt w:val="lowerLetter"/>
      <w:start w:val="9"/>
    </w:lvl>
  </w:abstractNum>
  <w:abstractNum w:abstractNumId="106">
    <w:nsid w:val="7DFF9D09"/>
    <w:multiLevelType w:val="hybridMultilevel"/>
    <w:lvl w:ilvl="0">
      <w:lvlJc w:val="left"/>
      <w:lvlText w:val="%1."/>
      <w:numFmt w:val="decimal"/>
      <w:start w:val="8"/>
    </w:lvl>
    <w:lvl w:ilvl="1">
      <w:lvlJc w:val="left"/>
      <w:lvlText w:val="%2"/>
      <w:numFmt w:val="lowerLetter"/>
      <w:start w:val="1"/>
    </w:lvl>
  </w:abstractNum>
  <w:abstractNum w:abstractNumId="107">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69E7F3E5"/>
    <w:multiLevelType w:val="hybridMultilevel"/>
    <w:lvl w:ilvl="0">
      <w:lvlJc w:val="left"/>
      <w:lvlText w:val="(%1)"/>
      <w:numFmt w:val="lowerLetter"/>
      <w:start w:val="3"/>
    </w:lvl>
  </w:abstractNum>
  <w:abstractNum w:abstractNumId="109">
    <w:nsid w:val="2A6DE806"/>
    <w:multiLevelType w:val="hybridMultilevel"/>
    <w:lvl w:ilvl="0">
      <w:lvlJc w:val="left"/>
      <w:lvlText w:val="(%1)"/>
      <w:numFmt w:val="lowerRoman"/>
      <w:start w:val="2"/>
    </w:lvl>
  </w:abstractNum>
  <w:abstractNum w:abstractNumId="110">
    <w:nsid w:val="1816F8C4"/>
    <w:multiLevelType w:val="hybridMultilevel"/>
    <w:lvl w:ilvl="0">
      <w:lvlJc w:val="left"/>
      <w:lvlText w:val="(%1)"/>
      <w:numFmt w:val="lowerLetter"/>
      <w:start w:val="5"/>
    </w:lvl>
  </w:abstractNum>
  <w:abstractNum w:abstractNumId="111">
    <w:nsid w:val="37DF2233"/>
    <w:multiLevelType w:val="hybridMultilevel"/>
    <w:lvl w:ilvl="0">
      <w:lvlJc w:val="left"/>
      <w:lvlText w:val="(%1)"/>
      <w:numFmt w:val="lowerRoman"/>
      <w:start w:val="2"/>
    </w:lvl>
  </w:abstractNum>
  <w:abstractNum w:abstractNumId="112">
    <w:nsid w:val="7AB49DAF"/>
    <w:multiLevelType w:val="hybridMultilevel"/>
    <w:lvl w:ilvl="0">
      <w:lvlJc w:val="left"/>
      <w:lvlText w:val="%1"/>
      <w:numFmt w:val="decimal"/>
      <w:start w:val="1"/>
    </w:lvl>
    <w:lvl w:ilvl="1">
      <w:lvlJc w:val="left"/>
      <w:lvlText w:val="(%2)"/>
      <w:numFmt w:val="lowerRoman"/>
      <w:start w:val="3"/>
    </w:lvl>
  </w:abstractNum>
  <w:abstractNum w:abstractNumId="113">
    <w:nsid w:val="759F82CD"/>
    <w:multiLevelType w:val="hybridMultilevel"/>
    <w:lvl w:ilvl="0">
      <w:lvlJc w:val="left"/>
      <w:lvlText w:val="%1."/>
      <w:numFmt w:val="decimal"/>
      <w:start w:val="2"/>
    </w:lvl>
    <w:lvl w:ilvl="1">
      <w:lvlJc w:val="left"/>
      <w:lvlText w:val="%2"/>
      <w:numFmt w:val="lowerRoman"/>
      <w:start w:val="1"/>
    </w:lvl>
  </w:abstractNum>
  <w:abstractNum w:abstractNumId="114">
    <w:nsid w:val="61E74EA3"/>
    <w:multiLevelType w:val="hybridMultilevel"/>
    <w:lvl w:ilvl="0">
      <w:lvlJc w:val="left"/>
      <w:lvlText w:val="(%1)"/>
      <w:numFmt w:val="lowerLetter"/>
      <w:start w:val="1"/>
    </w:lvl>
  </w:abstractNum>
  <w:abstractNum w:abstractNumId="115">
    <w:nsid w:val="597B4D84"/>
    <w:multiLevelType w:val="hybridMultilevel"/>
    <w:lvl w:ilvl="0">
      <w:lvlJc w:val="left"/>
      <w:lvlText w:val="%1."/>
      <w:numFmt w:val="decimal"/>
      <w:start w:val="8"/>
    </w:lvl>
    <w:lvl w:ilvl="1">
      <w:lvlJc w:val="left"/>
      <w:lvlText w:val="(%2)"/>
      <w:numFmt w:val="lowerLetter"/>
      <w:start w:val="1"/>
    </w:lvl>
  </w:abstractNum>
  <w:abstractNum w:abstractNumId="116">
    <w:nsid w:val="F819E7F"/>
    <w:multiLevelType w:val="hybridMultilevel"/>
    <w:lvl w:ilvl="0">
      <w:lvlJc w:val="left"/>
      <w:lvlText w:val="(%1)"/>
      <w:numFmt w:val="lowerLetter"/>
      <w:start w:val="1"/>
    </w:lvl>
  </w:abstractNum>
  <w:abstractNum w:abstractNumId="117">
    <w:nsid w:val="57C7D42D"/>
    <w:multiLevelType w:val="hybridMultilevel"/>
    <w:lvl w:ilvl="0">
      <w:lvlJc w:val="left"/>
      <w:lvlText w:val="(%1)"/>
      <w:numFmt w:val="lowerLetter"/>
      <w:start w:val="24"/>
    </w:lvl>
    <w:lvl w:ilvl="1">
      <w:lvlJc w:val="left"/>
      <w:lvlText w:val="(%2)"/>
      <w:numFmt w:val="lowerLetter"/>
      <w:start w:val="3"/>
    </w:lvl>
  </w:abstractNum>
  <w:abstractNum w:abstractNumId="118">
    <w:nsid w:val="312167AD"/>
    <w:multiLevelType w:val="hybridMultilevel"/>
    <w:lvl w:ilvl="0">
      <w:lvlJc w:val="left"/>
      <w:lvlText w:val="(%1)"/>
      <w:numFmt w:val="lowerLetter"/>
      <w:start w:val="4"/>
    </w:lvl>
  </w:abstractNum>
  <w:abstractNum w:abstractNumId="119">
    <w:nsid w:val="631B64D4"/>
    <w:multiLevelType w:val="hybridMultilevel"/>
    <w:lvl w:ilvl="0">
      <w:lvlJc w:val="left"/>
      <w:lvlText w:val="(%1)"/>
      <w:numFmt w:val="lowerLetter"/>
      <w:start w:val="8"/>
    </w:lvl>
  </w:abstractNum>
  <w:abstractNum w:abstractNumId="120">
    <w:nsid w:val="78B5E776"/>
    <w:multiLevelType w:val="hybridMultilevel"/>
    <w:lvl w:ilvl="0">
      <w:lvlJc w:val="left"/>
      <w:lvlText w:val="%1."/>
      <w:numFmt w:val="decimal"/>
      <w:start w:val="1"/>
    </w:lvl>
    <w:lvl w:ilvl="1">
      <w:lvlJc w:val="left"/>
      <w:lvlText w:val="(%2)"/>
      <w:numFmt w:val="lowerLetter"/>
      <w:start w:val="1"/>
    </w:lvl>
  </w:abstractNum>
  <w:abstractNum w:abstractNumId="121">
    <w:nsid w:val="75486E47"/>
    <w:multiLevelType w:val="hybridMultilevel"/>
    <w:lvl w:ilvl="0">
      <w:lvlJc w:val="left"/>
      <w:lvlText w:val="%1"/>
      <w:numFmt w:val="decimal"/>
      <w:start w:val="1"/>
    </w:lvl>
    <w:lvl w:ilvl="1">
      <w:lvlJc w:val="left"/>
      <w:lvlText w:val="(%2)"/>
      <w:numFmt w:val="lowerLetter"/>
      <w:start w:val="4"/>
    </w:lvl>
  </w:abstractNum>
  <w:abstractNum w:abstractNumId="122">
    <w:nsid w:val="6E534CDE"/>
    <w:multiLevelType w:val="hybridMultilevel"/>
    <w:lvl w:ilvl="0">
      <w:lvlJc w:val="left"/>
      <w:lvlText w:val="%1."/>
      <w:numFmt w:val="decimal"/>
      <w:start w:val="2"/>
    </w:lvl>
    <w:lvl w:ilvl="1">
      <w:lvlJc w:val="left"/>
      <w:lvlText w:val="(%2)"/>
      <w:numFmt w:val="lowerLetter"/>
      <w:start w:val="1"/>
    </w:lvl>
  </w:abstractNum>
  <w:abstractNum w:abstractNumId="123">
    <w:nsid w:val="1A0DDE32"/>
    <w:multiLevelType w:val="hybridMultilevel"/>
    <w:lvl w:ilvl="0">
      <w:lvlJc w:val="left"/>
      <w:lvlText w:val="(%1)"/>
      <w:numFmt w:val="lowerRoman"/>
      <w:start w:val="2"/>
    </w:lvl>
  </w:abstractNum>
  <w:abstractNum w:abstractNumId="124">
    <w:nsid w:val="65968C1C"/>
    <w:multiLevelType w:val="hybridMultilevel"/>
    <w:lvl w:ilvl="0">
      <w:lvlJc w:val="left"/>
      <w:lvlText w:val="(%1)"/>
      <w:numFmt w:val="lowerLetter"/>
      <w:start w:val="4"/>
    </w:lvl>
  </w:abstractNum>
  <w:abstractNum w:abstractNumId="125">
    <w:nsid w:val="46263DEC"/>
    <w:multiLevelType w:val="hybridMultilevel"/>
    <w:lvl w:ilvl="0">
      <w:lvlJc w:val="left"/>
      <w:lvlText w:val="%1"/>
      <w:numFmt w:val="decimal"/>
      <w:start w:val="1"/>
    </w:lvl>
    <w:lvl w:ilvl="1">
      <w:lvlJc w:val="left"/>
      <w:lvlText w:val="(%2)"/>
      <w:numFmt w:val="lowerRoman"/>
      <w:start w:val="2"/>
    </w:lvl>
  </w:abstractNum>
  <w:abstractNum w:abstractNumId="126">
    <w:nsid w:val="260D8C4A"/>
    <w:multiLevelType w:val="hybridMultilevel"/>
    <w:lvl w:ilvl="0">
      <w:lvlJc w:val="left"/>
      <w:lvlText w:val="%1."/>
      <w:numFmt w:val="decimal"/>
      <w:start w:val="3"/>
    </w:lvl>
    <w:lvl w:ilvl="1">
      <w:lvlJc w:val="left"/>
      <w:lvlText w:val="%2"/>
      <w:numFmt w:val="lowerRoman"/>
      <w:start w:val="1"/>
    </w:lvl>
  </w:abstractNum>
  <w:abstractNum w:abstractNumId="127">
    <w:nsid w:val="73D4D3C4"/>
    <w:multiLevelType w:val="hybridMultilevel"/>
    <w:lvl w:ilvl="0">
      <w:lvlJc w:val="left"/>
      <w:lvlText w:val="%1."/>
      <w:numFmt w:val="decimal"/>
      <w:start w:val="4"/>
    </w:lvl>
  </w:abstractNum>
  <w:abstractNum w:abstractNumId="128">
    <w:nsid w:val="746F2E30"/>
    <w:multiLevelType w:val="hybridMultilevel"/>
    <w:lvl w:ilvl="0">
      <w:lvlJc w:val="left"/>
      <w:lvlText w:val="%1."/>
      <w:numFmt w:val="decimal"/>
      <w:start w:val="5"/>
    </w:lvl>
  </w:abstractNum>
  <w:abstractNum w:abstractNumId="129">
    <w:nsid w:val="6FDE8AF6"/>
    <w:multiLevelType w:val="hybridMultilevel"/>
    <w:lvl w:ilvl="0">
      <w:lvlJc w:val="left"/>
      <w:lvlText w:val="%1."/>
      <w:numFmt w:val="decimal"/>
      <w:start w:val="6"/>
    </w:lvl>
  </w:abstractNum>
  <w:abstractNum w:abstractNumId="130">
    <w:nsid w:val="3FC32E20"/>
    <w:multiLevelType w:val="hybridMultilevel"/>
    <w:lvl w:ilvl="0">
      <w:lvlJc w:val="left"/>
      <w:lvlText w:val="%1."/>
      <w:numFmt w:val="decimal"/>
      <w:start w:val="7"/>
    </w:lvl>
  </w:abstractNum>
  <w:abstractNum w:abstractNumId="131">
    <w:nsid w:val="49C0E823"/>
    <w:multiLevelType w:val="hybridMultilevel"/>
    <w:lvl w:ilvl="0">
      <w:lvlJc w:val="left"/>
      <w:lvlText w:val="(%1)"/>
      <w:numFmt w:val="lowerRoman"/>
      <w:start w:val="2"/>
    </w:lvl>
  </w:abstractNum>
  <w:abstractNum w:abstractNumId="132">
    <w:nsid w:val="14D53685"/>
    <w:multiLevelType w:val="hybridMultilevel"/>
    <w:lvl w:ilvl="0">
      <w:lvlJc w:val="left"/>
      <w:lvlText w:val="%1."/>
      <w:numFmt w:val="decimal"/>
      <w:start w:val="8"/>
    </w:lvl>
  </w:abstractNum>
  <w:abstractNum w:abstractNumId="133">
    <w:nsid w:val="230F856C"/>
    <w:multiLevelType w:val="hybridMultilevel"/>
    <w:lvl w:ilvl="0">
      <w:lvlJc w:val="left"/>
      <w:lvlText w:val="%1."/>
      <w:numFmt w:val="decimal"/>
      <w:start w:val="9"/>
    </w:lvl>
  </w:abstractNum>
  <w:abstractNum w:abstractNumId="134">
    <w:nsid w:val="6EAA85FB"/>
    <w:multiLevelType w:val="hybridMultilevel"/>
    <w:lvl w:ilvl="0">
      <w:lvlJc w:val="left"/>
      <w:lvlText w:val="%1."/>
      <w:numFmt w:val="decimal"/>
      <w:start w:val="10"/>
    </w:lvl>
    <w:lvl w:ilvl="1">
      <w:lvlJc w:val="left"/>
      <w:lvlText w:val="(%2)"/>
      <w:numFmt w:val="lowerLetter"/>
      <w:start w:val="1"/>
    </w:lvl>
  </w:abstractNum>
  <w:abstractNum w:abstractNumId="135">
    <w:nsid w:val="3F06ECB2"/>
    <w:multiLevelType w:val="hybridMultilevel"/>
    <w:lvl w:ilvl="0">
      <w:lvlJc w:val="left"/>
      <w:lvlText w:val="%1"/>
      <w:numFmt w:val="decimal"/>
      <w:start w:val="1"/>
    </w:lvl>
    <w:lvl w:ilvl="1">
      <w:lvlJc w:val="left"/>
      <w:lvlText w:val="(%2)"/>
      <w:numFmt w:val="lowerLetter"/>
      <w:start w:val="4"/>
    </w:lvl>
  </w:abstractNum>
  <w:abstractNum w:abstractNumId="136">
    <w:nsid w:val="3B594807"/>
    <w:multiLevelType w:val="hybridMultilevel"/>
    <w:lvl w:ilvl="0">
      <w:lvlJc w:val="left"/>
      <w:lvlText w:val="%1."/>
      <w:numFmt w:val="decimal"/>
      <w:start w:val="11"/>
    </w:lvl>
    <w:lvl w:ilvl="1">
      <w:lvlJc w:val="left"/>
      <w:lvlText w:val="%2"/>
      <w:numFmt w:val="lowerLetter"/>
      <w:start w:val="1"/>
    </w:lvl>
  </w:abstractNum>
  <w:abstractNum w:abstractNumId="137">
    <w:nsid w:val="6CAA2304"/>
    <w:multiLevelType w:val="hybridMultilevel"/>
    <w:lvl w:ilvl="0">
      <w:lvlJc w:val="left"/>
      <w:lvlText w:val="%1."/>
      <w:numFmt w:val="decimal"/>
      <w:start w:val="12"/>
    </w:lvl>
  </w:abstractNum>
  <w:abstractNum w:abstractNumId="138">
    <w:nsid w:val="3F7C2FF4"/>
    <w:multiLevelType w:val="hybridMultilevel"/>
    <w:lvl w:ilvl="0">
      <w:lvlJc w:val="left"/>
      <w:lvlText w:val="%1."/>
      <w:numFmt w:val="decimal"/>
      <w:start w:val="13"/>
    </w:lvl>
  </w:abstractNum>
  <w:abstractNum w:abstractNumId="139">
    <w:nsid w:val="25413BEC"/>
    <w:multiLevelType w:val="hybridMultilevel"/>
    <w:lvl w:ilvl="0">
      <w:lvlJc w:val="left"/>
      <w:lvlText w:val="%1."/>
      <w:numFmt w:val="decimal"/>
      <w:start w:val="14"/>
    </w:lvl>
  </w:abstractNum>
  <w:abstractNum w:abstractNumId="140">
    <w:nsid w:val="17180B0B"/>
    <w:multiLevelType w:val="hybridMultilevel"/>
    <w:lvl w:ilvl="0">
      <w:lvlJc w:val="left"/>
      <w:lvlText w:val="%1."/>
      <w:numFmt w:val="decimal"/>
      <w:start w:val="15"/>
    </w:lvl>
  </w:abstractNum>
  <w:abstractNum w:abstractNumId="141">
    <w:nsid w:val="579328B9"/>
    <w:multiLevelType w:val="hybridMultilevel"/>
    <w:lvl w:ilvl="0">
      <w:lvlJc w:val="left"/>
      <w:lvlText w:val="%1."/>
      <w:numFmt w:val="decimal"/>
      <w:start w:val="16"/>
    </w:lvl>
  </w:abstractNum>
  <w:abstractNum w:abstractNumId="142">
    <w:nsid w:val="5D205E20"/>
    <w:multiLevelType w:val="hybridMultilevel"/>
    <w:lvl w:ilvl="0">
      <w:lvlJc w:val="left"/>
      <w:lvlText w:val="%1."/>
      <w:numFmt w:val="decimal"/>
      <w:start w:val="17"/>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Letter"/>
      <w:start w:val="3"/>
    </w:lvl>
  </w:abstractNum>
  <w:abstractNum w:abstractNumId="145">
    <w:nsid w:val="3F07ACC3"/>
    <w:multiLevelType w:val="hybridMultilevel"/>
    <w:lvl w:ilvl="0">
      <w:lvlJc w:val="left"/>
      <w:lvlText w:val="(%1)"/>
      <w:numFmt w:val="lowerLetter"/>
      <w:start w:val="5"/>
    </w:lvl>
  </w:abstractNum>
  <w:abstractNum w:abstractNumId="146">
    <w:nsid w:val="6B47F63E"/>
    <w:multiLevelType w:val="hybridMultilevel"/>
    <w:lvl w:ilvl="0">
      <w:lvlJc w:val="left"/>
      <w:lvlText w:val="(%1)"/>
      <w:numFmt w:val="lowerLetter"/>
      <w:start w:val="8"/>
    </w:lvl>
  </w:abstractNum>
  <w:abstractNum w:abstractNumId="147">
    <w:nsid w:val="5CB44A05"/>
    <w:multiLevelType w:val="hybridMultilevel"/>
    <w:lvl w:ilvl="0">
      <w:lvlJc w:val="left"/>
      <w:lvlText w:val="%1."/>
      <w:numFmt w:val="decimal"/>
      <w:start w:val="1"/>
    </w:lvl>
    <w:lvl w:ilvl="1">
      <w:lvlJc w:val="left"/>
      <w:lvlText w:val="(%2)"/>
      <w:numFmt w:val="lowerLetter"/>
      <w:start w:val="1"/>
    </w:lvl>
  </w:abstractNum>
  <w:abstractNum w:abstractNumId="148">
    <w:nsid w:val="16CF80F1"/>
    <w:multiLevelType w:val="hybridMultilevel"/>
    <w:lvl w:ilvl="0">
      <w:lvlJc w:val="left"/>
      <w:lvlText w:val="%1"/>
      <w:numFmt w:val="lowerLetter"/>
      <w:start w:val="1"/>
    </w:lvl>
    <w:lvl w:ilvl="1">
      <w:lvlJc w:val="left"/>
      <w:lvlText w:val="(%2)"/>
      <w:numFmt w:val="lowerLetter"/>
      <w:start w:val="35"/>
    </w:lvl>
  </w:abstractNum>
  <w:abstractNum w:abstractNumId="149">
    <w:nsid w:val="1C695DEC"/>
    <w:multiLevelType w:val="hybridMultilevel"/>
    <w:lvl w:ilvl="0">
      <w:lvlJc w:val="left"/>
      <w:lvlText w:val="(%1)"/>
      <w:numFmt w:val="lowerLetter"/>
      <w:start w:val="5"/>
    </w:lvl>
    <w:lvl w:ilvl="1">
      <w:lvlJc w:val="left"/>
      <w:lvlText w:val="%2"/>
      <w:numFmt w:val="lowerLetter"/>
      <w:start w:val="1"/>
    </w:lvl>
  </w:abstractNum>
  <w:abstractNum w:abstractNumId="150">
    <w:nsid w:val="3FCFAED9"/>
    <w:multiLevelType w:val="hybridMultilevel"/>
    <w:lvl w:ilvl="0">
      <w:lvlJc w:val="left"/>
      <w:lvlText w:val="(%1)"/>
      <w:numFmt w:val="lowerRoman"/>
      <w:start w:val="2"/>
    </w:lvl>
  </w:abstractNum>
  <w:abstractNum w:abstractNumId="151">
    <w:nsid w:val="F856867"/>
    <w:multiLevelType w:val="hybridMultilevel"/>
    <w:lvl w:ilvl="0">
      <w:lvlJc w:val="left"/>
      <w:lvlText w:val="%1."/>
      <w:numFmt w:val="decimal"/>
      <w:start w:val="2"/>
    </w:lvl>
  </w:abstractNum>
  <w:abstractNum w:abstractNumId="152">
    <w:nsid w:val="11B1CC33"/>
    <w:multiLevelType w:val="hybridMultilevel"/>
    <w:lvl w:ilvl="0">
      <w:lvlJc w:val="left"/>
      <w:lvlText w:val="%1."/>
      <w:numFmt w:val="decimal"/>
      <w:start w:val="3"/>
    </w:lvl>
  </w:abstractNum>
  <w:abstractNum w:abstractNumId="153">
    <w:nsid w:val="2E22FBB7"/>
    <w:multiLevelType w:val="hybridMultilevel"/>
    <w:lvl w:ilvl="0">
      <w:lvlJc w:val="left"/>
      <w:lvlText w:val="%1."/>
      <w:numFmt w:val="decimal"/>
      <w:start w:val="4"/>
    </w:lvl>
  </w:abstractNum>
  <w:abstractNum w:abstractNumId="154">
    <w:nsid w:val="29934699"/>
    <w:multiLevelType w:val="hybridMultilevel"/>
    <w:lvl w:ilvl="0">
      <w:lvlJc w:val="left"/>
      <w:lvlText w:val="%1."/>
      <w:numFmt w:val="decimal"/>
      <w:start w:val="5"/>
    </w:lvl>
  </w:abstractNum>
  <w:abstractNum w:abstractNumId="155">
    <w:nsid w:val="77485850"/>
    <w:multiLevelType w:val="hybridMultilevel"/>
    <w:lvl w:ilvl="0">
      <w:lvlJc w:val="left"/>
      <w:lvlText w:val="%1."/>
      <w:numFmt w:val="decimal"/>
      <w:start w:val="6"/>
    </w:lvl>
  </w:abstractNum>
  <w:abstractNum w:abstractNumId="156">
    <w:nsid w:val="744939A3"/>
    <w:multiLevelType w:val="hybridMultilevel"/>
    <w:lvl w:ilvl="0">
      <w:lvlJc w:val="left"/>
      <w:lvlText w:val="%1."/>
      <w:numFmt w:val="decimal"/>
      <w:start w:val="7"/>
    </w:lvl>
  </w:abstractNum>
  <w:abstractNum w:abstractNumId="157">
    <w:nsid w:val="4FA0D2E3"/>
    <w:multiLevelType w:val="hybridMultilevel"/>
    <w:lvl w:ilvl="0">
      <w:lvlJc w:val="left"/>
      <w:lvlText w:val="%1."/>
      <w:numFmt w:val="decimal"/>
      <w:start w:val="8"/>
    </w:lvl>
    <w:lvl w:ilvl="1">
      <w:lvlJc w:val="left"/>
      <w:lvlText w:val="(%2)"/>
      <w:numFmt w:val="lowerLetter"/>
      <w:start w:val="1"/>
    </w:lvl>
  </w:abstractNum>
  <w:abstractNum w:abstractNumId="158">
    <w:nsid w:val="6B1D2C14"/>
    <w:multiLevelType w:val="hybridMultilevel"/>
    <w:lvl w:ilvl="0">
      <w:lvlJc w:val="left"/>
      <w:lvlText w:val="%1"/>
      <w:numFmt w:val="decimal"/>
      <w:start w:val="1"/>
    </w:lvl>
    <w:lvl w:ilvl="1">
      <w:lvlJc w:val="left"/>
      <w:lvlText w:val="(%2)"/>
      <w:numFmt w:val="lowerLetter"/>
      <w:start w:val="4"/>
    </w:lvl>
  </w:abstractNum>
  <w:abstractNum w:abstractNumId="159">
    <w:nsid w:val="68B867D3"/>
    <w:multiLevelType w:val="hybridMultilevel"/>
    <w:lvl w:ilvl="0">
      <w:lvlJc w:val="left"/>
      <w:lvlText w:val="%1."/>
      <w:numFmt w:val="decimal"/>
      <w:start w:val="9"/>
    </w:lvl>
    <w:lvl w:ilvl="1">
      <w:lvlJc w:val="left"/>
      <w:lvlText w:val="%2"/>
      <w:numFmt w:val="lowerLetter"/>
      <w:start w:val="1"/>
    </w:lvl>
  </w:abstractNum>
  <w:abstractNum w:abstractNumId="160">
    <w:nsid w:val="3F7F5DD9"/>
    <w:multiLevelType w:val="hybridMultilevel"/>
    <w:lvl w:ilvl="0">
      <w:lvlJc w:val="left"/>
      <w:lvlText w:val="%1."/>
      <w:numFmt w:val="decimal"/>
      <w:start w:val="10"/>
    </w:lvl>
  </w:abstractNum>
  <w:abstractNum w:abstractNumId="161">
    <w:nsid w:val="2AE05A34"/>
    <w:multiLevelType w:val="hybridMultilevel"/>
    <w:lvl w:ilvl="0">
      <w:lvlJc w:val="left"/>
      <w:lvlText w:val="%1."/>
      <w:numFmt w:val="decimal"/>
      <w:start w:val="11"/>
    </w:lvl>
  </w:abstractNum>
  <w:abstractNum w:abstractNumId="162">
    <w:nsid w:val="32794FF7"/>
    <w:multiLevelType w:val="hybridMultilevel"/>
    <w:lvl w:ilvl="0">
      <w:lvlJc w:val="left"/>
      <w:lvlText w:val="%1."/>
      <w:numFmt w:val="decimal"/>
      <w:start w:val="12"/>
    </w:lvl>
  </w:abstractNum>
  <w:abstractNum w:abstractNumId="163">
    <w:nsid w:val="5454945E"/>
    <w:multiLevelType w:val="hybridMultilevel"/>
    <w:lvl w:ilvl="0">
      <w:lvlJc w:val="left"/>
      <w:lvlText w:val="%1."/>
      <w:numFmt w:val="decimal"/>
      <w:start w:val="13"/>
    </w:lvl>
  </w:abstractNum>
  <w:abstractNum w:abstractNumId="164">
    <w:nsid w:val="4DEFDFA0"/>
    <w:multiLevelType w:val="hybridMultilevel"/>
    <w:lvl w:ilvl="0">
      <w:lvlJc w:val="left"/>
      <w:lvlText w:val="%1."/>
      <w:numFmt w:val="decimal"/>
      <w:start w:val="14"/>
    </w:lvl>
  </w:abstractNum>
  <w:abstractNum w:abstractNumId="165">
    <w:nsid w:val="2123D5F2"/>
    <w:multiLevelType w:val="hybridMultilevel"/>
    <w:lvl w:ilvl="0">
      <w:lvlJc w:val="left"/>
      <w:lvlText w:val="%1."/>
      <w:numFmt w:val="decimal"/>
      <w:start w:val="15"/>
    </w:lvl>
  </w:abstractNum>
  <w:abstractNum w:abstractNumId="166">
    <w:nsid w:val="135B8110"/>
    <w:multiLevelType w:val="hybridMultilevel"/>
    <w:lvl w:ilvl="0">
      <w:lvlJc w:val="left"/>
      <w:lvlText w:val="(%1)"/>
      <w:numFmt w:val="lowerLetter"/>
      <w:start w:val="1"/>
    </w:lvl>
  </w:abstractNum>
  <w:abstractNum w:abstractNumId="167">
    <w:nsid w:val="94927A8"/>
    <w:multiLevelType w:val="hybridMultilevel"/>
    <w:lvl w:ilvl="0">
      <w:lvlJc w:val="left"/>
      <w:lvlText w:val="(%1)"/>
      <w:numFmt w:val="lowerLetter"/>
      <w:start w:val="24"/>
    </w:lvl>
    <w:lvl w:ilvl="1">
      <w:lvlJc w:val="left"/>
      <w:lvlText w:val="(%2)"/>
      <w:numFmt w:val="lowerLetter"/>
      <w:start w:val="3"/>
    </w:lvl>
  </w:abstractNum>
  <w:abstractNum w:abstractNumId="168">
    <w:nsid w:val="DCDF8F6"/>
    <w:multiLevelType w:val="hybridMultilevel"/>
    <w:lvl w:ilvl="0">
      <w:lvlJc w:val="left"/>
      <w:lvlText w:val="(%1)"/>
      <w:numFmt w:val="lowerLetter"/>
      <w:start w:val="4"/>
    </w:lvl>
  </w:abstractNum>
  <w:abstractNum w:abstractNumId="169">
    <w:nsid w:val="52D7B105"/>
    <w:multiLevelType w:val="hybridMultilevel"/>
    <w:lvl w:ilvl="0">
      <w:lvlJc w:val="left"/>
      <w:lvlText w:val="(%1)"/>
      <w:numFmt w:val="lowerLetter"/>
      <w:start w:val="8"/>
    </w:lvl>
  </w:abstractNum>
  <w:abstractNum w:abstractNumId="170">
    <w:nsid w:val="2E8A6394"/>
    <w:multiLevelType w:val="hybridMultilevel"/>
    <w:lvl w:ilvl="0">
      <w:lvlJc w:val="left"/>
      <w:lvlText w:val="(%1)"/>
      <w:numFmt w:val="lowerLetter"/>
      <w:start w:val="1"/>
    </w:lvl>
    <w:lvl w:ilvl="1">
      <w:lvlJc w:val="left"/>
      <w:lvlText w:val="•"/>
      <w:numFmt w:val="bullet"/>
      <w:start w:val="1"/>
    </w:lvl>
  </w:abstractNum>
  <w:abstractNum w:abstractNumId="171">
    <w:nsid w:val="24E60401"/>
    <w:multiLevelType w:val="hybridMultilevel"/>
    <w:lvl w:ilvl="0">
      <w:lvlJc w:val="left"/>
      <w:lvlText w:val="(%1)"/>
      <w:numFmt w:val="lowerLetter"/>
      <w:start w:val="7"/>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2019-12-07T10:01:54Z</dcterms:created>
  <dcterms:modified xsi:type="dcterms:W3CDTF">2019-12-07T10:01:54Z</dcterms:modified>
</cp:coreProperties>
</file>