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121920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7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580" w:right="32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195"/>
        </w:trPr>
        <w:tc>
          <w:tcPr>
            <w:tcW w:w="232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1040" w:type="dxa"/>
            <w:vAlign w:val="bottom"/>
            <w:tcBorders>
              <w:bottom w:val="single" w:sz="8" w:color="auto"/>
            </w:tcBorders>
          </w:tcPr>
          <w:p>
            <w:pPr>
              <w:spacing w:after="0"/>
              <w:rPr>
                <w:sz w:val="16"/>
                <w:szCs w:val="16"/>
                <w:color w:val="auto"/>
              </w:rPr>
            </w:pPr>
          </w:p>
        </w:tc>
        <w:tc>
          <w:tcPr>
            <w:tcW w:w="240" w:type="dxa"/>
            <w:vAlign w:val="bottom"/>
          </w:tcPr>
          <w:p>
            <w:pPr>
              <w:ind w:left="40"/>
              <w:spacing w:after="0" w:line="195" w:lineRule="exact"/>
              <w:rPr>
                <w:sz w:val="20"/>
                <w:szCs w:val="20"/>
                <w:color w:val="auto"/>
              </w:rPr>
            </w:pPr>
            <w:r>
              <w:rPr>
                <w:rFonts w:ascii="Times New Roman" w:cs="Times New Roman" w:eastAsia="Times New Roman" w:hAnsi="Times New Roman"/>
                <w:sz w:val="18"/>
                <w:szCs w:val="18"/>
                <w:b w:val="1"/>
                <w:bCs w:val="1"/>
                <w:color w:val="auto"/>
              </w:rPr>
              <w:t>to</w:t>
            </w:r>
          </w:p>
        </w:tc>
        <w:tc>
          <w:tcPr>
            <w:tcW w:w="1060" w:type="dxa"/>
            <w:vAlign w:val="bottom"/>
            <w:tcBorders>
              <w:bottom w:val="single" w:sz="8" w:color="auto"/>
            </w:tcBorders>
          </w:tcPr>
          <w:p>
            <w:pPr>
              <w:spacing w:after="0"/>
              <w:rPr>
                <w:sz w:val="16"/>
                <w:szCs w:val="16"/>
                <w:color w:val="auto"/>
              </w:rPr>
            </w:pPr>
          </w:p>
        </w:tc>
        <w:tc>
          <w:tcPr>
            <w:tcW w:w="1500" w:type="dxa"/>
            <w:vAlign w:val="bottom"/>
          </w:tcPr>
          <w:p>
            <w:pPr>
              <w:spacing w:after="0"/>
              <w:rPr>
                <w:sz w:val="16"/>
                <w:szCs w:val="16"/>
                <w:color w:val="auto"/>
              </w:rPr>
            </w:pPr>
          </w:p>
        </w:tc>
      </w:tr>
      <w:tr>
        <w:trPr>
          <w:trHeight w:val="274"/>
        </w:trPr>
        <w:tc>
          <w:tcPr>
            <w:tcW w:w="2320" w:type="dxa"/>
            <w:vAlign w:val="bottom"/>
          </w:tcPr>
          <w:p>
            <w:pPr>
              <w:spacing w:after="0"/>
              <w:rPr>
                <w:sz w:val="23"/>
                <w:szCs w:val="23"/>
                <w:color w:val="auto"/>
              </w:rPr>
            </w:pPr>
          </w:p>
        </w:tc>
        <w:tc>
          <w:tcPr>
            <w:tcW w:w="384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333-126751</w:t>
            </w:r>
          </w:p>
        </w:tc>
      </w:tr>
      <w:tr>
        <w:trPr>
          <w:trHeight w:val="230"/>
        </w:trPr>
        <w:tc>
          <w:tcPr>
            <w:tcW w:w="2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2"/>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7"/>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LAZARD GROUP LLC</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8"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7220" w:type="dxa"/>
            <w:vAlign w:val="bottom"/>
            <w:gridSpan w:val="3"/>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00" w:type="dxa"/>
            <w:vAlign w:val="bottom"/>
          </w:tcPr>
          <w:p>
            <w:pPr>
              <w:spacing w:after="0"/>
              <w:rPr>
                <w:sz w:val="18"/>
                <w:szCs w:val="18"/>
                <w:color w:val="auto"/>
              </w:rPr>
            </w:pPr>
          </w:p>
        </w:tc>
        <w:tc>
          <w:tcPr>
            <w:tcW w:w="108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51-0278097</w:t>
            </w:r>
          </w:p>
        </w:tc>
        <w:tc>
          <w:tcPr>
            <w:tcW w:w="600" w:type="dxa"/>
            <w:vAlign w:val="bottom"/>
          </w:tcPr>
          <w:p>
            <w:pPr>
              <w:spacing w:after="0"/>
              <w:rPr>
                <w:sz w:val="18"/>
                <w:szCs w:val="18"/>
                <w:color w:val="auto"/>
              </w:rPr>
            </w:pPr>
          </w:p>
        </w:tc>
      </w:tr>
      <w:tr>
        <w:trPr>
          <w:trHeight w:val="149"/>
        </w:trPr>
        <w:tc>
          <w:tcPr>
            <w:tcW w:w="7220" w:type="dxa"/>
            <w:vAlign w:val="bottom"/>
            <w:gridSpan w:val="3"/>
          </w:tcPr>
          <w:p>
            <w:pPr>
              <w:jc w:val="center"/>
              <w:ind w:right="2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 of Incorporation</w:t>
            </w:r>
          </w:p>
        </w:tc>
        <w:tc>
          <w:tcPr>
            <w:tcW w:w="23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r>
      <w:tr>
        <w:trPr>
          <w:trHeight w:val="178"/>
        </w:trPr>
        <w:tc>
          <w:tcPr>
            <w:tcW w:w="7220" w:type="dxa"/>
            <w:vAlign w:val="bottom"/>
            <w:gridSpan w:val="3"/>
          </w:tcPr>
          <w:p>
            <w:pPr>
              <w:jc w:val="center"/>
              <w:ind w:right="2100"/>
              <w:spacing w:after="0"/>
              <w:rPr>
                <w:sz w:val="20"/>
                <w:szCs w:val="20"/>
                <w:color w:val="auto"/>
              </w:rPr>
            </w:pPr>
            <w:r>
              <w:rPr>
                <w:rFonts w:ascii="Times New Roman" w:cs="Times New Roman" w:eastAsia="Times New Roman" w:hAnsi="Times New Roman"/>
                <w:sz w:val="14"/>
                <w:szCs w:val="14"/>
                <w:b w:val="1"/>
                <w:bCs w:val="1"/>
                <w:color w:val="auto"/>
                <w:w w:val="95"/>
              </w:rPr>
              <w:t>or Organization)</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49"/>
        </w:trPr>
        <w:tc>
          <w:tcPr>
            <w:tcW w:w="416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47"/>
        </w:trPr>
        <w:tc>
          <w:tcPr>
            <w:tcW w:w="416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30 Rockefeller Plaza</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16"/>
        </w:trPr>
        <w:tc>
          <w:tcPr>
            <w:tcW w:w="416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5"/>
              </w:rPr>
              <w:t>New York, NY 10112</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7220" w:type="dxa"/>
            <w:vAlign w:val="bottom"/>
            <w:gridSpan w:val="3"/>
          </w:tcPr>
          <w:p>
            <w:pPr>
              <w:jc w:val="center"/>
              <w:ind w:left="3397"/>
              <w:spacing w:after="0"/>
              <w:rPr>
                <w:sz w:val="20"/>
                <w:szCs w:val="20"/>
                <w:color w:val="auto"/>
              </w:rPr>
            </w:pPr>
            <w:r>
              <w:rPr>
                <w:rFonts w:ascii="Times New Roman" w:cs="Times New Roman" w:eastAsia="Times New Roman" w:hAnsi="Times New Roman"/>
                <w:sz w:val="18"/>
                <w:szCs w:val="18"/>
                <w:b w:val="1"/>
                <w:bCs w:val="1"/>
                <w:color w:val="auto"/>
                <w:w w:val="97"/>
              </w:rPr>
              <w:t>(Address of principal executive offices)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0"/>
        </w:trPr>
        <w:tc>
          <w:tcPr>
            <w:tcW w:w="7220" w:type="dxa"/>
            <w:vAlign w:val="bottom"/>
            <w:gridSpan w:val="3"/>
          </w:tcPr>
          <w:p>
            <w:pPr>
              <w:jc w:val="center"/>
              <w:ind w:left="3417"/>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(212) 632-6000</w:t>
            </w: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51"/>
        </w:trPr>
        <w:tc>
          <w:tcPr>
            <w:tcW w:w="41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3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302"/>
        </w:trPr>
        <w:tc>
          <w:tcPr>
            <w:tcW w:w="7920" w:type="dxa"/>
            <w:vAlign w:val="bottom"/>
            <w:gridSpan w:val="4"/>
          </w:tcPr>
          <w:p>
            <w:pPr>
              <w:jc w:val="center"/>
              <w:ind w:left="2697"/>
              <w:spacing w:after="0"/>
              <w:rPr>
                <w:sz w:val="20"/>
                <w:szCs w:val="20"/>
                <w:color w:val="auto"/>
              </w:rPr>
            </w:pPr>
            <w:r>
              <w:rPr>
                <w:rFonts w:ascii="Times New Roman" w:cs="Times New Roman" w:eastAsia="Times New Roman" w:hAnsi="Times New Roman"/>
                <w:sz w:val="18"/>
                <w:szCs w:val="18"/>
                <w:color w:val="auto"/>
                <w:w w:val="97"/>
              </w:rPr>
              <w:t>Securities Registered Pursuant to Section 12(b) of the Act: None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8"/>
        </w:trPr>
        <w:tc>
          <w:tcPr>
            <w:tcW w:w="7920" w:type="dxa"/>
            <w:vAlign w:val="bottom"/>
            <w:gridSpan w:val="4"/>
          </w:tcPr>
          <w:p>
            <w:pPr>
              <w:jc w:val="center"/>
              <w:ind w:left="2697"/>
              <w:spacing w:after="0"/>
              <w:rPr>
                <w:sz w:val="20"/>
                <w:szCs w:val="20"/>
                <w:color w:val="auto"/>
              </w:rPr>
            </w:pPr>
            <w:r>
              <w:rPr>
                <w:rFonts w:ascii="Times New Roman" w:cs="Times New Roman" w:eastAsia="Times New Roman" w:hAnsi="Times New Roman"/>
                <w:sz w:val="18"/>
                <w:szCs w:val="18"/>
                <w:color w:val="auto"/>
                <w:w w:val="97"/>
              </w:rPr>
              <w:t>Securities Registered Pursuant to Section 12(g) of the Act: None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85"/>
        </w:trPr>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5"/>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r>
      <w:tr>
        <w:trPr>
          <w:trHeight w:val="275"/>
        </w:trPr>
        <w:tc>
          <w:tcPr>
            <w:tcW w:w="79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15(d) of the Act.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6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2" w:lineRule="exact"/>
        <w:rPr>
          <w:sz w:val="24"/>
          <w:szCs w:val="24"/>
          <w:color w:val="auto"/>
        </w:rPr>
      </w:pPr>
    </w:p>
    <w:p>
      <w:pPr>
        <w:ind w:right="32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12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ind w:firstLine="342"/>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26"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26" w:right="259" w:bottom="1440" w:gutter="0" w:footer="0" w:header="0"/>
          <w:type w:val="continuous"/>
        </w:sectPr>
      </w:pPr>
    </w:p>
    <w:p>
      <w:pPr>
        <w:ind w:left="360" w:right="172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June 30, 2014, none of the Registrant’s common membership interests were held by non-affiliates.</w:t>
      </w:r>
    </w:p>
    <w:p>
      <w:pPr>
        <w:spacing w:after="0" w:line="43" w:lineRule="exact"/>
        <w:rPr>
          <w:sz w:val="24"/>
          <w:szCs w:val="24"/>
          <w:color w:val="auto"/>
        </w:rPr>
      </w:pPr>
    </w:p>
    <w:p>
      <w:pPr>
        <w:ind w:right="500" w:firstLine="342"/>
        <w:spacing w:after="0" w:line="275" w:lineRule="auto"/>
        <w:rPr>
          <w:sz w:val="20"/>
          <w:szCs w:val="20"/>
          <w:color w:val="auto"/>
        </w:rPr>
      </w:pPr>
      <w:r>
        <w:rPr>
          <w:rFonts w:ascii="Times New Roman" w:cs="Times New Roman" w:eastAsia="Times New Roman" w:hAnsi="Times New Roman"/>
          <w:sz w:val="18"/>
          <w:szCs w:val="18"/>
          <w:color w:val="auto"/>
        </w:rPr>
        <w:t>As of January 30, 2015, in addition to profit participation interests, there were 129,766,090 common membership interests and two managing member interests outstanding.</w:t>
      </w:r>
    </w:p>
    <w:p>
      <w:pPr>
        <w:spacing w:after="0" w:line="12" w:lineRule="exact"/>
        <w:rPr>
          <w:sz w:val="24"/>
          <w:szCs w:val="24"/>
          <w:color w:val="auto"/>
        </w:rPr>
      </w:pPr>
    </w:p>
    <w:p>
      <w:pPr>
        <w:ind w:right="60" w:firstLine="342"/>
        <w:spacing w:after="0" w:line="258" w:lineRule="auto"/>
        <w:rPr>
          <w:sz w:val="20"/>
          <w:szCs w:val="20"/>
          <w:color w:val="auto"/>
        </w:rPr>
      </w:pPr>
      <w:r>
        <w:rPr>
          <w:rFonts w:ascii="Times New Roman" w:cs="Times New Roman" w:eastAsia="Times New Roman" w:hAnsi="Times New Roman"/>
          <w:sz w:val="18"/>
          <w:szCs w:val="18"/>
          <w:color w:val="auto"/>
        </w:rPr>
        <w:t>The Registrant meets the conditions set forth in General Instruction (I)(1)(a) and (b) of Form 10-K and is therefore filing this Form with the reduced disclosure format by omitting the information called for by the following items of Form 10-K: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 10-K Item Number</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2"/>
        </w:trPr>
        <w:tc>
          <w:tcPr>
            <w:tcW w:w="1560" w:type="dxa"/>
            <w:vAlign w:val="bottom"/>
            <w:tcBorders>
              <w:bottom w:val="single" w:sz="8" w:color="auto"/>
            </w:tcBorders>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Borders>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257"/>
        </w:trPr>
        <w:tc>
          <w:tcPr>
            <w:tcW w:w="540" w:type="dxa"/>
            <w:vAlign w:val="bottom"/>
            <w:tcBorders>
              <w:bottom w:val="single" w:sz="8" w:color="0000EE"/>
            </w:tcBorders>
          </w:tcPr>
          <w:p>
            <w:pPr>
              <w:spacing w:after="0"/>
              <w:rPr>
                <w:rFonts w:ascii="Times New Roman" w:cs="Times New Roman" w:eastAsia="Times New Roman" w:hAnsi="Times New Roman"/>
                <w:sz w:val="18"/>
                <w:szCs w:val="18"/>
                <w:color w:val="0000EE"/>
                <w:w w:val="91"/>
              </w:rPr>
            </w:pPr>
            <w:hyperlink w:anchor="page3">
              <w:r>
                <w:rPr>
                  <w:rFonts w:ascii="Times New Roman" w:cs="Times New Roman" w:eastAsia="Times New Roman" w:hAnsi="Times New Roman"/>
                  <w:sz w:val="18"/>
                  <w:szCs w:val="18"/>
                  <w:color w:val="0000EE"/>
                  <w:w w:val="91"/>
                </w:rPr>
                <w:t>PART I</w:t>
              </w:r>
            </w:hyperlink>
          </w:p>
        </w:tc>
        <w:tc>
          <w:tcPr>
            <w:tcW w:w="102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20" w:type="dxa"/>
            <w:vAlign w:val="bottom"/>
          </w:tcPr>
          <w:p>
            <w:pPr>
              <w:spacing w:after="0"/>
              <w:rPr>
                <w:sz w:val="24"/>
                <w:szCs w:val="24"/>
                <w:color w:val="auto"/>
              </w:rPr>
            </w:pPr>
          </w:p>
        </w:tc>
        <w:tc>
          <w:tcPr>
            <w:tcW w:w="620" w:type="dxa"/>
            <w:vAlign w:val="bottom"/>
            <w:tcBorders>
              <w:bottom w:val="single" w:sz="8" w:color="0000EE"/>
            </w:tcBorders>
          </w:tcPr>
          <w:p>
            <w:pPr>
              <w:spacing w:after="0"/>
              <w:rPr>
                <w:rFonts w:ascii="Times New Roman" w:cs="Times New Roman" w:eastAsia="Times New Roman" w:hAnsi="Times New Roman"/>
                <w:sz w:val="18"/>
                <w:szCs w:val="18"/>
                <w:color w:val="0000EE"/>
                <w:w w:val="93"/>
              </w:rPr>
            </w:pPr>
            <w:hyperlink w:anchor="page3">
              <w:r>
                <w:rPr>
                  <w:rFonts w:ascii="Times New Roman" w:cs="Times New Roman" w:eastAsia="Times New Roman" w:hAnsi="Times New Roman"/>
                  <w:sz w:val="18"/>
                  <w:szCs w:val="18"/>
                  <w:color w:val="0000EE"/>
                  <w:w w:val="93"/>
                </w:rPr>
                <w:t>Business</w:t>
              </w:r>
            </w:hyperlink>
          </w:p>
        </w:tc>
        <w:tc>
          <w:tcPr>
            <w:tcW w:w="8800" w:type="dxa"/>
            <w:vAlign w:val="bottom"/>
            <w:gridSpan w:val="21"/>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Executive Officers of the Registrant</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2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4"/>
              </w:rPr>
            </w:pPr>
            <w:hyperlink w:anchor="page17">
              <w:r>
                <w:rPr>
                  <w:rFonts w:ascii="Times New Roman" w:cs="Times New Roman" w:eastAsia="Times New Roman" w:hAnsi="Times New Roman"/>
                  <w:sz w:val="18"/>
                  <w:szCs w:val="18"/>
                  <w:color w:val="0000EE"/>
                  <w:w w:val="94"/>
                </w:rPr>
                <w:t>Risk Factors</w:t>
              </w:r>
            </w:hyperlink>
          </w:p>
        </w:tc>
        <w:tc>
          <w:tcPr>
            <w:tcW w:w="1640" w:type="dxa"/>
            <w:vAlign w:val="bottom"/>
            <w:tcBorders>
              <w:top w:val="single" w:sz="8" w:color="0000EE"/>
            </w:tcBorders>
            <w:gridSpan w:val="7"/>
          </w:tcPr>
          <w:p>
            <w:pPr>
              <w:spacing w:after="0"/>
              <w:rPr>
                <w:sz w:val="24"/>
                <w:szCs w:val="24"/>
                <w:color w:val="auto"/>
              </w:rPr>
            </w:pPr>
          </w:p>
        </w:tc>
        <w:tc>
          <w:tcPr>
            <w:tcW w:w="69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1B.</w:t>
            </w:r>
          </w:p>
        </w:tc>
        <w:tc>
          <w:tcPr>
            <w:tcW w:w="20" w:type="dxa"/>
            <w:vAlign w:val="bottom"/>
          </w:tcPr>
          <w:p>
            <w:pPr>
              <w:spacing w:after="0"/>
              <w:rPr>
                <w:sz w:val="24"/>
                <w:szCs w:val="24"/>
                <w:color w:val="auto"/>
              </w:rPr>
            </w:pPr>
          </w:p>
        </w:tc>
        <w:tc>
          <w:tcPr>
            <w:tcW w:w="2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6"/>
              </w:rPr>
            </w:pPr>
            <w:hyperlink w:anchor="page32">
              <w:r>
                <w:rPr>
                  <w:rFonts w:ascii="Times New Roman" w:cs="Times New Roman" w:eastAsia="Times New Roman" w:hAnsi="Times New Roman"/>
                  <w:sz w:val="18"/>
                  <w:szCs w:val="18"/>
                  <w:color w:val="0000EE"/>
                  <w:w w:val="96"/>
                </w:rPr>
                <w:t>Unresolved Staff Comments</w:t>
              </w:r>
            </w:hyperlink>
          </w:p>
        </w:tc>
        <w:tc>
          <w:tcPr>
            <w:tcW w:w="742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20" w:type="dxa"/>
            <w:vAlign w:val="bottom"/>
          </w:tcPr>
          <w:p>
            <w:pPr>
              <w:spacing w:after="0"/>
              <w:rPr>
                <w:sz w:val="24"/>
                <w:szCs w:val="24"/>
                <w:color w:val="auto"/>
              </w:rPr>
            </w:pPr>
          </w:p>
        </w:tc>
        <w:tc>
          <w:tcPr>
            <w:tcW w:w="9420" w:type="dxa"/>
            <w:vAlign w:val="bottom"/>
            <w:gridSpan w:val="22"/>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Properties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2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5"/>
              </w:rPr>
            </w:pPr>
            <w:hyperlink w:anchor="page33">
              <w:r>
                <w:rPr>
                  <w:rFonts w:ascii="Times New Roman" w:cs="Times New Roman" w:eastAsia="Times New Roman" w:hAnsi="Times New Roman"/>
                  <w:sz w:val="18"/>
                  <w:szCs w:val="18"/>
                  <w:color w:val="0000EE"/>
                  <w:w w:val="95"/>
                </w:rPr>
                <w:t>Legal Proceedings</w:t>
              </w:r>
            </w:hyperlink>
          </w:p>
        </w:tc>
        <w:tc>
          <w:tcPr>
            <w:tcW w:w="812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20" w:type="dxa"/>
            <w:vAlign w:val="bottom"/>
          </w:tcPr>
          <w:p>
            <w:pPr>
              <w:spacing w:after="0"/>
              <w:rPr>
                <w:sz w:val="24"/>
                <w:szCs w:val="24"/>
                <w:color w:val="auto"/>
              </w:rPr>
            </w:pPr>
          </w:p>
        </w:tc>
        <w:tc>
          <w:tcPr>
            <w:tcW w:w="9420" w:type="dxa"/>
            <w:vAlign w:val="bottom"/>
            <w:gridSpan w:val="22"/>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Mine Safety Disclosures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4"/>
        </w:trPr>
        <w:tc>
          <w:tcPr>
            <w:tcW w:w="6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2"/>
              </w:rPr>
            </w:pPr>
            <w:hyperlink w:anchor="page33">
              <w:r>
                <w:rPr>
                  <w:rFonts w:ascii="Times New Roman" w:cs="Times New Roman" w:eastAsia="Times New Roman" w:hAnsi="Times New Roman"/>
                  <w:sz w:val="18"/>
                  <w:szCs w:val="18"/>
                  <w:color w:val="0000EE"/>
                  <w:w w:val="92"/>
                </w:rPr>
                <w:t>PART II</w:t>
              </w:r>
            </w:hyperlink>
          </w:p>
        </w:tc>
        <w:tc>
          <w:tcPr>
            <w:tcW w:w="9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5.</w:t>
            </w:r>
          </w:p>
        </w:tc>
        <w:tc>
          <w:tcPr>
            <w:tcW w:w="20" w:type="dxa"/>
            <w:vAlign w:val="bottom"/>
          </w:tcPr>
          <w:p>
            <w:pPr>
              <w:spacing w:after="0"/>
              <w:rPr>
                <w:sz w:val="24"/>
                <w:szCs w:val="24"/>
                <w:color w:val="auto"/>
              </w:rPr>
            </w:pPr>
          </w:p>
        </w:tc>
        <w:tc>
          <w:tcPr>
            <w:tcW w:w="78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Market for Registrant’s Common Equity, Related Stockholder Matters and Issuer Purchases of Equity Securities</w:t>
              </w:r>
            </w:hyperlink>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20" w:type="dxa"/>
            <w:vAlign w:val="bottom"/>
          </w:tcPr>
          <w:p>
            <w:pPr>
              <w:spacing w:after="0"/>
              <w:rPr>
                <w:sz w:val="24"/>
                <w:szCs w:val="24"/>
                <w:color w:val="auto"/>
              </w:rPr>
            </w:pPr>
          </w:p>
        </w:tc>
        <w:tc>
          <w:tcPr>
            <w:tcW w:w="9420" w:type="dxa"/>
            <w:vAlign w:val="bottom"/>
            <w:gridSpan w:val="2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Selected Financial Data</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w:t>
            </w:r>
          </w:p>
        </w:tc>
        <w:tc>
          <w:tcPr>
            <w:tcW w:w="20" w:type="dxa"/>
            <w:vAlign w:val="bottom"/>
          </w:tcPr>
          <w:p>
            <w:pPr>
              <w:spacing w:after="0"/>
              <w:rPr>
                <w:sz w:val="24"/>
                <w:szCs w:val="24"/>
                <w:color w:val="auto"/>
              </w:rPr>
            </w:pPr>
          </w:p>
        </w:tc>
        <w:tc>
          <w:tcPr>
            <w:tcW w:w="63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1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7A.</w:t>
            </w:r>
          </w:p>
        </w:tc>
        <w:tc>
          <w:tcPr>
            <w:tcW w:w="20" w:type="dxa"/>
            <w:vAlign w:val="bottom"/>
          </w:tcPr>
          <w:p>
            <w:pPr>
              <w:spacing w:after="0"/>
              <w:rPr>
                <w:sz w:val="24"/>
                <w:szCs w:val="24"/>
                <w:color w:val="auto"/>
              </w:rPr>
            </w:pPr>
          </w:p>
        </w:tc>
        <w:tc>
          <w:tcPr>
            <w:tcW w:w="9420" w:type="dxa"/>
            <w:vAlign w:val="bottom"/>
            <w:gridSpan w:val="22"/>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8.</w:t>
            </w:r>
          </w:p>
        </w:tc>
        <w:tc>
          <w:tcPr>
            <w:tcW w:w="20" w:type="dxa"/>
            <w:vAlign w:val="bottom"/>
          </w:tcPr>
          <w:p>
            <w:pPr>
              <w:spacing w:after="0"/>
              <w:rPr>
                <w:sz w:val="24"/>
                <w:szCs w:val="24"/>
                <w:color w:val="auto"/>
              </w:rPr>
            </w:pPr>
          </w:p>
        </w:tc>
        <w:tc>
          <w:tcPr>
            <w:tcW w:w="424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Financial Statements and Supplementary Data</w:t>
              </w:r>
            </w:hyperlink>
          </w:p>
        </w:tc>
        <w:tc>
          <w:tcPr>
            <w:tcW w:w="51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w:t>
            </w:r>
          </w:p>
        </w:tc>
        <w:tc>
          <w:tcPr>
            <w:tcW w:w="20" w:type="dxa"/>
            <w:vAlign w:val="bottom"/>
          </w:tcPr>
          <w:p>
            <w:pPr>
              <w:spacing w:after="0"/>
              <w:rPr>
                <w:sz w:val="24"/>
                <w:szCs w:val="24"/>
                <w:color w:val="auto"/>
              </w:rPr>
            </w:pPr>
          </w:p>
        </w:tc>
        <w:tc>
          <w:tcPr>
            <w:tcW w:w="63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w:anchor="page131">
              <w:r>
                <w:rPr>
                  <w:rFonts w:ascii="Times New Roman" w:cs="Times New Roman" w:eastAsia="Times New Roman" w:hAnsi="Times New Roman"/>
                  <w:sz w:val="18"/>
                  <w:szCs w:val="18"/>
                  <w:color w:val="0000EE"/>
                  <w:w w:val="97"/>
                </w:rPr>
                <w:t>Changes in and Disagreements with Accountants on Accounting and Financial Disclosure</w:t>
              </w:r>
            </w:hyperlink>
          </w:p>
        </w:tc>
        <w:tc>
          <w:tcPr>
            <w:tcW w:w="31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9A.</w:t>
            </w:r>
          </w:p>
        </w:tc>
        <w:tc>
          <w:tcPr>
            <w:tcW w:w="20" w:type="dxa"/>
            <w:vAlign w:val="bottom"/>
          </w:tcPr>
          <w:p>
            <w:pPr>
              <w:spacing w:after="0"/>
              <w:rPr>
                <w:sz w:val="24"/>
                <w:szCs w:val="24"/>
                <w:color w:val="auto"/>
              </w:rPr>
            </w:pPr>
          </w:p>
        </w:tc>
        <w:tc>
          <w:tcPr>
            <w:tcW w:w="9420" w:type="dxa"/>
            <w:vAlign w:val="bottom"/>
            <w:gridSpan w:val="22"/>
          </w:tcPr>
          <w:p>
            <w:pPr>
              <w:spacing w:after="0"/>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Controls and Procedures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9B.</w:t>
            </w:r>
          </w:p>
        </w:tc>
        <w:tc>
          <w:tcPr>
            <w:tcW w:w="2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Other Information</w:t>
              </w:r>
            </w:hyperlink>
          </w:p>
        </w:tc>
        <w:tc>
          <w:tcPr>
            <w:tcW w:w="77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PART III</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10.</w:t>
            </w:r>
          </w:p>
        </w:tc>
        <w:tc>
          <w:tcPr>
            <w:tcW w:w="20" w:type="dxa"/>
            <w:vAlign w:val="bottom"/>
          </w:tcPr>
          <w:p>
            <w:pPr>
              <w:spacing w:after="0"/>
              <w:rPr>
                <w:sz w:val="24"/>
                <w:szCs w:val="24"/>
                <w:color w:val="auto"/>
              </w:rPr>
            </w:pPr>
          </w:p>
        </w:tc>
        <w:tc>
          <w:tcPr>
            <w:tcW w:w="9420" w:type="dxa"/>
            <w:vAlign w:val="bottom"/>
            <w:gridSpan w:val="22"/>
          </w:tcPr>
          <w:p>
            <w:pPr>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11.</w:t>
            </w:r>
          </w:p>
        </w:tc>
        <w:tc>
          <w:tcPr>
            <w:tcW w:w="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6"/>
              </w:rPr>
            </w:pPr>
            <w:hyperlink w:anchor="page132">
              <w:r>
                <w:rPr>
                  <w:rFonts w:ascii="Times New Roman" w:cs="Times New Roman" w:eastAsia="Times New Roman" w:hAnsi="Times New Roman"/>
                  <w:sz w:val="18"/>
                  <w:szCs w:val="18"/>
                  <w:color w:val="0000EE"/>
                  <w:w w:val="96"/>
                </w:rPr>
                <w:t>Executive Compensation</w:t>
              </w:r>
            </w:hyperlink>
          </w:p>
        </w:tc>
        <w:tc>
          <w:tcPr>
            <w:tcW w:w="2220" w:type="dxa"/>
            <w:vAlign w:val="bottom"/>
            <w:tcBorders>
              <w:top w:val="single" w:sz="8" w:color="0000EE"/>
            </w:tcBorders>
            <w:gridSpan w:val="6"/>
          </w:tcPr>
          <w:p>
            <w:pPr>
              <w:spacing w:after="0"/>
              <w:rPr>
                <w:sz w:val="24"/>
                <w:szCs w:val="24"/>
                <w:color w:val="auto"/>
              </w:rPr>
            </w:pPr>
          </w:p>
        </w:tc>
        <w:tc>
          <w:tcPr>
            <w:tcW w:w="544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12.</w:t>
            </w:r>
          </w:p>
        </w:tc>
        <w:tc>
          <w:tcPr>
            <w:tcW w:w="20" w:type="dxa"/>
            <w:vAlign w:val="bottom"/>
          </w:tcPr>
          <w:p>
            <w:pPr>
              <w:spacing w:after="0"/>
              <w:rPr>
                <w:sz w:val="24"/>
                <w:szCs w:val="24"/>
                <w:color w:val="auto"/>
              </w:rPr>
            </w:pPr>
          </w:p>
        </w:tc>
        <w:tc>
          <w:tcPr>
            <w:tcW w:w="9420" w:type="dxa"/>
            <w:vAlign w:val="bottom"/>
            <w:gridSpan w:val="22"/>
          </w:tcPr>
          <w:p>
            <w:pPr>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13.</w:t>
            </w:r>
          </w:p>
        </w:tc>
        <w:tc>
          <w:tcPr>
            <w:tcW w:w="2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7"/>
              </w:rPr>
            </w:pPr>
            <w:hyperlink w:anchor="page132">
              <w:r>
                <w:rPr>
                  <w:rFonts w:ascii="Times New Roman" w:cs="Times New Roman" w:eastAsia="Times New Roman" w:hAnsi="Times New Roman"/>
                  <w:sz w:val="18"/>
                  <w:szCs w:val="18"/>
                  <w:color w:val="0000EE"/>
                  <w:w w:val="97"/>
                </w:rPr>
                <w:t>Certain Relationships and Related Transactions, and Director Independence</w:t>
              </w:r>
            </w:hyperlink>
          </w:p>
        </w:tc>
        <w:tc>
          <w:tcPr>
            <w:tcW w:w="1780" w:type="dxa"/>
            <w:vAlign w:val="bottom"/>
            <w:tcBorders>
              <w:top w:val="single" w:sz="8" w:color="0000EE"/>
            </w:tcBorders>
            <w:gridSpan w:val="4"/>
          </w:tcPr>
          <w:p>
            <w:pPr>
              <w:spacing w:after="0"/>
              <w:rPr>
                <w:sz w:val="24"/>
                <w:szCs w:val="24"/>
                <w:color w:val="auto"/>
              </w:rPr>
            </w:pPr>
          </w:p>
        </w:tc>
        <w:tc>
          <w:tcPr>
            <w:tcW w:w="23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14.</w:t>
            </w:r>
          </w:p>
        </w:tc>
        <w:tc>
          <w:tcPr>
            <w:tcW w:w="20" w:type="dxa"/>
            <w:vAlign w:val="bottom"/>
          </w:tcPr>
          <w:p>
            <w:pPr>
              <w:spacing w:after="0"/>
              <w:rPr>
                <w:sz w:val="24"/>
                <w:szCs w:val="24"/>
                <w:color w:val="auto"/>
              </w:rPr>
            </w:pPr>
          </w:p>
        </w:tc>
        <w:tc>
          <w:tcPr>
            <w:tcW w:w="9420" w:type="dxa"/>
            <w:vAlign w:val="bottom"/>
            <w:gridSpan w:val="22"/>
          </w:tcPr>
          <w:p>
            <w:pPr>
              <w:spacing w:after="0"/>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Principal Accounting Fees and Services</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2"/>
              </w:rPr>
            </w:pPr>
            <w:hyperlink w:anchor="page134">
              <w:r>
                <w:rPr>
                  <w:rFonts w:ascii="Times New Roman" w:cs="Times New Roman" w:eastAsia="Times New Roman" w:hAnsi="Times New Roman"/>
                  <w:sz w:val="18"/>
                  <w:szCs w:val="18"/>
                  <w:color w:val="0000EE"/>
                  <w:w w:val="92"/>
                </w:rPr>
                <w:t>PART IV</w:t>
              </w:r>
            </w:hyperlink>
          </w:p>
        </w:tc>
        <w:tc>
          <w:tcPr>
            <w:tcW w:w="9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Item 15.</w:t>
            </w:r>
          </w:p>
        </w:tc>
        <w:tc>
          <w:tcPr>
            <w:tcW w:w="20" w:type="dxa"/>
            <w:vAlign w:val="bottom"/>
          </w:tcPr>
          <w:p>
            <w:pPr>
              <w:spacing w:after="0"/>
              <w:rPr>
                <w:sz w:val="24"/>
                <w:szCs w:val="24"/>
                <w:color w:val="auto"/>
              </w:rPr>
            </w:pPr>
          </w:p>
        </w:tc>
        <w:tc>
          <w:tcPr>
            <w:tcW w:w="30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6"/>
              </w:rPr>
            </w:pPr>
            <w:hyperlink w:anchor="page134">
              <w:r>
                <w:rPr>
                  <w:rFonts w:ascii="Times New Roman" w:cs="Times New Roman" w:eastAsia="Times New Roman" w:hAnsi="Times New Roman"/>
                  <w:sz w:val="18"/>
                  <w:szCs w:val="18"/>
                  <w:color w:val="0000EE"/>
                  <w:w w:val="96"/>
                </w:rPr>
                <w:t>Exhibits and Financial Statement Schedules</w:t>
              </w:r>
            </w:hyperlink>
          </w:p>
        </w:tc>
        <w:tc>
          <w:tcPr>
            <w:tcW w:w="634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Times New Roman" w:cs="Times New Roman" w:eastAsia="Times New Roman" w:hAnsi="Times New Roman"/>
                <w:sz w:val="18"/>
                <w:szCs w:val="18"/>
                <w:color w:val="0000EE"/>
              </w:rPr>
            </w:pPr>
            <w:hyperlink w:anchor="page139">
              <w:r>
                <w:rPr>
                  <w:rFonts w:ascii="Times New Roman" w:cs="Times New Roman" w:eastAsia="Times New Roman" w:hAnsi="Times New Roman"/>
                  <w:sz w:val="18"/>
                  <w:szCs w:val="18"/>
                  <w:color w:val="0000EE"/>
                </w:rPr>
                <w:t>Index to Financial Statements and Financial Statement Schedule Items 15(a)(1) and 15(a)(2)</w:t>
              </w:r>
            </w:hyperlink>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Times New Roman" w:cs="Times New Roman" w:eastAsia="Times New Roman" w:hAnsi="Times New Roman"/>
                <w:sz w:val="18"/>
                <w:szCs w:val="18"/>
                <w:color w:val="0000EE"/>
              </w:rPr>
            </w:pPr>
            <w:hyperlink w:anchor="page145">
              <w:r>
                <w:rPr>
                  <w:rFonts w:ascii="Times New Roman" w:cs="Times New Roman" w:eastAsia="Times New Roman" w:hAnsi="Times New Roman"/>
                  <w:sz w:val="18"/>
                  <w:szCs w:val="18"/>
                  <w:color w:val="0000EE"/>
                </w:rPr>
                <w:t>SIGNATURES</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4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December 31, 2014 of all of the common membership interests in Lazard Group. Lazard Ltd controls Lazard Group through two of its indirect wholly-owned subsidiaries that are co-managing members of Lazard Group.</w:t>
      </w:r>
    </w:p>
    <w:p>
      <w:pPr>
        <w:spacing w:after="0" w:line="139" w:lineRule="exact"/>
        <w:rPr>
          <w:sz w:val="20"/>
          <w:szCs w:val="20"/>
          <w:color w:val="auto"/>
        </w:rPr>
      </w:pPr>
    </w:p>
    <w:p>
      <w:pPr>
        <w:ind w:right="26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92"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Business Lines</w:t>
      </w:r>
    </w:p>
    <w:p>
      <w:pPr>
        <w:spacing w:after="0" w:line="92"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We focus primarily on two business segments: Financial Advisory and Asset Management. We believe that the mix of our activities across business segments, geographic regions, industries and investment strategies helps to diversify and stabilize our revenue stream.</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w:t>
      </w:r>
    </w:p>
    <w:p>
      <w:pPr>
        <w:spacing w:after="0" w:line="94"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Our Financial Advisory business offers corporate, partnership, institutional, government, sovereign and individual clients across the globe a wide array of financial advisory services regarding mergers and acquisitions (“</w:t>
      </w:r>
      <w:r>
        <w:rPr>
          <w:rFonts w:ascii="Times New Roman" w:cs="Times New Roman" w:eastAsia="Times New Roman" w:hAnsi="Times New Roman"/>
          <w:sz w:val="18"/>
          <w:szCs w:val="18"/>
          <w:i w:val="1"/>
          <w:iCs w:val="1"/>
          <w:color w:val="auto"/>
        </w:rPr>
        <w:t>M&amp;A</w:t>
      </w:r>
      <w:r>
        <w:rPr>
          <w:rFonts w:ascii="Times New Roman" w:cs="Times New Roman" w:eastAsia="Times New Roman" w:hAnsi="Times New Roman"/>
          <w:sz w:val="18"/>
          <w:szCs w:val="18"/>
          <w:color w:val="auto"/>
        </w:rPr>
        <w:t>”) and other strategic matters, restructurings, capital structure, capital raising and various other financial matters. We focus on solving our clients’ most complex issues,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continue to build our Financial Advisory business by fostering long-term, senior level relationships with existing and new clients as their independent advisor on strategic transactions and other matters.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analysis and execution.</w:t>
      </w:r>
    </w:p>
    <w:p>
      <w:pPr>
        <w:spacing w:after="0" w:line="13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For the years ended December 31, 2014, 2013 and 2012, our Financial Advisory segment net revenue totaled $1.207 billion, $981 million and $1.049 billion, respectively, accounting for approximately 53%, 49% and 55%, respectively, of our consolidated net revenue for such years. We earned $1 million or more from 281 clients, 235 clients and 255 clients for the years ended December 31, 2014, 2013 and 2012, respectively. For the years ended December 31, 2014, 2013 and 2012, the ten largest fee paying clients constituted approximately 15%, 19% and 18%, respectively, of our Financial Advisory segment net revenue, with no client individually contributing more than 10% of segment net revenue during any of these years. For the years ended December 31, 2014, 2013 and 2012, our Financial Advisory segment reported operating income (loss) of $229 million, $21 million and $(9) million, respectively. Operating income in 2013 and 2012 included charges of $47 million and $78 million, respectively, associated with the cost saving initiatives (as described in Note 16 of Notes to Consolidated Financial Statements) announced by the Company in October 2012. Excluding the impact of such charges, our Financial Advisory segment had operating income of $68 million and $69 million in the years ended December 31, 2013 and 2012, respectively. At December 31, 2014, 2013 and 2012, our Financial Advisory segment had total assets of $786 million, $715 million and $793 million, respectively.</w:t>
      </w:r>
    </w:p>
    <w:p>
      <w:pPr>
        <w:spacing w:after="0" w:line="14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believe that we have been pioneers in offering financial advisory services on an international basis, with the establishment of our New York, Paris and London offices dating back to the nineteenth century. We maintain a major local presence in the United States (“U.S.”), the United Kingdom (the “U.K.”) and France, including a network of regional branch offices in the U.S., as well as a presence in Argentina, Australia, Belgium, Brazil, Chile, China, Colombia, Germany, Hong Kong, India, Italy, Japan, the Netherlands, Panama, Peru, Singapore, Spain, Sweden, Switzerland and the Middle East Region.</w:t>
      </w:r>
    </w:p>
    <w:p>
      <w:pPr>
        <w:spacing w:after="0" w:line="136" w:lineRule="exact"/>
        <w:rPr>
          <w:sz w:val="20"/>
          <w:szCs w:val="20"/>
          <w:color w:val="auto"/>
        </w:rPr>
      </w:pPr>
    </w:p>
    <w:p>
      <w:pPr>
        <w:ind w:right="40" w:firstLine="456"/>
        <w:spacing w:after="0" w:line="286" w:lineRule="auto"/>
        <w:rPr>
          <w:sz w:val="20"/>
          <w:szCs w:val="20"/>
          <w:color w:val="auto"/>
        </w:rPr>
      </w:pPr>
      <w:r>
        <w:rPr>
          <w:rFonts w:ascii="Times New Roman" w:cs="Times New Roman" w:eastAsia="Times New Roman" w:hAnsi="Times New Roman"/>
          <w:sz w:val="16"/>
          <w:szCs w:val="16"/>
          <w:color w:val="auto"/>
        </w:rPr>
        <w:t>Since 2007, our Financial Advisory business has made several business acquisitions and entered into certain other business relationships. In 2007, we acquired all of the outstanding ownership interests of Goldsmith, Agio, Helms &amp; Lynner, LLC (“GAHL”), a Minneapolis-based investment bank specializing in financial advisory services to mid-sized private companies, all of the outstanding shares of Carnegie, Wylie &amp; Company (Holdings) Pty Ltd (“CWC”), an Australia-based financial advisory and private equity firm, now known as Lazard Australia Holdings Pty Limited, and, along with the Company’s existing financial advisory business in Australia, referred to below as “Lazard Australia”, and we entered into a joint cooperation agreement with Raiffeisen Investment AG (“Raiffeisen”) for merger and acquisition advisory services in Russia and the Central and Eastern European (the “CEE”) region. The cooperation agreement between us and Raiffeisen, one of the CEE region’s top M&amp;A advisors, provides domestic, international and cross-border expertise within Russia and the CEE region. In 2008, we acquired a 50% interest in Merchant Bankers Asociados (“MBA”), an Argentina-based financial advisory services firm with offices across Central and South America. In 2009, we entered into a strategic alliance with a financial advisory firm in Mexico to provide global M&amp;A advisory services for clients, both inside and outside of Mexico, who are seeking to acquire or sell assets in Mexico or have interests in other financial transactions with companies in Mexico, and to provide restructuring advisory services to clients in Mexico. In 2012, we integrated our Brazilian operations based in São Paulo, and established a Lazard Africa initiative to leverage our sovereign and corporate expertise in this rapidly growing region, for our clients in both developed and developing countries. In 2014, we acquired certain securities sales and trading assets that facilitate the execution of exchange offers and other transactions related to financial advice provided by our Capital Advisory and Convertible Securities practice groups, and we took other steps that have enabled us to act as an underwriter in public offerings and other distributions of securities in order to buttress our Financial Advisory business.</w:t>
      </w:r>
    </w:p>
    <w:p>
      <w:pPr>
        <w:spacing w:after="0" w:line="33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addition to seeking business centered in the regions described above, we historically have focused in particular on advising clients with respect to cross-border transactions. We believe that we are particularly well known for our legacy of offering broad teams of professionals who are indigenous to their respective regions and who have long-term client relationships, capabilities and know-how in their respective regions, who will coordinate with our professionals with global sector expertise. We also believe that this positioning affords us insight around the globe into key industry, economic, government and regulatory issues and developments, which we can bring to bear on behalf of our clients.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Services Offered</w:t>
      </w:r>
    </w:p>
    <w:p>
      <w:pPr>
        <w:spacing w:after="0" w:line="9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structural alternatives, and rendering, if appropriate, fairness opinions. We also may advise as to the timing,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3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When we advise clients that are contemplating the sale of certain businesses, assets or an entire company, our services include advising on the sale process for the situation, providing valuation analyses, assisting in preparing an offering circular or other appropriate sale materials and rendering, if appropriate, fairness opinions. We also identify and contact selected qualified acquirors and assist in negotiating and closing the proposed sale. As appropriate, we also advise our clients regarding potential financial and strategic alternatives to a sale, including recapitalizations, spin-offs, carve-outs and split-offs. We frequently provide advice with respect to the structure, timing and pricing of these alternatives.</w:t>
      </w:r>
    </w:p>
    <w:p>
      <w:pPr>
        <w:spacing w:after="0" w:line="139" w:lineRule="exact"/>
        <w:rPr>
          <w:sz w:val="20"/>
          <w:szCs w:val="20"/>
          <w:color w:val="auto"/>
        </w:rPr>
      </w:pPr>
    </w:p>
    <w:p>
      <w:pPr>
        <w:ind w:right="240" w:firstLine="456"/>
        <w:spacing w:after="0" w:line="254" w:lineRule="auto"/>
        <w:rPr>
          <w:sz w:val="20"/>
          <w:szCs w:val="20"/>
          <w:color w:val="auto"/>
        </w:rPr>
      </w:pPr>
      <w:r>
        <w:rPr>
          <w:rFonts w:ascii="Times New Roman" w:cs="Times New Roman" w:eastAsia="Times New Roman" w:hAnsi="Times New Roman"/>
          <w:sz w:val="18"/>
          <w:szCs w:val="18"/>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financial and strategic alternatives.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41"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When we assist clients in raising private or public market financing, our services include assisting clients in connection with securing, refinancing or restructuring bank loans or other debt, including convertible securities, originating and executing, or participating in, public underwritings and private placements of equity, debt and convertible securities and originating and executing private placements of partnership and similar interests in alternative investment funds such as leveraged buyout, mezzanine or real estate focused funds.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at the forefront of providing independent advice to governments and governmental agencies challenged by the current economic environment.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Lazard’s Sovereign Advisory Group has advised a number of countries and institutions with respect to sovereign debt and other financial matters.</w:t>
      </w:r>
    </w:p>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Staffing</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staff each of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advice and services. Our managing directors have significant experience, and many of them are able to use this experience to advise on M&amp;A, financings, restructurings, capital structure and other transactions or financial matters, depending on our clients’ needs. Many of our managing directors and senior employees come from diverse backgrounds, such as senior executive positions at corporations and in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government, law and strategic consulting, which we believe enhances our ability to offer sophisticated advice and customized solutions to our clients. As of December 31, 2014, our Financial Advisory segment had 139 managing directors and 740 other professionals (which includes directors, vice presidents, associates and analysts).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Industries Served</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We seek to offer our services across most major industry groups, including, in many cases, sub-industry specialties. Managing directors and professionals in our Mergers and Acquisitions practice are organized to provide advice in the following major industry practice areas:</w:t>
      </w:r>
    </w:p>
    <w:p>
      <w:pPr>
        <w:spacing w:after="0" w:line="39"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and life sciences;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and energy/infrastructure;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media and telecommunications.</w:t>
      </w:r>
    </w:p>
    <w:p>
      <w:pPr>
        <w:spacing w:after="0" w:line="171" w:lineRule="exact"/>
        <w:rPr>
          <w:sz w:val="20"/>
          <w:szCs w:val="20"/>
          <w:color w:val="auto"/>
        </w:rPr>
      </w:pPr>
    </w:p>
    <w:p>
      <w:pPr>
        <w:jc w:val="both"/>
        <w:ind w:right="560" w:firstLine="456"/>
        <w:spacing w:after="0" w:line="262" w:lineRule="auto"/>
        <w:rPr>
          <w:sz w:val="20"/>
          <w:szCs w:val="20"/>
          <w:color w:val="auto"/>
        </w:rPr>
      </w:pPr>
      <w:r>
        <w:rPr>
          <w:rFonts w:ascii="Times New Roman" w:cs="Times New Roman" w:eastAsia="Times New Roman" w:hAnsi="Times New Roman"/>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scope and the quality of the advice that we can offer, which improves our ability to market our capabilities to clients.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our Mergers and Acquisitions and Restructuring practices, we also maintain specialties in the following distinct practice areas within our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Advisory business:</w:t>
      </w:r>
    </w:p>
    <w:p>
      <w:pPr>
        <w:spacing w:after="0" w:line="78"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sovereign advisory;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 and debt advisory;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raising for alternative investment funds; and</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finance and other services, including private placements, underwritten offerings related to our Financial Advisory business and transactions involving the exchange or issuance of convertible securities.</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focus in our Financial Advisory business is on:</w:t>
      </w:r>
    </w:p>
    <w:p>
      <w:pPr>
        <w:spacing w:after="0" w:line="90"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intellectual capital through senior professionals who we believe have strong client relationships and industry expertise;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contacts with existing clients to further enhance our long-term relationships and our efforts in developing new client relationships;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new client relationships, including leveraging the broad geographic footprint and strong relationships in our Asset Management business;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breadth and depth of our industry expertise and selectively adding or reinforcing practice areas, such as our Capital Structure Advisory and Sovereign Advisory groups;</w:t>
      </w:r>
    </w:p>
    <w:p>
      <w:pPr>
        <w:spacing w:after="0" w:line="38"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our industry specialty activities on a global basis and increasing the integration of our industry experts in Mergers and Acquisitions with our other professionals;</w:t>
      </w:r>
    </w:p>
    <w:p>
      <w:pPr>
        <w:spacing w:after="0" w:line="38" w:lineRule="exact"/>
        <w:rPr>
          <w:rFonts w:ascii="Times New Roman" w:cs="Times New Roman" w:eastAsia="Times New Roman" w:hAnsi="Times New Roman"/>
          <w:sz w:val="18"/>
          <w:szCs w:val="18"/>
          <w:color w:val="auto"/>
        </w:rPr>
      </w:pPr>
    </w:p>
    <w:p>
      <w:pPr>
        <w:ind w:left="900" w:hanging="325"/>
        <w:spacing w:after="0" w:line="25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broadening our geographic presence by adding new offices, including, since the beginning of 2007, offices in Australia (Melbourne and Perth), Switzerland (Zurich) and the Middle East Region, as well as new regional offices in the U.S. (Boston and Minneapolis), acquiring a 50% interest in a financial advisory firm with offices in Central and South America (Argentina, Chile, Colombia, Panama and Peru), integrating our Brazilian operations based in São Paulo, establishing the Lazard Africa initiative and entering into a joint cooperation agreement with respect to Russia and the CEE region, as well as a strategic alliance with a financial advisory firm in Mexico; and</w:t>
      </w:r>
    </w:p>
    <w:p>
      <w:pPr>
        <w:spacing w:after="0" w:line="57" w:lineRule="exact"/>
        <w:rPr>
          <w:rFonts w:ascii="Times New Roman" w:cs="Times New Roman" w:eastAsia="Times New Roman" w:hAnsi="Times New Roman"/>
          <w:sz w:val="18"/>
          <w:szCs w:val="18"/>
          <w:color w:val="auto"/>
        </w:rPr>
      </w:pPr>
    </w:p>
    <w:p>
      <w:pPr>
        <w:ind w:left="900" w:right="160" w:hanging="325"/>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deploying our intellectual capital, strong client relationships and other assets to generate new revenue streams, including, for example, revenue that may be generated by acting as an underwriter in public offerings and other distributions of securities related to the activities of our Financial Advisory business.</w:t>
      </w:r>
    </w:p>
    <w:p>
      <w:pPr>
        <w:spacing w:after="0" w:line="13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In addition to the investments made as part of this strategy, we believe that our Financial Advisory business may benefit from external market factors, including:</w:t>
      </w:r>
    </w:p>
    <w:p>
      <w:pPr>
        <w:spacing w:after="0" w:line="39"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demand for independent, unbiased financial advice;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reduction, recapitalization and related activities that are occurring in the developed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low interest rates and high corporate cash balances in the current macroeconomic environment;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levels of cross-border M&amp;A and large capitalization M&amp;A, two of our areas of historical specialization.</w:t>
      </w:r>
    </w:p>
    <w:p>
      <w:pPr>
        <w:spacing w:after="0" w:line="171"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Going forward, our strategic emphasis in our Financial Advisory business is to leverage the investments we have made to grow our business and drive our productivity. We continue to seek to opportunistically attract outstanding individuals to our business. We routinely reassess our strategic position and may in the future seek opportunities to further enhance our competitive position.</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Asset Management business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 Our goal in our Asset Management business is to produce superior risk-adjusted investment returns and provide investment solutions customized for our clients. Many of our equity investment strategies share an investment philosophy that centers on fundamental security selection with a focus on analyzing, among other things, a company’s financial position, outlook, opportunities and risks, together with its valuation.</w:t>
      </w:r>
    </w:p>
    <w:p>
      <w:pPr>
        <w:spacing w:after="0" w:line="13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As of December 31, 2014, total assets under management (“AUM”) were $197 billion, of which approximately 81% was invested in equities, 16% in fixed income, 2% in alternative investments and 1% in private equity funds. As of the same date, within the equity asset class, approximately 24% of our AUM was invested in emerging markets strategies, 24% in multi-regional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non-U.S. and regional non-U.S.) investment strategies, 17% in global investment strategies and 16% in local investment strategies. Within the fixed income asset class, approximately 7% of our AUM was invested in emerging markets strategies, 5% in multi-regional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non-U.S. and regional non-U.S.) investment strategies, 2% in global investment strategies and 2% in local investment strategies. Our top ten clients accounted for 24%, 24% and 23% of our total AUM at December 31, 2014, 2013 and 2012, respectively, with no client individually contributing more than 10% of our Asset Management segment net revenue during any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of the respective years. Approximately 90% of our AUM as of December 31, 2014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 relationships, which are principally with family offices and high-net worth individuals.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charts below illustrate the mix of our AUM as of December 31, 2014,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143510</wp:posOffset>
            </wp:positionV>
            <wp:extent cx="4613910" cy="142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1391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2014, 2013 and 2012, our Asset Management segment net revenue totaled $1.135 billion, $1.039 billion and $896 million, respectively, accounting for approximately 49%, 52% and 47%, respectively, of our consolidated net revenue for such years. For the years ended December 31, 2014, 2013 and 2012, our Asset Management segment reported operating income of $385 million, $335 million and $237 million, respectively. Operating income in 2013 and 2012 included charges of $0.2 million and $13 million, respectively, associated with the cost saving initiatives announced by the Company in October 2012, and, in 2013, included a charge of $12 million relating to private equity incentive compensation (as described in “Management’s Discussion and Analysis of Financial Condition and Results of Operations”). Excluding the impact of such charges, our Asset Management segment had operating income of $347 million and $250 million in the years ended December 31, 2013 and 2012, respectively. At December 31, 2014, 2013 and 2012, our Asset Management segment had total assets of $588 million, $612 million and $567 million, respectively.</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LAM and LFG</w:t>
      </w:r>
    </w:p>
    <w:p>
      <w:pPr>
        <w:spacing w:after="0" w:line="9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Our largest Asset Management businesses are Lazard Asset Management LLC and its subsidiaries (“LAM”), with offices in New York, Boston, Chicago, Dubai, Dublin, Frankfurt, Hamburg, Hong Kong, London, Manama, Milan, Montreal, San Francisco, Seoul, Singapore, Sydney, Tokyo, Toronto and Zurich (aggregating approximately $178 billion in total AUM as of December 31, 2014), and Lazard Frères Gestion SAS (“LFG”), with offices in Paris, Bordeaux, Brussels, Lyon and Nantes (aggregating approximately $18 billion in total AUM as of December 31, 2014). These operations, with 81 managing directors and 386 professionals as of December 31, 2014, provide our Asset Management business with both a global presence and a local identity.</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Primary distinguishing features of these operations include:</w:t>
      </w:r>
    </w:p>
    <w:p>
      <w:pPr>
        <w:spacing w:after="0" w:line="90"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footprint with global research, global mandates and global clients;</w:t>
      </w:r>
    </w:p>
    <w:p>
      <w:pPr>
        <w:spacing w:after="0" w:line="90"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broad-based team of investment professionals, including focused, in-house investment analysts across all products and platforms, many of whom have substantial industry or sector specific expertise;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brand recognition and multi-channel distribution capabilities.</w:t>
      </w:r>
    </w:p>
    <w:p>
      <w:pPr>
        <w:spacing w:after="0" w:line="169"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Our Investment Philosophy, Process and Research</w:t>
      </w:r>
      <w:r>
        <w:rPr>
          <w:rFonts w:ascii="Times New Roman" w:cs="Times New Roman" w:eastAsia="Times New Roman" w:hAnsi="Times New Roman"/>
          <w:sz w:val="18"/>
          <w:szCs w:val="18"/>
          <w:color w:val="auto"/>
        </w:rPr>
        <w:t>. Our investment philosophy is generally based upon a fundamental security selection approach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Across many of our products, we apply three key principles to investment portfolios:</w:t>
      </w:r>
    </w:p>
    <w:p>
      <w:pPr>
        <w:spacing w:after="0" w:line="1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240" w:top="455" w:right="4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securities, not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 company’s financial position, outlook, opportunities and risks, together with its valuation;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w:t>
      </w:r>
    </w:p>
    <w:p>
      <w:pPr>
        <w:spacing w:after="0" w:line="171"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In searching for equity investment opportunities, many of our investment professionals follow an investment process that incorporates several interconnected components that may include:</w:t>
      </w:r>
    </w:p>
    <w:p>
      <w:pPr>
        <w:spacing w:after="0" w:line="39"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 analysis and screening;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analysis;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analysis;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selection and portfolio construction;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our Asset Management business, we conduct investment research on a global basis to develop market, industry and company specific insights and evaluate investment opportunities. Our global equity analysts, located in our worldwide offices, are organized around six global industry sectors:</w:t>
      </w:r>
    </w:p>
    <w:p>
      <w:pPr>
        <w:spacing w:after="0" w:line="39"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goods;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and energy;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media and telecommunications.</w:t>
      </w:r>
    </w:p>
    <w:p>
      <w:pPr>
        <w:spacing w:after="0" w:line="15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240" w:top="455" w:right="7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400" w:firstLine="456"/>
        <w:spacing w:after="0" w:line="342" w:lineRule="auto"/>
        <w:rPr>
          <w:sz w:val="20"/>
          <w:szCs w:val="20"/>
          <w:color w:val="auto"/>
        </w:rPr>
      </w:pPr>
      <w:r>
        <w:rPr>
          <w:rFonts w:ascii="Times New Roman" w:cs="Times New Roman" w:eastAsia="Times New Roman" w:hAnsi="Times New Roman"/>
          <w:sz w:val="16"/>
          <w:szCs w:val="16"/>
          <w:i w:val="1"/>
          <w:iCs w:val="1"/>
          <w:color w:val="auto"/>
        </w:rPr>
        <w:t>Investment Strategies</w:t>
      </w:r>
      <w:r>
        <w:rPr>
          <w:rFonts w:ascii="Times New Roman" w:cs="Times New Roman" w:eastAsia="Times New Roman" w:hAnsi="Times New Roman"/>
          <w:sz w:val="16"/>
          <w:szCs w:val="16"/>
          <w:color w:val="auto"/>
        </w:rPr>
        <w:t>. Our Asset Management business provides equity, fixed income, cash management and alternative investment strategies to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clients, paying close attention to our clients’ varying and expanding investment needs. We offer the following product platform of investment strategies:</w:t>
      </w:r>
    </w:p>
    <w:p>
      <w:pPr>
        <w:sectPr>
          <w:pgSz w:w="11900" w:h="16838" w:orient="portrait"/>
          <w:cols w:equalWidth="0" w:num="1">
            <w:col w:w="11420"/>
          </w:cols>
          <w:pgMar w:left="240" w:top="455" w:right="239" w:bottom="1440" w:gutter="0" w:footer="0" w:header="0"/>
        </w:sectPr>
      </w:pP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9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i w:val="1"/>
                <w:iCs w:val="1"/>
                <w:color w:val="auto"/>
              </w:rPr>
              <w:t>Global</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Global</w:t>
            </w:r>
          </w:p>
        </w:tc>
        <w:tc>
          <w:tcPr>
            <w:tcW w:w="0" w:type="dxa"/>
            <w:vAlign w:val="bottom"/>
          </w:tcPr>
          <w:p>
            <w:pPr>
              <w:spacing w:after="0"/>
              <w:rPr>
                <w:sz w:val="1"/>
                <w:szCs w:val="1"/>
                <w:color w:val="auto"/>
              </w:rPr>
            </w:pPr>
          </w:p>
        </w:tc>
      </w:tr>
      <w:tr>
        <w:trPr>
          <w:trHeight w:val="129"/>
        </w:trPr>
        <w:tc>
          <w:tcPr>
            <w:tcW w:w="128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Times New Roman" w:cs="Times New Roman" w:eastAsia="Times New Roman" w:hAnsi="Times New Roman"/>
                <w:sz w:val="14"/>
                <w:szCs w:val="14"/>
                <w:color w:val="auto"/>
              </w:rPr>
              <w:t>Large Capitalization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Times New Roman" w:cs="Times New Roman" w:eastAsia="Times New Roman" w:hAnsi="Times New Roman"/>
                <w:sz w:val="14"/>
                <w:szCs w:val="14"/>
                <w:color w:val="auto"/>
              </w:rPr>
              <w:t>Small Capitalization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Times New Roman" w:cs="Times New Roman" w:eastAsia="Times New Roman" w:hAnsi="Times New Roman"/>
                <w:sz w:val="14"/>
                <w:szCs w:val="14"/>
                <w:color w:val="auto"/>
              </w:rPr>
              <w:t>Thematic</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Times New Roman" w:cs="Times New Roman" w:eastAsia="Times New Roman" w:hAnsi="Times New Roman"/>
                <w:sz w:val="14"/>
                <w:szCs w:val="14"/>
                <w:color w:val="auto"/>
              </w:rPr>
              <w:t>Convertibles**</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Times New Roman" w:cs="Times New Roman" w:eastAsia="Times New Roman" w:hAnsi="Times New Roman"/>
                <w:sz w:val="14"/>
                <w:szCs w:val="14"/>
                <w:color w:val="auto"/>
              </w:rPr>
              <w:t>Listed Infrastructure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Times New Roman" w:cs="Times New Roman" w:eastAsia="Times New Roman" w:hAnsi="Times New Roman"/>
                <w:sz w:val="14"/>
                <w:szCs w:val="14"/>
                <w:color w:val="auto"/>
              </w:rPr>
              <w:t>Quantitative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Times New Roman" w:cs="Times New Roman" w:eastAsia="Times New Roman" w:hAnsi="Times New Roman"/>
                <w:sz w:val="14"/>
                <w:szCs w:val="14"/>
                <w:color w:val="auto"/>
              </w:rPr>
              <w:t>Trend</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Times New Roman" w:cs="Times New Roman" w:eastAsia="Times New Roman" w:hAnsi="Times New Roman"/>
                <w:sz w:val="14"/>
                <w:szCs w:val="14"/>
                <w:color w:val="auto"/>
              </w:rPr>
              <w:t>Real Estate</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340" w:type="dxa"/>
            <w:vAlign w:val="bottom"/>
            <w:gridSpan w:val="2"/>
          </w:tcPr>
          <w:p>
            <w:pPr>
              <w:ind w:left="880"/>
              <w:spacing w:after="0" w:line="149" w:lineRule="exact"/>
              <w:rPr>
                <w:sz w:val="20"/>
                <w:szCs w:val="20"/>
                <w:color w:val="auto"/>
              </w:rPr>
            </w:pPr>
            <w:r>
              <w:rPr>
                <w:rFonts w:ascii="Times New Roman" w:cs="Times New Roman" w:eastAsia="Times New Roman" w:hAnsi="Times New Roman"/>
                <w:sz w:val="14"/>
                <w:szCs w:val="14"/>
                <w:color w:val="auto"/>
              </w:rPr>
              <w:t>Multi Strategies</w:t>
            </w: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234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Managed Volatility</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i w:val="1"/>
          <w:iCs w:val="1"/>
          <w:color w:val="auto"/>
        </w:rPr>
        <w:t>Global Ex</w:t>
      </w:r>
    </w:p>
    <w:p>
      <w:pPr>
        <w:ind w:left="2160"/>
        <w:spacing w:after="0" w:line="229" w:lineRule="auto"/>
        <w:rPr>
          <w:sz w:val="20"/>
          <w:szCs w:val="20"/>
          <w:color w:val="auto"/>
        </w:rPr>
      </w:pPr>
      <w:r>
        <w:rPr>
          <w:rFonts w:ascii="Times New Roman" w:cs="Times New Roman" w:eastAsia="Times New Roman" w:hAnsi="Times New Roman"/>
          <w:sz w:val="14"/>
          <w:szCs w:val="14"/>
          <w:color w:val="auto"/>
        </w:rPr>
        <w:t>Global Ex-U.K.</w:t>
      </w:r>
    </w:p>
    <w:p>
      <w:pPr>
        <w:ind w:left="2160"/>
        <w:spacing w:after="0" w:line="222" w:lineRule="auto"/>
        <w:rPr>
          <w:sz w:val="20"/>
          <w:szCs w:val="20"/>
          <w:color w:val="auto"/>
        </w:rPr>
      </w:pPr>
      <w:r>
        <w:rPr>
          <w:rFonts w:ascii="Times New Roman" w:cs="Times New Roman" w:eastAsia="Times New Roman" w:hAnsi="Times New Roman"/>
          <w:sz w:val="14"/>
          <w:szCs w:val="14"/>
          <w:color w:val="auto"/>
        </w:rPr>
        <w:t>Global Ex-Japan</w:t>
      </w:r>
    </w:p>
    <w:p>
      <w:pPr>
        <w:ind w:left="2160"/>
        <w:spacing w:after="0"/>
        <w:rPr>
          <w:sz w:val="20"/>
          <w:szCs w:val="20"/>
          <w:color w:val="auto"/>
        </w:rPr>
      </w:pPr>
      <w:r>
        <w:rPr>
          <w:rFonts w:ascii="Times New Roman" w:cs="Times New Roman" w:eastAsia="Times New Roman" w:hAnsi="Times New Roman"/>
          <w:sz w:val="14"/>
          <w:szCs w:val="14"/>
          <w:color w:val="auto"/>
        </w:rPr>
        <w:t>Global Ex-Australia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4"/>
          <w:szCs w:val="14"/>
          <w:b w:val="1"/>
          <w:bCs w:val="1"/>
          <w:color w:val="auto"/>
        </w:rPr>
        <w:t>Fixed Income and Cash</w:t>
      </w:r>
      <w:r>
        <w:rPr>
          <w:sz w:val="20"/>
          <w:szCs w:val="20"/>
          <w:color w:val="auto"/>
        </w:rPr>
        <w:tab/>
      </w:r>
      <w:r>
        <w:rPr>
          <w:rFonts w:ascii="Times New Roman" w:cs="Times New Roman" w:eastAsia="Times New Roman" w:hAnsi="Times New Roman"/>
          <w:sz w:val="12"/>
          <w:szCs w:val="12"/>
          <w:b w:val="1"/>
          <w:bCs w:val="1"/>
          <w:i w:val="1"/>
          <w:iCs w:val="1"/>
          <w:color w:val="auto"/>
        </w:rPr>
        <w:t>Global</w:t>
      </w:r>
    </w:p>
    <w:p>
      <w:pPr>
        <w:spacing w:after="0" w:line="229" w:lineRule="auto"/>
        <w:tabs>
          <w:tab w:leader="none" w:pos="2140" w:val="left"/>
        </w:tabs>
        <w:rPr>
          <w:sz w:val="20"/>
          <w:szCs w:val="20"/>
          <w:color w:val="auto"/>
        </w:rPr>
      </w:pPr>
      <w:r>
        <w:rPr>
          <w:rFonts w:ascii="Times New Roman" w:cs="Times New Roman" w:eastAsia="Times New Roman" w:hAnsi="Times New Roman"/>
          <w:sz w:val="14"/>
          <w:szCs w:val="14"/>
          <w:b w:val="1"/>
          <w:bCs w:val="1"/>
          <w:color w:val="auto"/>
        </w:rPr>
        <w:t>Management</w:t>
      </w:r>
      <w:r>
        <w:rPr>
          <w:sz w:val="20"/>
          <w:szCs w:val="20"/>
          <w:color w:val="auto"/>
        </w:rPr>
        <w:tab/>
      </w:r>
      <w:r>
        <w:rPr>
          <w:rFonts w:ascii="Times New Roman" w:cs="Times New Roman" w:eastAsia="Times New Roman" w:hAnsi="Times New Roman"/>
          <w:sz w:val="14"/>
          <w:szCs w:val="14"/>
          <w:color w:val="auto"/>
        </w:rPr>
        <w:t>Core Fixed Income</w:t>
      </w:r>
    </w:p>
    <w:p>
      <w:pPr>
        <w:ind w:left="2160"/>
        <w:spacing w:after="0" w:line="222" w:lineRule="auto"/>
        <w:rPr>
          <w:sz w:val="20"/>
          <w:szCs w:val="20"/>
          <w:color w:val="auto"/>
        </w:rPr>
      </w:pPr>
      <w:r>
        <w:rPr>
          <w:rFonts w:ascii="Times New Roman" w:cs="Times New Roman" w:eastAsia="Times New Roman" w:hAnsi="Times New Roman"/>
          <w:sz w:val="14"/>
          <w:szCs w:val="14"/>
          <w:color w:val="auto"/>
        </w:rPr>
        <w:t>High Yield</w:t>
      </w:r>
    </w:p>
    <w:p>
      <w:pPr>
        <w:ind w:left="2160"/>
        <w:spacing w:after="0"/>
        <w:rPr>
          <w:sz w:val="20"/>
          <w:szCs w:val="20"/>
          <w:color w:val="auto"/>
        </w:rPr>
      </w:pPr>
      <w:r>
        <w:rPr>
          <w:rFonts w:ascii="Times New Roman" w:cs="Times New Roman" w:eastAsia="Times New Roman" w:hAnsi="Times New Roman"/>
          <w:sz w:val="14"/>
          <w:szCs w:val="14"/>
          <w:color w:val="auto"/>
        </w:rPr>
        <w:t>Short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4"/>
          <w:szCs w:val="14"/>
          <w:b w:val="1"/>
          <w:bCs w:val="1"/>
          <w:color w:val="auto"/>
        </w:rPr>
        <w:t>Alternative</w:t>
      </w:r>
      <w:r>
        <w:rPr>
          <w:sz w:val="20"/>
          <w:szCs w:val="20"/>
          <w:color w:val="auto"/>
        </w:rPr>
        <w:tab/>
      </w:r>
      <w:r>
        <w:rPr>
          <w:rFonts w:ascii="Times New Roman" w:cs="Times New Roman" w:eastAsia="Times New Roman" w:hAnsi="Times New Roman"/>
          <w:sz w:val="14"/>
          <w:szCs w:val="14"/>
          <w:b w:val="1"/>
          <w:bCs w:val="1"/>
          <w:i w:val="1"/>
          <w:iCs w:val="1"/>
          <w:color w:val="auto"/>
        </w:rPr>
        <w:t>Global</w:t>
      </w:r>
    </w:p>
    <w:p>
      <w:pPr>
        <w:ind w:left="2160"/>
        <w:spacing w:after="0" w:line="229" w:lineRule="auto"/>
        <w:rPr>
          <w:sz w:val="20"/>
          <w:szCs w:val="20"/>
          <w:color w:val="auto"/>
        </w:rPr>
      </w:pPr>
      <w:r>
        <w:rPr>
          <w:rFonts w:ascii="Times New Roman" w:cs="Times New Roman" w:eastAsia="Times New Roman" w:hAnsi="Times New Roman"/>
          <w:sz w:val="14"/>
          <w:szCs w:val="14"/>
          <w:color w:val="auto"/>
        </w:rPr>
        <w:t>Fund of Hedge Funds</w:t>
      </w:r>
    </w:p>
    <w:p>
      <w:pPr>
        <w:jc w:val="right"/>
        <w:ind w:right="480"/>
        <w:spacing w:after="0" w:line="222" w:lineRule="auto"/>
        <w:rPr>
          <w:sz w:val="20"/>
          <w:szCs w:val="20"/>
          <w:color w:val="auto"/>
        </w:rPr>
      </w:pPr>
      <w:r>
        <w:rPr>
          <w:rFonts w:ascii="Times New Roman" w:cs="Times New Roman" w:eastAsia="Times New Roman" w:hAnsi="Times New Roman"/>
          <w:sz w:val="14"/>
          <w:szCs w:val="14"/>
          <w:color w:val="auto"/>
        </w:rPr>
        <w:t>Fund of Closed-End Funds</w:t>
      </w:r>
    </w:p>
    <w:p>
      <w:pPr>
        <w:jc w:val="right"/>
        <w:ind w:right="460"/>
        <w:spacing w:after="0" w:line="221" w:lineRule="auto"/>
        <w:rPr>
          <w:sz w:val="20"/>
          <w:szCs w:val="20"/>
          <w:color w:val="auto"/>
        </w:rPr>
      </w:pPr>
      <w:r>
        <w:rPr>
          <w:rFonts w:ascii="Times New Roman" w:cs="Times New Roman" w:eastAsia="Times New Roman" w:hAnsi="Times New Roman"/>
          <w:sz w:val="14"/>
          <w:szCs w:val="14"/>
          <w:color w:val="auto"/>
        </w:rPr>
        <w:t>(Long and Long/Short)</w:t>
      </w:r>
    </w:p>
    <w:p>
      <w:pPr>
        <w:ind w:left="2160"/>
        <w:spacing w:after="0" w:line="222" w:lineRule="auto"/>
        <w:rPr>
          <w:sz w:val="20"/>
          <w:szCs w:val="20"/>
          <w:color w:val="auto"/>
        </w:rPr>
      </w:pPr>
      <w:r>
        <w:rPr>
          <w:rFonts w:ascii="Times New Roman" w:cs="Times New Roman" w:eastAsia="Times New Roman" w:hAnsi="Times New Roman"/>
          <w:sz w:val="14"/>
          <w:szCs w:val="14"/>
          <w:color w:val="auto"/>
        </w:rPr>
        <w:t>Convertible</w:t>
      </w:r>
    </w:p>
    <w:p>
      <w:pPr>
        <w:ind w:left="2160"/>
        <w:spacing w:after="0" w:line="221" w:lineRule="auto"/>
        <w:rPr>
          <w:sz w:val="20"/>
          <w:szCs w:val="20"/>
          <w:color w:val="auto"/>
        </w:rPr>
      </w:pPr>
      <w:r>
        <w:rPr>
          <w:rFonts w:ascii="Times New Roman" w:cs="Times New Roman" w:eastAsia="Times New Roman" w:hAnsi="Times New Roman"/>
          <w:sz w:val="14"/>
          <w:szCs w:val="14"/>
          <w:color w:val="auto"/>
        </w:rPr>
        <w:t>Long/Short Equity</w:t>
      </w:r>
    </w:p>
    <w:p>
      <w:pPr>
        <w:ind w:left="2160"/>
        <w:spacing w:after="0" w:line="222" w:lineRule="auto"/>
        <w:rPr>
          <w:sz w:val="20"/>
          <w:szCs w:val="20"/>
          <w:color w:val="auto"/>
        </w:rPr>
      </w:pPr>
      <w:r>
        <w:rPr>
          <w:rFonts w:ascii="Times New Roman" w:cs="Times New Roman" w:eastAsia="Times New Roman" w:hAnsi="Times New Roman"/>
          <w:sz w:val="14"/>
          <w:szCs w:val="14"/>
          <w:color w:val="auto"/>
        </w:rPr>
        <w:t>Arbitrage/Relative Value</w:t>
      </w:r>
    </w:p>
    <w:p>
      <w:pPr>
        <w:ind w:left="2160"/>
        <w:spacing w:after="0"/>
        <w:rPr>
          <w:sz w:val="20"/>
          <w:szCs w:val="20"/>
          <w:color w:val="auto"/>
        </w:rPr>
      </w:pPr>
      <w:r>
        <w:rPr>
          <w:rFonts w:ascii="Times New Roman" w:cs="Times New Roman" w:eastAsia="Times New Roman" w:hAnsi="Times New Roman"/>
          <w:sz w:val="14"/>
          <w:szCs w:val="14"/>
          <w:color w:val="auto"/>
        </w:rPr>
        <w:t>Multi Asset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u w:val="single" w:color="auto"/>
          <w:color w:val="auto"/>
        </w:rPr>
        <w:t>Multi-Regional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Pan-European</w:t>
      </w:r>
    </w:p>
    <w:p>
      <w:pPr>
        <w:spacing w:after="0" w:line="221" w:lineRule="auto"/>
        <w:rPr>
          <w:sz w:val="20"/>
          <w:szCs w:val="20"/>
          <w:color w:val="auto"/>
        </w:rPr>
      </w:pPr>
      <w:r>
        <w:rPr>
          <w:rFonts w:ascii="Times New Roman" w:cs="Times New Roman" w:eastAsia="Times New Roman" w:hAnsi="Times New Roman"/>
          <w:sz w:val="14"/>
          <w:szCs w:val="14"/>
          <w:color w:val="auto"/>
        </w:rPr>
        <w:t>Large Capitalization</w:t>
      </w:r>
    </w:p>
    <w:p>
      <w:pPr>
        <w:spacing w:after="0" w:line="221" w:lineRule="auto"/>
        <w:rPr>
          <w:sz w:val="20"/>
          <w:szCs w:val="20"/>
          <w:color w:val="auto"/>
        </w:rPr>
      </w:pPr>
      <w:r>
        <w:rPr>
          <w:rFonts w:ascii="Times New Roman" w:cs="Times New Roman" w:eastAsia="Times New Roman" w:hAnsi="Times New Roman"/>
          <w:sz w:val="14"/>
          <w:szCs w:val="14"/>
          <w:color w:val="auto"/>
        </w:rPr>
        <w:t>Small Capitalization</w:t>
      </w:r>
    </w:p>
    <w:p>
      <w:pPr>
        <w:spacing w:after="0"/>
        <w:rPr>
          <w:sz w:val="20"/>
          <w:szCs w:val="20"/>
          <w:color w:val="auto"/>
        </w:rPr>
      </w:pPr>
      <w:r>
        <w:rPr>
          <w:rFonts w:ascii="Times New Roman" w:cs="Times New Roman" w:eastAsia="Times New Roman" w:hAnsi="Times New Roman"/>
          <w:sz w:val="14"/>
          <w:szCs w:val="14"/>
          <w:color w:val="auto"/>
        </w:rPr>
        <w:t>Quantitative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Eurozone</w:t>
      </w:r>
    </w:p>
    <w:p>
      <w:pPr>
        <w:spacing w:after="0" w:line="229" w:lineRule="auto"/>
        <w:rPr>
          <w:sz w:val="20"/>
          <w:szCs w:val="20"/>
          <w:color w:val="auto"/>
        </w:rPr>
      </w:pPr>
      <w:r>
        <w:rPr>
          <w:rFonts w:ascii="Times New Roman" w:cs="Times New Roman" w:eastAsia="Times New Roman" w:hAnsi="Times New Roman"/>
          <w:sz w:val="14"/>
          <w:szCs w:val="14"/>
          <w:color w:val="auto"/>
        </w:rPr>
        <w:t>Large Capitalization**</w:t>
      </w:r>
    </w:p>
    <w:p>
      <w:pPr>
        <w:spacing w:after="0"/>
        <w:rPr>
          <w:sz w:val="20"/>
          <w:szCs w:val="20"/>
          <w:color w:val="auto"/>
        </w:rPr>
      </w:pPr>
      <w:r>
        <w:rPr>
          <w:rFonts w:ascii="Times New Roman" w:cs="Times New Roman" w:eastAsia="Times New Roman" w:hAnsi="Times New Roman"/>
          <w:sz w:val="14"/>
          <w:szCs w:val="14"/>
          <w:color w:val="auto"/>
        </w:rPr>
        <w:t>Small Capitalization**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Continental European</w:t>
      </w:r>
    </w:p>
    <w:p>
      <w:pPr>
        <w:spacing w:after="0" w:line="229" w:lineRule="auto"/>
        <w:rPr>
          <w:sz w:val="20"/>
          <w:szCs w:val="20"/>
          <w:color w:val="auto"/>
        </w:rPr>
      </w:pPr>
      <w:r>
        <w:rPr>
          <w:rFonts w:ascii="Times New Roman" w:cs="Times New Roman" w:eastAsia="Times New Roman" w:hAnsi="Times New Roman"/>
          <w:sz w:val="14"/>
          <w:szCs w:val="14"/>
          <w:color w:val="auto"/>
        </w:rPr>
        <w:t>Small Cap</w:t>
      </w:r>
    </w:p>
    <w:p>
      <w:pPr>
        <w:spacing w:after="0" w:line="222" w:lineRule="auto"/>
        <w:rPr>
          <w:sz w:val="20"/>
          <w:szCs w:val="20"/>
          <w:color w:val="auto"/>
        </w:rPr>
      </w:pPr>
      <w:r>
        <w:rPr>
          <w:rFonts w:ascii="Times New Roman" w:cs="Times New Roman" w:eastAsia="Times New Roman" w:hAnsi="Times New Roman"/>
          <w:sz w:val="14"/>
          <w:szCs w:val="14"/>
          <w:color w:val="auto"/>
        </w:rPr>
        <w:t>Multi Cap</w:t>
      </w:r>
    </w:p>
    <w:p>
      <w:pPr>
        <w:spacing w:after="0" w:line="221" w:lineRule="auto"/>
        <w:rPr>
          <w:sz w:val="20"/>
          <w:szCs w:val="20"/>
          <w:color w:val="auto"/>
        </w:rPr>
      </w:pPr>
      <w:r>
        <w:rPr>
          <w:rFonts w:ascii="Times New Roman" w:cs="Times New Roman" w:eastAsia="Times New Roman" w:hAnsi="Times New Roman"/>
          <w:sz w:val="14"/>
          <w:szCs w:val="14"/>
          <w:color w:val="auto"/>
        </w:rPr>
        <w:t>Eurozone</w:t>
      </w:r>
    </w:p>
    <w:p>
      <w:pPr>
        <w:spacing w:after="0"/>
        <w:rPr>
          <w:sz w:val="20"/>
          <w:szCs w:val="20"/>
          <w:color w:val="auto"/>
        </w:rPr>
      </w:pPr>
      <w:r>
        <w:rPr>
          <w:rFonts w:ascii="Times New Roman" w:cs="Times New Roman" w:eastAsia="Times New Roman" w:hAnsi="Times New Roman"/>
          <w:sz w:val="14"/>
          <w:szCs w:val="14"/>
          <w:color w:val="auto"/>
        </w:rPr>
        <w:t>Euro-Trend (Thematic)</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Asian</w:t>
      </w:r>
    </w:p>
    <w:p>
      <w:pPr>
        <w:spacing w:after="0" w:line="229" w:lineRule="auto"/>
        <w:rPr>
          <w:sz w:val="20"/>
          <w:szCs w:val="20"/>
          <w:color w:val="auto"/>
        </w:rPr>
      </w:pPr>
      <w:r>
        <w:rPr>
          <w:rFonts w:ascii="Times New Roman" w:cs="Times New Roman" w:eastAsia="Times New Roman" w:hAnsi="Times New Roman"/>
          <w:sz w:val="14"/>
          <w:szCs w:val="14"/>
          <w:color w:val="auto"/>
        </w:rPr>
        <w:t>Asia Ex-Japan</w:t>
      </w:r>
    </w:p>
    <w:p>
      <w:pPr>
        <w:spacing w:after="0"/>
        <w:rPr>
          <w:sz w:val="20"/>
          <w:szCs w:val="20"/>
          <w:color w:val="auto"/>
        </w:rPr>
      </w:pPr>
      <w:r>
        <w:rPr>
          <w:rFonts w:ascii="Times New Roman" w:cs="Times New Roman" w:eastAsia="Times New Roman" w:hAnsi="Times New Roman"/>
          <w:sz w:val="14"/>
          <w:szCs w:val="14"/>
          <w:color w:val="auto"/>
        </w:rPr>
        <w:t>Quantitative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Europe, Australasia and Far East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Large Capitalization</w:t>
      </w:r>
    </w:p>
    <w:p>
      <w:pPr>
        <w:spacing w:after="0" w:line="221" w:lineRule="auto"/>
        <w:rPr>
          <w:sz w:val="20"/>
          <w:szCs w:val="20"/>
          <w:color w:val="auto"/>
        </w:rPr>
      </w:pPr>
      <w:r>
        <w:rPr>
          <w:rFonts w:ascii="Times New Roman" w:cs="Times New Roman" w:eastAsia="Times New Roman" w:hAnsi="Times New Roman"/>
          <w:sz w:val="14"/>
          <w:szCs w:val="14"/>
          <w:color w:val="auto"/>
        </w:rPr>
        <w:t>Small Capitalization</w:t>
      </w:r>
    </w:p>
    <w:p>
      <w:pPr>
        <w:spacing w:after="0" w:line="221" w:lineRule="auto"/>
        <w:rPr>
          <w:sz w:val="20"/>
          <w:szCs w:val="20"/>
          <w:color w:val="auto"/>
        </w:rPr>
      </w:pPr>
      <w:r>
        <w:rPr>
          <w:rFonts w:ascii="Times New Roman" w:cs="Times New Roman" w:eastAsia="Times New Roman" w:hAnsi="Times New Roman"/>
          <w:sz w:val="14"/>
          <w:szCs w:val="14"/>
          <w:color w:val="auto"/>
        </w:rPr>
        <w:t>Multi-Capitalization</w:t>
      </w:r>
    </w:p>
    <w:p>
      <w:pPr>
        <w:spacing w:after="0" w:line="222" w:lineRule="auto"/>
        <w:rPr>
          <w:sz w:val="20"/>
          <w:szCs w:val="20"/>
          <w:color w:val="auto"/>
        </w:rPr>
      </w:pPr>
      <w:r>
        <w:rPr>
          <w:rFonts w:ascii="Times New Roman" w:cs="Times New Roman" w:eastAsia="Times New Roman" w:hAnsi="Times New Roman"/>
          <w:sz w:val="14"/>
          <w:szCs w:val="14"/>
          <w:color w:val="auto"/>
        </w:rPr>
        <w:t>Quantitative</w:t>
      </w:r>
    </w:p>
    <w:p>
      <w:pPr>
        <w:spacing w:after="0"/>
        <w:rPr>
          <w:sz w:val="20"/>
          <w:szCs w:val="20"/>
          <w:color w:val="auto"/>
        </w:rPr>
      </w:pPr>
      <w:r>
        <w:rPr>
          <w:rFonts w:ascii="Times New Roman" w:cs="Times New Roman" w:eastAsia="Times New Roman" w:hAnsi="Times New Roman"/>
          <w:sz w:val="14"/>
          <w:szCs w:val="14"/>
          <w:color w:val="auto"/>
        </w:rPr>
        <w:t>Real Estate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Pan-European</w:t>
      </w:r>
    </w:p>
    <w:p>
      <w:pPr>
        <w:spacing w:after="0" w:line="229" w:lineRule="auto"/>
        <w:rPr>
          <w:sz w:val="20"/>
          <w:szCs w:val="20"/>
          <w:color w:val="auto"/>
        </w:rPr>
      </w:pPr>
      <w:r>
        <w:rPr>
          <w:rFonts w:ascii="Times New Roman" w:cs="Times New Roman" w:eastAsia="Times New Roman" w:hAnsi="Times New Roman"/>
          <w:sz w:val="14"/>
          <w:szCs w:val="14"/>
          <w:color w:val="auto"/>
        </w:rPr>
        <w:t>Core Fixed Income</w:t>
      </w:r>
    </w:p>
    <w:p>
      <w:pPr>
        <w:spacing w:after="0" w:line="222" w:lineRule="auto"/>
        <w:rPr>
          <w:sz w:val="20"/>
          <w:szCs w:val="20"/>
          <w:color w:val="auto"/>
        </w:rPr>
      </w:pPr>
      <w:r>
        <w:rPr>
          <w:rFonts w:ascii="Times New Roman" w:cs="Times New Roman" w:eastAsia="Times New Roman" w:hAnsi="Times New Roman"/>
          <w:sz w:val="14"/>
          <w:szCs w:val="14"/>
          <w:color w:val="auto"/>
        </w:rPr>
        <w:t>High Yield</w:t>
      </w:r>
    </w:p>
    <w:p>
      <w:pPr>
        <w:spacing w:after="0" w:line="221" w:lineRule="auto"/>
        <w:rPr>
          <w:sz w:val="20"/>
          <w:szCs w:val="20"/>
          <w:color w:val="auto"/>
        </w:rPr>
      </w:pPr>
      <w:r>
        <w:rPr>
          <w:rFonts w:ascii="Times New Roman" w:cs="Times New Roman" w:eastAsia="Times New Roman" w:hAnsi="Times New Roman"/>
          <w:sz w:val="14"/>
          <w:szCs w:val="14"/>
          <w:color w:val="auto"/>
        </w:rPr>
        <w:t>Cash Management*</w:t>
      </w:r>
    </w:p>
    <w:p>
      <w:pPr>
        <w:spacing w:after="0"/>
        <w:rPr>
          <w:sz w:val="20"/>
          <w:szCs w:val="20"/>
          <w:color w:val="auto"/>
        </w:rPr>
      </w:pPr>
      <w:r>
        <w:rPr>
          <w:rFonts w:ascii="Times New Roman" w:cs="Times New Roman" w:eastAsia="Times New Roman" w:hAnsi="Times New Roman"/>
          <w:sz w:val="14"/>
          <w:szCs w:val="14"/>
          <w:color w:val="auto"/>
        </w:rPr>
        <w:t>Duration Overlay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Eurozone</w:t>
      </w:r>
    </w:p>
    <w:p>
      <w:pPr>
        <w:spacing w:after="0" w:line="229" w:lineRule="auto"/>
        <w:rPr>
          <w:sz w:val="20"/>
          <w:szCs w:val="20"/>
          <w:color w:val="auto"/>
        </w:rPr>
      </w:pPr>
      <w:r>
        <w:rPr>
          <w:rFonts w:ascii="Times New Roman" w:cs="Times New Roman" w:eastAsia="Times New Roman" w:hAnsi="Times New Roman"/>
          <w:sz w:val="14"/>
          <w:szCs w:val="14"/>
          <w:color w:val="auto"/>
        </w:rPr>
        <w:t>Fixed Income**</w:t>
      </w:r>
    </w:p>
    <w:p>
      <w:pPr>
        <w:spacing w:after="0" w:line="222" w:lineRule="auto"/>
        <w:rPr>
          <w:sz w:val="20"/>
          <w:szCs w:val="20"/>
          <w:color w:val="auto"/>
        </w:rPr>
      </w:pPr>
      <w:r>
        <w:rPr>
          <w:rFonts w:ascii="Times New Roman" w:cs="Times New Roman" w:eastAsia="Times New Roman" w:hAnsi="Times New Roman"/>
          <w:sz w:val="14"/>
          <w:szCs w:val="14"/>
          <w:color w:val="auto"/>
        </w:rPr>
        <w:t>Cash Management*</w:t>
      </w:r>
    </w:p>
    <w:p>
      <w:pPr>
        <w:spacing w:after="0"/>
        <w:rPr>
          <w:sz w:val="20"/>
          <w:szCs w:val="20"/>
          <w:color w:val="auto"/>
        </w:rPr>
      </w:pPr>
      <w:r>
        <w:rPr>
          <w:rFonts w:ascii="Times New Roman" w:cs="Times New Roman" w:eastAsia="Times New Roman" w:hAnsi="Times New Roman"/>
          <w:sz w:val="14"/>
          <w:szCs w:val="14"/>
          <w:color w:val="auto"/>
        </w:rPr>
        <w:t>Corporate Bonds**</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U.S.</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9"/>
              </w:rPr>
              <w:t>Local</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Emerging Markets</w:t>
            </w:r>
          </w:p>
        </w:tc>
        <w:tc>
          <w:tcPr>
            <w:tcW w:w="0" w:type="dxa"/>
            <w:vAlign w:val="bottom"/>
          </w:tcPr>
          <w:p>
            <w:pPr>
              <w:spacing w:after="0"/>
              <w:rPr>
                <w:sz w:val="1"/>
                <w:szCs w:val="1"/>
                <w:color w:val="auto"/>
              </w:rPr>
            </w:pPr>
          </w:p>
        </w:tc>
      </w:tr>
      <w:tr>
        <w:trPr>
          <w:trHeight w:val="129"/>
        </w:trPr>
        <w:tc>
          <w:tcPr>
            <w:tcW w:w="10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40" w:type="dxa"/>
            <w:vAlign w:val="bottom"/>
            <w:gridSpan w:val="2"/>
          </w:tcPr>
          <w:p>
            <w:pPr>
              <w:ind w:left="420"/>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Global</w:t>
            </w: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Large Capitalization**</w:t>
            </w:r>
          </w:p>
        </w:tc>
        <w:tc>
          <w:tcPr>
            <w:tcW w:w="18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Large Capitalization</w:t>
            </w: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Mid Capitalization</w:t>
            </w:r>
          </w:p>
        </w:tc>
        <w:tc>
          <w:tcPr>
            <w:tcW w:w="18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Small Capitalization</w:t>
            </w: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Small/Mid Capitalization</w:t>
            </w:r>
          </w:p>
        </w:tc>
        <w:tc>
          <w:tcPr>
            <w:tcW w:w="18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Quantitative</w:t>
            </w: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Small Capitalization</w:t>
            </w:r>
          </w:p>
        </w:tc>
        <w:tc>
          <w:tcPr>
            <w:tcW w:w="18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Multi Strategies</w:t>
            </w: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Multi-Capitalization</w:t>
            </w:r>
          </w:p>
        </w:tc>
        <w:tc>
          <w:tcPr>
            <w:tcW w:w="18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Managed Volatility</w:t>
            </w:r>
          </w:p>
        </w:tc>
        <w:tc>
          <w:tcPr>
            <w:tcW w:w="0" w:type="dxa"/>
            <w:vAlign w:val="bottom"/>
          </w:tcPr>
          <w:p>
            <w:pPr>
              <w:spacing w:after="0"/>
              <w:rPr>
                <w:sz w:val="1"/>
                <w:szCs w:val="1"/>
                <w:color w:val="auto"/>
              </w:rPr>
            </w:pPr>
          </w:p>
        </w:tc>
      </w:tr>
      <w:tr>
        <w:trPr>
          <w:trHeight w:val="174"/>
        </w:trPr>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8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rPr>
              <w:t>Latin America</w:t>
            </w:r>
          </w:p>
        </w:tc>
        <w:tc>
          <w:tcPr>
            <w:tcW w:w="0" w:type="dxa"/>
            <w:vAlign w:val="bottom"/>
          </w:tcPr>
          <w:p>
            <w:pPr>
              <w:spacing w:after="0"/>
              <w:rPr>
                <w:sz w:val="1"/>
                <w:szCs w:val="1"/>
                <w:color w:val="auto"/>
              </w:rPr>
            </w:pPr>
          </w:p>
        </w:tc>
      </w:tr>
      <w:tr>
        <w:trPr>
          <w:trHeight w:val="55"/>
        </w:trPr>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w:t>
            </w:r>
          </w:p>
        </w:tc>
        <w:tc>
          <w:tcPr>
            <w:tcW w:w="1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80" w:type="dxa"/>
            <w:vAlign w:val="bottom"/>
            <w:gridSpan w:val="3"/>
            <w:vMerge w:val="continue"/>
          </w:tcPr>
          <w:p>
            <w:pPr>
              <w:spacing w:after="0"/>
              <w:rPr>
                <w:sz w:val="12"/>
                <w:szCs w:val="12"/>
                <w:color w:val="auto"/>
              </w:rPr>
            </w:pPr>
          </w:p>
        </w:tc>
        <w:tc>
          <w:tcPr>
            <w:tcW w:w="18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Latin America</w:t>
            </w: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U.K. (Large Capitalization)</w:t>
            </w:r>
          </w:p>
        </w:tc>
        <w:tc>
          <w:tcPr>
            <w:tcW w:w="18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w w:val="94"/>
              </w:rPr>
              <w:t>Middle East North Africa</w:t>
            </w:r>
          </w:p>
        </w:tc>
        <w:tc>
          <w:tcPr>
            <w:tcW w:w="0" w:type="dxa"/>
            <w:vAlign w:val="bottom"/>
          </w:tcPr>
          <w:p>
            <w:pPr>
              <w:spacing w:after="0"/>
              <w:rPr>
                <w:sz w:val="1"/>
                <w:szCs w:val="1"/>
                <w:color w:val="auto"/>
              </w:rPr>
            </w:pPr>
          </w:p>
        </w:tc>
      </w:tr>
      <w:tr>
        <w:trPr>
          <w:trHeight w:val="81"/>
        </w:trPr>
        <w:tc>
          <w:tcPr>
            <w:tcW w:w="20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U.K. (Small Capitalization)</w:t>
            </w:r>
          </w:p>
        </w:tc>
        <w:tc>
          <w:tcPr>
            <w:tcW w:w="1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80" w:type="dxa"/>
            <w:vAlign w:val="bottom"/>
            <w:gridSpan w:val="3"/>
            <w:vMerge w:val="continue"/>
          </w:tcPr>
          <w:p>
            <w:pPr>
              <w:spacing w:after="0"/>
              <w:rPr>
                <w:sz w:val="5"/>
                <w:szCs w:val="5"/>
                <w:color w:val="auto"/>
              </w:rPr>
            </w:pPr>
          </w:p>
        </w:tc>
        <w:tc>
          <w:tcPr>
            <w:tcW w:w="18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w w:val="97"/>
              </w:rPr>
              <w:t>Middle East North Africa</w:t>
            </w:r>
          </w:p>
        </w:tc>
        <w:tc>
          <w:tcPr>
            <w:tcW w:w="0" w:type="dxa"/>
            <w:vAlign w:val="bottom"/>
          </w:tcPr>
          <w:p>
            <w:pPr>
              <w:spacing w:after="0"/>
              <w:rPr>
                <w:sz w:val="1"/>
                <w:szCs w:val="1"/>
                <w:color w:val="auto"/>
              </w:rPr>
            </w:pPr>
          </w:p>
        </w:tc>
      </w:tr>
      <w:tr>
        <w:trPr>
          <w:trHeight w:val="107"/>
        </w:trPr>
        <w:tc>
          <w:tcPr>
            <w:tcW w:w="20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U.K. Quantitative</w:t>
            </w:r>
          </w:p>
        </w:tc>
        <w:tc>
          <w:tcPr>
            <w:tcW w:w="1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80" w:type="dxa"/>
            <w:vAlign w:val="bottom"/>
            <w:gridSpan w:val="3"/>
            <w:vMerge w:val="continue"/>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Australia</w:t>
            </w: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France (Large Capitalization)*</w:t>
            </w: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France (Small Capitalization)*</w:t>
            </w: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Japan**</w:t>
            </w: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Korea</w:t>
            </w:r>
          </w:p>
        </w:tc>
        <w:tc>
          <w:tcPr>
            <w:tcW w:w="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4"/>
          <w:szCs w:val="14"/>
          <w:b w:val="1"/>
          <w:bCs w:val="1"/>
          <w:i w:val="1"/>
          <w:iCs w:val="1"/>
          <w:color w:val="auto"/>
        </w:rPr>
        <w:t>U.S.</w:t>
      </w:r>
      <w:r>
        <w:rPr>
          <w:sz w:val="20"/>
          <w:szCs w:val="20"/>
          <w:color w:val="auto"/>
        </w:rPr>
        <w:tab/>
      </w:r>
      <w:r>
        <w:rPr>
          <w:rFonts w:ascii="Times New Roman" w:cs="Times New Roman" w:eastAsia="Times New Roman" w:hAnsi="Times New Roman"/>
          <w:sz w:val="14"/>
          <w:szCs w:val="14"/>
          <w:b w:val="1"/>
          <w:bCs w:val="1"/>
          <w:i w:val="1"/>
          <w:iCs w:val="1"/>
          <w:color w:val="auto"/>
        </w:rPr>
        <w:t>Global</w:t>
      </w:r>
    </w:p>
    <w:p>
      <w:pPr>
        <w:spacing w:after="0"/>
        <w:tabs>
          <w:tab w:leader="none" w:pos="2480" w:val="left"/>
        </w:tabs>
        <w:rPr>
          <w:sz w:val="20"/>
          <w:szCs w:val="20"/>
          <w:color w:val="auto"/>
        </w:rPr>
      </w:pPr>
      <w:r>
        <w:rPr>
          <w:rFonts w:ascii="Times New Roman" w:cs="Times New Roman" w:eastAsia="Times New Roman" w:hAnsi="Times New Roman"/>
          <w:sz w:val="14"/>
          <w:szCs w:val="14"/>
          <w:color w:val="auto"/>
        </w:rPr>
        <w:t>Core Fixed Income</w:t>
      </w:r>
      <w:r>
        <w:rPr>
          <w:sz w:val="20"/>
          <w:szCs w:val="20"/>
          <w:color w:val="auto"/>
        </w:rPr>
        <w:tab/>
      </w:r>
      <w:r>
        <w:rPr>
          <w:rFonts w:ascii="Times New Roman" w:cs="Times New Roman" w:eastAsia="Times New Roman" w:hAnsi="Times New Roman"/>
          <w:sz w:val="12"/>
          <w:szCs w:val="12"/>
          <w:color w:val="auto"/>
        </w:rPr>
        <w:t>Emerging Debt</w:t>
      </w:r>
    </w:p>
    <w:p>
      <w:pPr>
        <w:spacing w:after="0"/>
        <w:tabs>
          <w:tab w:leader="none" w:pos="2480" w:val="left"/>
        </w:tabs>
        <w:rPr>
          <w:sz w:val="20"/>
          <w:szCs w:val="20"/>
          <w:color w:val="auto"/>
        </w:rPr>
      </w:pPr>
      <w:r>
        <w:rPr>
          <w:rFonts w:ascii="Times New Roman" w:cs="Times New Roman" w:eastAsia="Times New Roman" w:hAnsi="Times New Roman"/>
          <w:sz w:val="14"/>
          <w:szCs w:val="14"/>
          <w:color w:val="auto"/>
        </w:rPr>
        <w:t>High Yield</w:t>
      </w:r>
      <w:r>
        <w:rPr>
          <w:sz w:val="20"/>
          <w:szCs w:val="20"/>
          <w:color w:val="auto"/>
        </w:rPr>
        <w:tab/>
      </w:r>
      <w:r>
        <w:rPr>
          <w:rFonts w:ascii="Times New Roman" w:cs="Times New Roman" w:eastAsia="Times New Roman" w:hAnsi="Times New Roman"/>
          <w:sz w:val="12"/>
          <w:szCs w:val="12"/>
          <w:color w:val="auto"/>
        </w:rPr>
        <w:t>Emerging Corporates</w:t>
      </w:r>
    </w:p>
    <w:p>
      <w:pPr>
        <w:spacing w:after="0" w:line="221" w:lineRule="auto"/>
        <w:rPr>
          <w:sz w:val="20"/>
          <w:szCs w:val="20"/>
          <w:color w:val="auto"/>
        </w:rPr>
      </w:pPr>
      <w:r>
        <w:rPr>
          <w:rFonts w:ascii="Times New Roman" w:cs="Times New Roman" w:eastAsia="Times New Roman" w:hAnsi="Times New Roman"/>
          <w:sz w:val="14"/>
          <w:szCs w:val="14"/>
          <w:color w:val="auto"/>
        </w:rPr>
        <w:t>Short Duration</w:t>
      </w:r>
    </w:p>
    <w:p>
      <w:pPr>
        <w:spacing w:after="0" w:line="222" w:lineRule="auto"/>
        <w:rPr>
          <w:sz w:val="20"/>
          <w:szCs w:val="20"/>
          <w:color w:val="auto"/>
        </w:rPr>
      </w:pPr>
      <w:r>
        <w:rPr>
          <w:rFonts w:ascii="Times New Roman" w:cs="Times New Roman" w:eastAsia="Times New Roman" w:hAnsi="Times New Roman"/>
          <w:sz w:val="14"/>
          <w:szCs w:val="14"/>
          <w:color w:val="auto"/>
        </w:rPr>
        <w:t>Municipals</w:t>
      </w:r>
    </w:p>
    <w:p>
      <w:pPr>
        <w:spacing w:after="0"/>
        <w:rPr>
          <w:sz w:val="20"/>
          <w:szCs w:val="20"/>
          <w:color w:val="auto"/>
        </w:rPr>
      </w:pPr>
      <w:r>
        <w:rPr>
          <w:rFonts w:ascii="Times New Roman" w:cs="Times New Roman" w:eastAsia="Times New Roman" w:hAnsi="Times New Roman"/>
          <w:sz w:val="14"/>
          <w:szCs w:val="14"/>
          <w:color w:val="auto"/>
        </w:rPr>
        <w:t>Cash Management*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Non-U.S.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U.K. Fixed Income</w:t>
      </w:r>
    </w:p>
    <w:p>
      <w:pPr>
        <w:spacing w:after="0" w:line="200"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4"/>
          <w:szCs w:val="14"/>
          <w:b w:val="1"/>
          <w:bCs w:val="1"/>
          <w:i w:val="1"/>
          <w:iCs w:val="1"/>
          <w:color w:val="auto"/>
        </w:rPr>
        <w:t>Non-U.S.</w:t>
      </w:r>
      <w:r>
        <w:rPr>
          <w:sz w:val="20"/>
          <w:szCs w:val="20"/>
          <w:color w:val="auto"/>
        </w:rPr>
        <w:tab/>
      </w:r>
      <w:r>
        <w:rPr>
          <w:rFonts w:ascii="Times New Roman" w:cs="Times New Roman" w:eastAsia="Times New Roman" w:hAnsi="Times New Roman"/>
          <w:sz w:val="12"/>
          <w:szCs w:val="12"/>
          <w:b w:val="1"/>
          <w:bCs w:val="1"/>
          <w:i w:val="1"/>
          <w:iCs w:val="1"/>
          <w:color w:val="auto"/>
        </w:rPr>
        <w:t>Global</w:t>
      </w:r>
    </w:p>
    <w:p>
      <w:pPr>
        <w:spacing w:after="0"/>
        <w:tabs>
          <w:tab w:leader="none" w:pos="2480" w:val="left"/>
        </w:tabs>
        <w:rPr>
          <w:sz w:val="20"/>
          <w:szCs w:val="20"/>
          <w:color w:val="auto"/>
        </w:rPr>
      </w:pPr>
      <w:r>
        <w:rPr>
          <w:rFonts w:ascii="Times New Roman" w:cs="Times New Roman" w:eastAsia="Times New Roman" w:hAnsi="Times New Roman"/>
          <w:sz w:val="14"/>
          <w:szCs w:val="14"/>
          <w:color w:val="auto"/>
        </w:rPr>
        <w:t>Japan (Long/Short)</w:t>
      </w:r>
      <w:r>
        <w:rPr>
          <w:sz w:val="20"/>
          <w:szCs w:val="20"/>
          <w:color w:val="auto"/>
        </w:rPr>
        <w:tab/>
      </w:r>
      <w:r>
        <w:rPr>
          <w:rFonts w:ascii="Times New Roman" w:cs="Times New Roman" w:eastAsia="Times New Roman" w:hAnsi="Times New Roman"/>
          <w:sz w:val="12"/>
          <w:szCs w:val="12"/>
          <w:color w:val="auto"/>
        </w:rPr>
        <w:t>Emerging Income</w:t>
      </w:r>
    </w:p>
    <w:p>
      <w:pPr>
        <w:spacing w:after="0"/>
        <w:tabs>
          <w:tab w:leader="none" w:pos="2480" w:val="left"/>
        </w:tabs>
        <w:rPr>
          <w:sz w:val="20"/>
          <w:szCs w:val="20"/>
          <w:color w:val="auto"/>
        </w:rPr>
      </w:pPr>
      <w:r>
        <w:rPr>
          <w:rFonts w:ascii="Times New Roman" w:cs="Times New Roman" w:eastAsia="Times New Roman" w:hAnsi="Times New Roman"/>
          <w:sz w:val="14"/>
          <w:szCs w:val="14"/>
          <w:color w:val="auto"/>
        </w:rPr>
        <w:t>US (Long/Short)</w:t>
      </w:r>
      <w:r>
        <w:rPr>
          <w:sz w:val="20"/>
          <w:szCs w:val="20"/>
          <w:color w:val="auto"/>
        </w:rPr>
        <w:tab/>
      </w:r>
      <w:r>
        <w:rPr>
          <w:rFonts w:ascii="Times New Roman" w:cs="Times New Roman" w:eastAsia="Times New Roman" w:hAnsi="Times New Roman"/>
          <w:sz w:val="12"/>
          <w:szCs w:val="12"/>
          <w:color w:val="auto"/>
        </w:rPr>
        <w:t>Emerging Debt</w:t>
      </w:r>
    </w:p>
    <w:p>
      <w:pPr>
        <w:spacing w:after="0" w:line="891" w:lineRule="exact"/>
        <w:rPr>
          <w:sz w:val="20"/>
          <w:szCs w:val="20"/>
          <w:color w:val="auto"/>
        </w:rPr>
      </w:pPr>
    </w:p>
    <w:p>
      <w:pPr>
        <w:sectPr>
          <w:pgSz w:w="11900" w:h="16838" w:orient="portrait"/>
          <w:cols w:equalWidth="0" w:num="3">
            <w:col w:w="4100" w:space="720"/>
            <w:col w:w="1900" w:space="500"/>
            <w:col w:w="4200"/>
          </w:cols>
          <w:pgMar w:left="240" w:top="455" w:right="239" w:bottom="1440" w:gutter="0" w:footer="0" w:header="0"/>
          <w:type w:val="continuous"/>
        </w:sect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All of the above strategies are offered by LAM, except for those denoted by *, which are offered exclusively by LFG. Investment strategies offered by both LAM and LFG are denoted by **.</w:t>
      </w:r>
    </w:p>
    <w:p>
      <w:pPr>
        <w:spacing w:after="0" w:line="120"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primary investment strategies listed above, we also provide locally customized investment solutions to our clients. In many cases, we also offer both diversified and more concentrated versions of our products. These products are generally offered on a separate account basis, as well as through pooled vehicles.</w:t>
      </w:r>
    </w:p>
    <w:p>
      <w:pPr>
        <w:spacing w:after="0" w:line="13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We distribute our products through a broad array of marketing channels on a global basis. LAM’s marketing, sales and client service efforts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organized through a global market delivery and service network, with distribution professionals located in cities including New York, Boston, Chicago, Dubai, Frankfurt, Hamburg, Hong Kong, London, Manama, Milan, Montreal, San Francisco, Seoul, Singapore, Sydney, Tokyo, Toronto and Zurich. We have developed a well-established presence in the institutional asset management arena,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managing assets for corporations, labor unions, sovereign wealth funds and public pension funds around the world. In addition, we manage assets for insurance companies, savings and trust banks, endowments, foundations and charities.</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We also have become a leading firm in managing mutual funds and separately managed accounts for many of the world’s largest broker-dealers, insurance companies, registered advisors and other financial intermediaries.</w:t>
      </w:r>
    </w:p>
    <w:p>
      <w:pPr>
        <w:spacing w:after="0" w:line="120"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LFG markets and distributes its products through sales professionals based in France and Belgium, who directly target both individual and institutional investors.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51"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on enhancing our investment performance;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improved our investment management platform by adding a number of senior investment professionals (including portfolio managers and analysts);</w:t>
      </w:r>
    </w:p>
    <w:p>
      <w:pPr>
        <w:spacing w:after="0" w:line="113" w:lineRule="exact"/>
        <w:rPr>
          <w:rFonts w:ascii="Times New Roman" w:cs="Times New Roman" w:eastAsia="Times New Roman" w:hAnsi="Times New Roman"/>
          <w:sz w:val="16"/>
          <w:szCs w:val="16"/>
          <w:color w:val="auto"/>
        </w:rPr>
      </w:pPr>
    </w:p>
    <w:p>
      <w:pPr>
        <w:ind w:left="90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strengthen our marketing and consultant relations capabilities, including by expanding our marketing resources and leveraging the broad geographic footprint and strong client relationships in our Financial Advisory business;</w:t>
      </w:r>
    </w:p>
    <w:p>
      <w:pPr>
        <w:spacing w:after="0" w:line="38"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product platform, including through the addition of an emerging markets fixed income team, an equity team focused on asian markets and a global real estate investment team; and</w:t>
      </w:r>
    </w:p>
    <w:p>
      <w:pPr>
        <w:spacing w:after="0" w:line="38" w:lineRule="exact"/>
        <w:rPr>
          <w:rFonts w:ascii="Times New Roman" w:cs="Times New Roman" w:eastAsia="Times New Roman" w:hAnsi="Times New Roman"/>
          <w:sz w:val="18"/>
          <w:szCs w:val="18"/>
          <w:color w:val="auto"/>
        </w:rPr>
      </w:pPr>
    </w:p>
    <w:p>
      <w:pPr>
        <w:ind w:left="900" w:right="84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expand the geographic reach of our Asset Management business, including through opening offices in Dubai, Singapore and Switzerland.</w:t>
      </w:r>
    </w:p>
    <w:p>
      <w:pPr>
        <w:spacing w:after="0" w:line="12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 may expand our participation in alternative investment activities through investments in new and successor funds, through organic growth, acquisitions or otherwise. We may also continue to expand our geographic reach. In 2014, we announced our expansion in the Middle East Region with the opening of a Dubai office.</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Alternative Investments</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Historically, Lazard has made selected investments with its own capital, often alongside capital of qualified institutional and individual investors. These activities typically are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136"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Since 2005, we have been engaged in selected alternative investments and private equity activities. In 2009, we established a private equity business with The Edgewater Funds (“Edgewater”), a Chicago-based private equity firm, through the acquisition of Edgewater’s management vehicles. As of December 31, 2014, Edgewater had approximately $1 billion of AUM and unfunded fee-earning commitments.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 Australia, we operate our private equity business through Lazard Australia, which, as of December 31, 2014, had approximately $141 million of AUM and unfunded fee-earning commitments.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believe that our people are our most important asset, and it is their reputation, talent, integrity and dedication that underpin our success. As of December 31, 2014, we employed 2,523 people, which included 139 managing directors and 740 other professionals in our Financial Advisory segment and 81 managing directors and 398 other professionals in our Asset Management segment. We strive to maintain a work environment that fosters professionalism, excellence, diversity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offices, including France and Italy, are covered by national, industry-wide collective bargaining agreements. We believe that we have good relations with our employees.</w:t>
      </w:r>
    </w:p>
    <w:p>
      <w:pPr>
        <w:spacing w:after="0" w:line="14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October 2012, we announced a number of cost saving initiatives to reduce our expenses, which have impacted the number of people that we employ. See “Management’s Discussion and Analysis of Financial Condition — Cost Saving Initiatives”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them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of products and services, innovation, brand recognition and business reputation.</w:t>
      </w:r>
    </w:p>
    <w:p>
      <w:pPr>
        <w:spacing w:after="0" w:line="13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While our competitors vary by country in our Financial Advisory business, we believe our primary competitors in securing engagements are Bank of America Merrill Lynch, Barclays, Centerview Partners LLC, Citigroup, Credit Suisse, Deutsche Bank, Evercore Partners, Goldman Sachs, Greenhill, JPMorgan Chase, Morgan Stanley, Rothschild and UBS. In our Restructuring practice, our primary competitors are The Blackstone Group, Evercore Partners, Greenhill, Houlihan Lokey, Moelis &amp; Company and Rothschild.</w:t>
      </w:r>
    </w:p>
    <w:p>
      <w:pPr>
        <w:spacing w:after="0" w:line="136"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believe that our primary global competitors in our Asset Management business include, in the case of LAM, Aberdeen, Schroders, Alliance Bernstein, Capital Management &amp; Research, Fidelity, Franklin Templeton, Invesco, JP Morgan Asset Management, Lord Abbett, MFS, Neuberger Berman and, in the case of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3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Competition is also intense in each of our businesses for the attraction and retention of qualified employees, and we compete, among other factors, on the level and nature of compensation and equity-based incentives for key employees. Our ability to continue to compete effectively in our businesses will depend upon our ability to attract new employees and retain and motivate our existing employees, in each case, at appropriate compensation levels.</w:t>
      </w:r>
    </w:p>
    <w:p>
      <w:pPr>
        <w:spacing w:after="0" w:line="13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In recent years there has been substantial consolidation and convergence among companies in the financial services industry. In particular, a number of large commercial banks, insurance companies and other broad-based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financial services firms have established or acquired broker-dealers or have merged with other financial institutions. This trend was amplified in connection with the unprecedented disruption and volatility in the financial markets during the financial crisis that began in mid-2007, and, as a result, a number of financial services companies have merged, been acquired or have fundamentally changed their respective business models, including, in certain cases, becoming bank holding companies or commercial banks. Many of these firms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may have the ability to support investment banking and securities products with commercial banking, insurance and other financial services revenue in an effort to gain market share, which could result in pricing pressure in our businesses. This trend toward consolidation and convergence has significantly increased the capital base and geographic reach of our competitors, and, in certain instances, has afforded them access to government funds. At the same time, demand for independent financial advice has increased and has created opportunities for new entrants, including a number of boutique financial advisory firms. These boutique firms frequently compete, among other factors, on the basis of their independent financial advice, and their activities also could result in pricing and other competitive pressure in our businesses.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92"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retention requirements and customer protection rules. In the U.S., certain of our subsidiaries are subject to such regulations promulgated by the United States Securities and Exchange Commission (the “SEC”), the Financial Industry Regulatory Authority (“FINRA”) or the Municipal Securities Rulemakers Board (the “MSRB”).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13"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MSRB is also a voluntary, self-regulatory body, composed of members, including “municipal advisors”, that have agreed to abide by the MSRB’s rules and regulations. The SEC, FINRA, MSRB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The effect of any such changes cannot be predicted and may impact the manner of operation and profitability of our businesses.</w:t>
      </w:r>
    </w:p>
    <w:p>
      <w:pPr>
        <w:spacing w:after="0" w:line="13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most aspects of the securities business, including minimum capital retention requirements, record-keeping and reporting procedures, relationships with customers, experience and training requirements for certain employees, and business procedures with firms that are not members of certain regulatory bodies. LFNY is also currently registered with the SEC and the MSRB as a municipal advisor, a registration category that includes placement agents that solicit investments from public pension funds on behalf of investment funds. The MSRB has adopted, and is in the process of adopting, additional rules to govern municipal advisors, including “pay-to-play” rules and rules regarding professional standards, and LFNY is subject to those rules. In addition, LFNY is a member</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organization of the New York Stock Exchange LLC and the NYSE MKT LLC and is subject to various rules and regulations that have been promulgated by these securities exchanges. Lazard Asset Management Securities LLC, a subsidiary of LAM, is registered as a broker-dealer with the SEC and FINRA and in all 50 U.S. states, the District of Columbia and Puerto Rico. Lazard Middle Market LLC, a subsidiary of GAHL, is registered as a broker-dealer with the SEC and FINRA, and as a broker-dealer in various U.S. states and territories.</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38" w:lineRule="exact"/>
        <w:rPr>
          <w:sz w:val="20"/>
          <w:szCs w:val="20"/>
          <w:color w:val="auto"/>
        </w:rPr>
      </w:pPr>
    </w:p>
    <w:p>
      <w:pPr>
        <w:ind w:right="360" w:firstLine="456"/>
        <w:spacing w:after="0" w:line="256" w:lineRule="auto"/>
        <w:rPr>
          <w:sz w:val="20"/>
          <w:szCs w:val="20"/>
          <w:color w:val="auto"/>
        </w:rPr>
      </w:pPr>
      <w:r>
        <w:rPr>
          <w:rFonts w:ascii="Times New Roman" w:cs="Times New Roman" w:eastAsia="Times New Roman" w:hAnsi="Times New Roman"/>
          <w:sz w:val="18"/>
          <w:szCs w:val="18"/>
          <w:color w:val="auto"/>
        </w:rPr>
        <w:t>Certain U.K. subsidiaries of Lazard Group, including Lazard &amp; Co., Limited (“LCL”), Lazard Fund Managers Limited and Lazard Asset Management Limited, which we refer to in this Annual Report on Form 10-K (this “Form 10-K”) as the “U.K. subsidiaries,” are authorized and regulated by the Financial Conduct Authority (the “FCA”), and are subject to various rules and regulations made by the FCA under the authorities conferred upon it by the Financial Services and Markets Act 2000, as amended by the Financial Services Act 2012. LCL has obtained the appropriate European investment services rights to provide cross-border services into a number of other members of the European Economic Area.</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also have other subsidiaries that are registered as broker-dealers (or have similar non-U.S. registration) in various jurisdictions.</w:t>
      </w:r>
    </w:p>
    <w:p>
      <w:pPr>
        <w:spacing w:after="0" w:line="17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Certain of our Asset Management subsidiaries are registered as investment advisors with the SEC. As registered investment advisors, each is subject to the requirements of the Investment Advisers Act of 1940, as amended (the “Investment Advisers Act”), and the SEC’s regulations thereunder. Such requirements relate to, among other things, the relationship between an advisor and its advisory clients, as well as general anti-fraud prohibitions. LAM serves as an advisor to several mutual funds which are registered under the Investment Company Act of 1940, as amended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record-keeping and reporting requirements, disclosure requirements, limitations on trades where a single broker acts as the agent for both the buyer and seller, and limitations on affiliated transactions and joint transactions. Lazard Asset Management Securities LLC, a subsidiary of LAM, serves as an underwriter or distributor for mutual funds and hedge funds managed by LAM, and as an introducing broker to Pershing LLC for unmanaged accounts of LAM’s private clients.</w:t>
      </w:r>
    </w:p>
    <w:p>
      <w:pPr>
        <w:spacing w:after="0" w:line="14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Compagnie Financière Lazard Frères SAS (“CFLF”), our French subsidiary under which asset management and commercial banking activities are carried out in France, is subject to regulation by the Autorité de Contrôle Prudentiel et de Résolution (“ACPR”) for its banking activities conducted through its subsidiary, our Paris-based banking affiliate, Lazard Frères Banque SA (“LFB”). The investment services activities of the Paris group, exercised through LFB and other subsidiaries of CFLF, primarily LFG, also are subject to regulation and supervision by the Autorité des Marchés Financiers.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periodic financial, regulatory net capital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1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a result of certain recent changes effected by the Dodd-Frank Wall Street Reform and Consumer Protection Act (the “Dodd-Frank Act”) related to the regulation of over-the-counter swaps and other derivative instruments, LAM and certain of its subsidiaries have recently registered with the U.S. Commodity Futures Trading Commission ( the “CFTC”) and the National Futures Association (the “NFA”), and are subject to certain aspects of the U.S. Commodity Exchange Act and the regulations thereunder, and to the rules of the NFA. The CFTC and the NFA have authority over the laws, rules and regulations related to commodities (including the over-the-counter swaps and derivatives markets), and regulate our relationship with clients who trade in these instruments. The U.S. Commodity Exchange Act and the regulations thereunder also impose additional record-keeping and reporting requirements and disclosure requirements on LAM and its subsidiaries.</w:t>
      </w:r>
    </w:p>
    <w:p>
      <w:pPr>
        <w:spacing w:after="0" w:line="141"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In addition, the Japanese Ministry of Finance and the Financial Supervisory Agency, the Korean Financial Supervisory Commission, the Securities and Futures Commission of Hong Kong, the Monetary Authority of Singapore, the Australian Securities &amp; Investments Commission, the Dubai Financial Services Authority and German banking authorities, among others, regulate relevant operating subsidiaries of the Company and also have capital standards and other requirements comparable to the rules of the SEC. Our business is also subject to regulation by other non-U.S. governmental and regulatory bodies and self-regulatory authorities in other countries where we operate.</w:t>
      </w:r>
    </w:p>
    <w:p>
      <w:pPr>
        <w:spacing w:after="0" w:line="139"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Regulators are empowered to conduct periodic examinations and initiate administrative proceedings that can result, among other things, in censure, fine, the issuance of cease-and-desist orders or the suspension or expulsion or other disciplining of a broker-dealer or investment advisor or its directors, officers or employees.</w:t>
      </w:r>
    </w:p>
    <w:p>
      <w:pPr>
        <w:spacing w:after="0" w:line="132"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We are also subject to various anti-bribery, anti-money laundering and counter-terrorist financing laws, rules and regulations in the jurisdictions in which we operate. The U.S. Foreign Corrupt Practices Act, for example, generally prohibits offering, promising or giving, or authorizing others to give, anything of value, either directly or indirectly, to a non-U.S. government official in order to influence official action or otherwise gain an unfair business advantage, such as to obtain or retain business. Violations of any of these laws, rules and regulations can give rise to administrative, civil or criminal penalties.</w:t>
      </w:r>
    </w:p>
    <w:p>
      <w:pPr>
        <w:spacing w:after="0" w:line="10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U.S. and other governments and institutions have taken actions, and may continue to take further actions, in response to disruption and volatility in the global financial markets. Such further actions could include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See Item 1A, “Risk Factors—Other Business Risks—Extensive regulation of our businesses limits our activities and results in ongoing exposure to the potential for significant penalties, including fines or limitations on our ability to conduct our businesses.”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9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Set forth below are the name, age, present title, principal occupation and certain biographical information for each of our executive officers as of February 20, 2015, all of whom have been appointed by, and serve at the pleasure of, our board of directors.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Kenneth M. Jacobs, 56</w:t>
      </w:r>
    </w:p>
    <w:p>
      <w:pPr>
        <w:spacing w:after="0" w:line="9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Mr. Jacobs has served as Chairman of the Board of Directors and Chief Executive Officer of Lazard Ltd and Lazard Group since November 2009. Mr. Jacobs has served as a Managing Director of Lazard since 1991 and had been a Deputy Chairman of Lazard from January 2002 until November 2009. Mr. Jacobs also served as Chief Executive Officer of Lazard North America from January 2002 until November 2009. Mr. Jacobs initially joined Lazard in 1988. Mr. Jacobs is a member of the Board of Trustees of the University of Chicago and the Brookings Institution.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Matthieu Bucaille, 55</w:t>
      </w:r>
    </w:p>
    <w:p>
      <w:pPr>
        <w:spacing w:after="0" w:line="9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Mr. Bucaille has served as Chief Financial Officer of Lazard Ltd and Lazard Group since April 2011. Mr. Bucaille has served as a Managing Director of Lazard since 1998 and served as the Deputy Chief Executive Officer of LFB in Paris from October 2009 until December 2011. Mr. Bucaille joined Lazard in 1989 from the First Boston Corporation in New York.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Ashish Bhutani, 54</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Scott D. Hoffman, 52</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Mr. Hoffman has served as General Counsel of Lazard Ltd since May 2005. Mr. Hoffman has served as a Managing Director of Lazard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Alexander F. Stern, 48</w:t>
      </w:r>
    </w:p>
    <w:p>
      <w:pPr>
        <w:spacing w:after="0" w:line="92" w:lineRule="exact"/>
        <w:rPr>
          <w:sz w:val="20"/>
          <w:szCs w:val="20"/>
          <w:color w:val="auto"/>
        </w:rPr>
      </w:pPr>
    </w:p>
    <w:p>
      <w:pPr>
        <w:jc w:val="both"/>
        <w:ind w:right="180" w:firstLine="456"/>
        <w:spacing w:after="0" w:line="256" w:lineRule="auto"/>
        <w:rPr>
          <w:sz w:val="20"/>
          <w:szCs w:val="20"/>
          <w:color w:val="auto"/>
        </w:rPr>
      </w:pPr>
      <w:r>
        <w:rPr>
          <w:rFonts w:ascii="Times New Roman" w:cs="Times New Roman" w:eastAsia="Times New Roman" w:hAnsi="Times New Roman"/>
          <w:sz w:val="18"/>
          <w:szCs w:val="18"/>
          <w:color w:val="auto"/>
        </w:rPr>
        <w:t>Mr. Stern has served as Chief Operating Officer of Lazard Ltd and Lazard Group since November 2008. Mr. Stern has served as a Managing Director of Lazard since January 2002 and as the Firm’s Global Head of Strategy since February 2006. In November 2014, Mr. Stern’s role was expanded, and he now also serves in a direct senior leadership position within Lazard’s Financial Advisory business. 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3" w:lineRule="exact"/>
        <w:rPr>
          <w:sz w:val="20"/>
          <w:szCs w:val="20"/>
          <w:color w:val="auto"/>
        </w:rPr>
      </w:pPr>
    </w:p>
    <w:p>
      <w:pPr>
        <w:ind w:right="220" w:firstLine="456"/>
        <w:spacing w:after="0" w:line="257" w:lineRule="auto"/>
        <w:rPr>
          <w:sz w:val="20"/>
          <w:szCs w:val="20"/>
          <w:color w:val="auto"/>
        </w:rPr>
      </w:pPr>
      <w:r>
        <w:rPr>
          <w:rFonts w:ascii="Times New Roman" w:cs="Times New Roman" w:eastAsia="Times New Roman" w:hAnsi="Times New Roman"/>
          <w:sz w:val="18"/>
          <w:szCs w:val="18"/>
          <w:color w:val="auto"/>
        </w:rPr>
        <w:t>Lazard Group files current, annual and quarterly reports, and other information required by the Exchange Act with the SEC. You may read and copy any document the company files at the SEC’s public reference room located at 100 F Street, N.E., Washington, D.C. 20549, U.S.A. Please call the SEC at</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1-800-SEC-0330 for further information on the public reference room. The Company’s SEC filings are also available to the public from the SEC’s internet site at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Copies of these reports and other information can also be inspected at the offices of the New York Stock Exchange, Inc., 20 Broad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New York 10005, U.S.A.</w:t>
      </w:r>
    </w:p>
    <w:p>
      <w:pPr>
        <w:spacing w:after="0" w:line="13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Our public website is </w:t>
      </w:r>
      <w:r>
        <w:rPr>
          <w:rFonts w:ascii="Times New Roman" w:cs="Times New Roman" w:eastAsia="Times New Roman" w:hAnsi="Times New Roman"/>
          <w:sz w:val="18"/>
          <w:szCs w:val="18"/>
          <w:i w:val="1"/>
          <w:iCs w:val="1"/>
          <w:color w:val="auto"/>
        </w:rPr>
        <w:t>http://www.lazard.com</w:t>
      </w:r>
      <w:r>
        <w:rPr>
          <w:rFonts w:ascii="Times New Roman" w:cs="Times New Roman" w:eastAsia="Times New Roman" w:hAnsi="Times New Roman"/>
          <w:sz w:val="18"/>
          <w:szCs w:val="18"/>
          <w:color w:val="auto"/>
        </w:rPr>
        <w:t xml:space="preserve"> and the investor relations SEC filings section of our public website is located at </w:t>
      </w:r>
      <w:r>
        <w:rPr>
          <w:rFonts w:ascii="Times New Roman" w:cs="Times New Roman" w:eastAsia="Times New Roman" w:hAnsi="Times New Roman"/>
          <w:sz w:val="18"/>
          <w:szCs w:val="18"/>
          <w:i w:val="1"/>
          <w:iCs w:val="1"/>
          <w:color w:val="auto"/>
        </w:rPr>
        <w:t xml:space="preserve">http://www.lazard.com/InvestorRelations/SEC-Filings.aspx. </w:t>
      </w:r>
      <w:r>
        <w:rPr>
          <w:rFonts w:ascii="Times New Roman" w:cs="Times New Roman" w:eastAsia="Times New Roman" w:hAnsi="Times New Roman"/>
          <w:sz w:val="18"/>
          <w:szCs w:val="18"/>
          <w:color w:val="auto"/>
        </w:rPr>
        <w:t>We will make available free of charge, on or through the investor relations section of our website,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reports on Form 10-K, quarterly reports on Form 10-Q, current reports on Form 8-K, and any amendments to those reports filed or furnished pursuant to the Exchange Act as soon as reasonably practicable after we electronically file such material with, or furnish it to, the SEC. Also posted on our website, and available in print upon request of any Lazard Ltd shareholder to the Investor Relations Department, are charters for Lazard Ltd’s Audit Committee, Compensation Committee and Nominating &amp; Governance Committee. Copies of these charters and Lazard Ltd’s Corporate Governance Guidelines and Code of Business Conduct and Ethics governing our directors, officers and employees are also posted on the investor relations section of our website in the corporate governance subsection.</w:t>
      </w:r>
    </w:p>
    <w:p>
      <w:pPr>
        <w:spacing w:after="0" w:line="26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You should carefully consider the following risks and all of the other information set forth in this Form 10-K, including our consolidated financial statements and related notes. The following risks comprise the material risks of which we are aware. If any of the events or developments described below actually occurred, our business, financial condition or results of operations would likely suffer.</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the Financial Services Industry and Financial Markets</w:t>
      </w:r>
    </w:p>
    <w:p>
      <w:pPr>
        <w:spacing w:after="0" w:line="90" w:lineRule="exact"/>
        <w:rPr>
          <w:sz w:val="20"/>
          <w:szCs w:val="20"/>
          <w:color w:val="auto"/>
        </w:rPr>
      </w:pPr>
    </w:p>
    <w:p>
      <w:pPr>
        <w:ind w:right="3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In recent years, regional and global capital markets and economies have experienced periods of significant disruption and volatility, which has had negative repercussions on the global economy, and any continued disruption or volatility could present challenges for our business.</w:t>
      </w:r>
    </w:p>
    <w:p>
      <w:pPr>
        <w:spacing w:after="0" w:line="37" w:lineRule="exact"/>
        <w:rPr>
          <w:sz w:val="20"/>
          <w:szCs w:val="20"/>
          <w:color w:val="auto"/>
        </w:rPr>
      </w:pPr>
    </w:p>
    <w:p>
      <w:pPr>
        <w:ind w:right="100" w:firstLine="456"/>
        <w:spacing w:after="0" w:line="291" w:lineRule="auto"/>
        <w:rPr>
          <w:sz w:val="20"/>
          <w:szCs w:val="20"/>
          <w:color w:val="auto"/>
        </w:rPr>
      </w:pPr>
      <w:r>
        <w:rPr>
          <w:rFonts w:ascii="Times New Roman" w:cs="Times New Roman" w:eastAsia="Times New Roman" w:hAnsi="Times New Roman"/>
          <w:sz w:val="16"/>
          <w:szCs w:val="16"/>
          <w:color w:val="auto"/>
        </w:rPr>
        <w:t>In recent years, certain adverse financial developments have impacted regional and global capital markets and the macroeconomic climate. These developments included a general slowing of economic growth, periods of volatility in equity securities markets and volatility and tightening of liquidity in credit markets. In addition, concerns over sovereign debt levels, high unemployment levels, business and consumer confidence levels, geopolitical issues, stability of currency exchange rates and weak real estate markets in certain regions have contributed to increased volatility and have affected expectations for the economy and the markets going forward. Furthermore, investor concerns about the financial health of certain European countries and financial institutions have caused market disruptions in recent years and may continue to cause disruption in future periods. If significant levels of market disruption and volatility continue, or if current conditions materially worsen, our business may be adversely affected, which may have a material impact on our business and results of operations.</w:t>
      </w:r>
    </w:p>
    <w:p>
      <w:pPr>
        <w:spacing w:after="0" w:line="192" w:lineRule="exact"/>
        <w:rPr>
          <w:sz w:val="20"/>
          <w:szCs w:val="20"/>
          <w:color w:val="auto"/>
        </w:rPr>
      </w:pPr>
    </w:p>
    <w:p>
      <w:pPr>
        <w:ind w:right="3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The full extent of the effects of governmental economic and regulatory involvement in the wake of disruption and volatility in global financial markets remains uncertain.</w:t>
      </w:r>
    </w:p>
    <w:p>
      <w:pPr>
        <w:spacing w:after="0" w:line="37"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As a result of the financial crisis that began in mid-2007 and market volatility and disruption in recent years, the U.S. and other governments have taken unprecedented steps to try to stabilize the financial system, including investing in financial institutions and taking certain regulatory actions. The full extent of the effects of these actions and legislative and regulatory initiatives (including the Dodd-Frank Act) effected in connection with, and as a result of, such extraordinary disruption and volatility is uncertain, both as to the financial capital markets and participants in general, and as to us in particular.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soundness of third parties, including our clients, as well as financial, governmental and other institutions, could adversely affect us.</w:t>
      </w:r>
    </w:p>
    <w:p>
      <w:pPr>
        <w:spacing w:after="0" w:line="92"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risk may be exacerbated when the collateral held by us, if any, cannot be fully realized or is liquidated at prices not sufficient to recover the full amount of the loan or derivative exposure due to us.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Business Risks</w:t>
      </w:r>
    </w:p>
    <w:p>
      <w:pPr>
        <w:spacing w:after="0" w:line="90" w:lineRule="exact"/>
        <w:rPr>
          <w:sz w:val="20"/>
          <w:szCs w:val="20"/>
          <w:color w:val="auto"/>
        </w:rPr>
      </w:pPr>
    </w:p>
    <w:p>
      <w:pPr>
        <w:jc w:val="both"/>
        <w:ind w:right="60" w:firstLine="456"/>
        <w:spacing w:after="0" w:line="342" w:lineRule="auto"/>
        <w:rPr>
          <w:sz w:val="20"/>
          <w:szCs w:val="20"/>
          <w:color w:val="auto"/>
        </w:rPr>
      </w:pPr>
      <w:r>
        <w:rPr>
          <w:rFonts w:ascii="Times New Roman" w:cs="Times New Roman" w:eastAsia="Times New Roman" w:hAnsi="Times New Roman"/>
          <w:sz w:val="16"/>
          <w:szCs w:val="16"/>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72"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Our people are our most important asset. We must retain the services of our managing directors and other key professional employees, and strategically recruit and hire new talented employees, to obtain and successfully execute the Financial Advisory and Asset Management engagements that generate substantially all our revenue.</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general, our industry continues to experience change and exerts competitive pressures for retaining top talent, which makes it more difficult for us to retain professionals. If any of our managing directors and other key professional employees were to retire, join an existing competitor, form a competing company or otherwise leave us, some of our clients could choose to use the services of that competitor or some other competitor instead of our services. In any such event, our investment banking fees, asset management fees or AUM could decline. The employment arrangements, non-competition agreements and retention agreements we have or will enter into with our managing directors and other key professional employees may not prevent our managing directors and other key professional employees from resigning from practice or competing against us. In addition, these arrangements and agreements have a limited duration and will expire after a certain period of time. We continue to be subject to intense competition in the financial services industry regarding the recruitment and retention of key professionals, and have experienced departures from and added to our professional ranks as a result.</w:t>
      </w:r>
    </w:p>
    <w:p>
      <w:pPr>
        <w:spacing w:after="0" w:line="138"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Certain changes to our employee compensation arrangements may result in increased compensation and benefits expense. In addition, any changes to the mix of cash and deferred incentive compensation granted to our employees may affect certain financial measures applicable to our business, including ratios of compensation and benefits expense to revenue, and may result in increased levels of Class A common stock issued to our employees upon vesting of restricted stock units (“RSUs”), performance-based restricted stock units (“PRSUs”) or restricted stock awards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137" w:lineRule="exact"/>
        <w:rPr>
          <w:sz w:val="20"/>
          <w:szCs w:val="20"/>
          <w:color w:val="auto"/>
        </w:rPr>
      </w:pPr>
    </w:p>
    <w:p>
      <w:pPr>
        <w:jc w:val="both"/>
        <w:ind w:right="2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29"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As a financial services firm, our businesses are materially affected by conditions in the global financial markets and economic conditions throughout the world. The financial environment in the U.S. and globally has been volatile during recent years. Unfavorable economic and market conditions can adversely affect our financial performance in both the Financial Advisory and Asset Management businesses.</w:t>
      </w:r>
    </w:p>
    <w:p>
      <w:pPr>
        <w:spacing w:after="0" w:line="132"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For example, revenue generated by our Financial Advisory business is directly related to the volume and value of the transactions in which we are involved. During periods of unfavorable market or economic</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reduce our variable costs without reducing revenue or within a timeframe sufficient to offset any decreases in revenue relating to changes in market and economic conditions. The future market and economic climate may deteriorate because of many factors, including possible increases in interest rates, inflation, corporate or sovereign defaults, terrorism or political uncertainty.</w:t>
      </w:r>
    </w:p>
    <w:p>
      <w:pPr>
        <w:spacing w:after="0" w:line="139" w:lineRule="exact"/>
        <w:rPr>
          <w:sz w:val="20"/>
          <w:szCs w:val="20"/>
          <w:color w:val="auto"/>
        </w:rPr>
      </w:pPr>
    </w:p>
    <w:p>
      <w:pPr>
        <w:ind w:right="100" w:firstLine="456"/>
        <w:spacing w:after="0" w:line="289" w:lineRule="auto"/>
        <w:rPr>
          <w:sz w:val="20"/>
          <w:szCs w:val="20"/>
          <w:color w:val="auto"/>
        </w:rPr>
      </w:pPr>
      <w:r>
        <w:rPr>
          <w:rFonts w:ascii="Times New Roman" w:cs="Times New Roman" w:eastAsia="Times New Roman" w:hAnsi="Times New Roman"/>
          <w:sz w:val="16"/>
          <w:szCs w:val="16"/>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contraction, we typically have seen that our Restructuring practice has been more active and our Mergers and Acquisitions practice has been less active. As a result,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w:t>
      </w:r>
    </w:p>
    <w:p>
      <w:pPr>
        <w:spacing w:after="0" w:line="113"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Our Asset Management business also would be expected to generate lower revenue in a market or general economic downturn. Under our Asset Management business’ arrangements, investment advisory fees we receive typically are based on the market value of AUM. Accordingly, a decline in the prices of securities, such as that which occurred on a global basis in 2008, or in specific geographic markets or sectors that constitute a significant portion of our AUM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our emerging markets strategies), would be expected to cause our revenue and income to decline by causing:</w:t>
      </w:r>
    </w:p>
    <w:p>
      <w:pPr>
        <w:spacing w:after="0" w:line="55"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AUM to decrease, which would result in lower investment advisory fees;</w:t>
      </w:r>
    </w:p>
    <w:p>
      <w:pPr>
        <w:spacing w:after="0" w:line="90" w:lineRule="exact"/>
        <w:rPr>
          <w:rFonts w:ascii="Times New Roman" w:cs="Times New Roman" w:eastAsia="Times New Roman" w:hAnsi="Times New Roman"/>
          <w:sz w:val="18"/>
          <w:szCs w:val="18"/>
          <w:color w:val="auto"/>
        </w:rPr>
      </w:pPr>
    </w:p>
    <w:p>
      <w:pPr>
        <w:ind w:left="900" w:right="720" w:hanging="325"/>
        <w:spacing w:after="0" w:line="334"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1" w:lineRule="exact"/>
        <w:rPr>
          <w:rFonts w:ascii="Times New Roman" w:cs="Times New Roman" w:eastAsia="Times New Roman" w:hAnsi="Times New Roman"/>
          <w:sz w:val="16"/>
          <w:szCs w:val="16"/>
          <w:color w:val="auto"/>
        </w:rPr>
      </w:pPr>
    </w:p>
    <w:p>
      <w:pPr>
        <w:ind w:left="900" w:right="12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38"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absolute performance returns for some accounts which have performance-based incentive fees, which would result in a reduction of revenue from such fees.</w:t>
      </w:r>
    </w:p>
    <w:p>
      <w:pPr>
        <w:spacing w:after="0" w:line="12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If our Asset Management revenue declines without a commensurate reduction in our expenses, our net income would be reduced. In addition, in the event of a market or general economic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members’ equity and net income or negatively impact the portfolios of our Asset Management clients and may affect the levels of our AUM” below.</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ind w:right="4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A substantial portion of our revenue is derived from Financial Advisory fees, which are not long-term contracted sources of revenue and are subject to intense competition, and declines in our Financial Advisory engagements could have a material adverse effect on our business, financial condition and results of operations.</w:t>
      </w:r>
    </w:p>
    <w:p>
      <w:pPr>
        <w:spacing w:after="0" w:line="12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2014, Financial Advisory services accounted for approximately 53%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including as a result of the sale or merger of a client, a change in a client’s senior management and competition from other financial advisors and financial institutions. As a result, our engagements with clients are constantly changing and our Financial Advisory fees could decline quickly due to the factors discussed above.</w:t>
      </w:r>
    </w:p>
    <w:p>
      <w:pPr>
        <w:spacing w:after="0" w:line="137" w:lineRule="exact"/>
        <w:rPr>
          <w:sz w:val="20"/>
          <w:szCs w:val="20"/>
          <w:color w:val="auto"/>
        </w:rPr>
      </w:pPr>
    </w:p>
    <w:p>
      <w:pPr>
        <w:ind w:right="88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If the number of debt defaults, bankruptcies or other factors affecting demand for our Restructuring services continues to decline, our Restructuring revenue could suffer.</w:t>
      </w:r>
    </w:p>
    <w:p>
      <w:pPr>
        <w:spacing w:after="0" w:line="11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deregulation or privatization of particular industries and those that protect creditors.</w:t>
      </w:r>
    </w:p>
    <w:p>
      <w:pPr>
        <w:spacing w:after="0" w:line="134"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Due to the nature of our business, financial results could differ significantly from period to period, which may make it difficult for us to achieve steady earnings growth on a quarterly basis.</w:t>
      </w:r>
    </w:p>
    <w:p>
      <w:pPr>
        <w:spacing w:after="0" w:line="118"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We experience significant fluctuations in quarterly revenue and profits. These fluctuations generally can be attributed to the fact that we earn a substantial portion of our Financial Advisory revenue upon the successful completion of a transaction or a restructuring, the timing of which is uncertain and is not subject to our control. As a result, our Financial Advisory business is highly dependent on market conditions and the decisions and actions of our clients, interested third parties and governmental authorities. For example, a client or counterparty could delay or terminate an acquisition transaction because of a failure to agree upon final terms, failure to obtain necessary regulatory consents or board of directors or stockholder approval, failure to secure necessary financing, adverse market conditions or because the seller’s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cause significant fluctuations in quarterly revenue and profits and could materially adversely affect our business, financial condition and results of operations. For more information, see “Management’s Discussion and Analysis of Financial Condition and Results of Operations”.</w:t>
      </w:r>
    </w:p>
    <w:p>
      <w:pPr>
        <w:spacing w:after="0" w:line="335"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In addition, our Asset Management revenue is particularly sensitive to fluctuations in our AUM. Asset Management fees are predominantly based on average AUM as of the end of a quarter or month. As a result, a</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reduction in AUM at the end of a quarter or month (as a result of market depreciation, withdrawals, fluctuations in foreign currency exchange rates or otherwise) will result in a decrease in management fees. Similarly, timing of flows, contributions and withdrawals are often out of our control and may be inconsistent from quarter to quarter. Incentive fees are driven by investment performance (either absolute performance or relative to an established benchmark), which is directly impacted by market movements, and may therefore fluctuate from period to period.</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of quarterly fluctuations, it may be difficult for us to achieve steady earnings growth on a quarterly basis.</w:t>
      </w:r>
    </w:p>
    <w:p>
      <w:pPr>
        <w:spacing w:after="0" w:line="169" w:lineRule="exact"/>
        <w:rPr>
          <w:sz w:val="20"/>
          <w:szCs w:val="20"/>
          <w:color w:val="auto"/>
        </w:rPr>
      </w:pPr>
    </w:p>
    <w:p>
      <w:pPr>
        <w:ind w:right="1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We could lose clients and suffer a decline in our Asset Management revenue and earnings if the investments we choose in our Asset Management business perform poorly or if we lose key employees, regardless of overall trends in the prices of securities.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Investment performance affects our AUM relating to existing clients and is one of the most important factors in retaining clients and competing for new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Management business. Poor investment performance could impair our revenue and growth because:</w:t>
      </w:r>
    </w:p>
    <w:p>
      <w:pPr>
        <w:spacing w:after="0" w:line="78" w:lineRule="exact"/>
        <w:rPr>
          <w:sz w:val="20"/>
          <w:szCs w:val="20"/>
          <w:color w:val="auto"/>
        </w:rPr>
      </w:pPr>
    </w:p>
    <w:p>
      <w:pPr>
        <w:ind w:left="900" w:right="380" w:hanging="325"/>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clients might withdraw funds from our Asset Management business in favor of better performing products, which would result in lower investment advisory fees;</w:t>
      </w:r>
    </w:p>
    <w:p>
      <w:pPr>
        <w:spacing w:after="0" w:line="38" w:lineRule="exact"/>
        <w:rPr>
          <w:rFonts w:ascii="Times New Roman" w:cs="Times New Roman" w:eastAsia="Times New Roman" w:hAnsi="Times New Roman"/>
          <w:sz w:val="18"/>
          <w:szCs w:val="18"/>
          <w:color w:val="auto"/>
        </w:rPr>
      </w:pPr>
    </w:p>
    <w:p>
      <w:pPr>
        <w:ind w:left="900" w:right="320" w:hanging="325"/>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incentive fees, which provide us with a set percentage of returns on some alternative investment and private equity funds and other accounts, would decline;</w:t>
      </w:r>
    </w:p>
    <w:p>
      <w:pPr>
        <w:spacing w:after="0" w:line="38"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financial intermediaries, rating services, advisors or consultants may rate our products poorly, which may result in client withdrawals and reduced asset flows;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firms with which we have strategic alliances may terminate such relationships with us, and future strategic alliances may be unavailable.</w:t>
      </w:r>
    </w:p>
    <w:p>
      <w:pPr>
        <w:spacing w:after="0" w:line="171"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If key employees were to leave our Asset Management business, whether to join a competitor or otherwise, we may suffer a decline in revenue or earnings and our financial position could be adversely affected. Loss of key employees may occur due to perceived opportunity for promotion, compensation levels, work environment or other individual reasons, some of which may be beyond our control.</w:t>
      </w:r>
    </w:p>
    <w:p>
      <w:pPr>
        <w:spacing w:after="0" w:line="132"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Over certain time periods, we may have a higher concentration of assets in certain strategies. To the extent that this is the case, underperformance, changes in investment personnel or other changes in these strategies may result in a withdrawal of assets. If a significant amount of clients withdraw from these strategies for any reason, our revenues would decline and our operating results would be adversely affected.</w:t>
      </w:r>
    </w:p>
    <w:p>
      <w:pPr>
        <w:spacing w:after="0" w:line="130" w:lineRule="exact"/>
        <w:rPr>
          <w:sz w:val="20"/>
          <w:szCs w:val="20"/>
          <w:color w:val="auto"/>
        </w:rPr>
      </w:pPr>
    </w:p>
    <w:p>
      <w:pPr>
        <w:ind w:right="2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Our investment style in our Asset Management business, including the mix of asset classes and investment strategies comprising our AUM, may underperform other investment approaches, which may result in significant client or asset departures, or a reduction in AUM.</w:t>
      </w:r>
    </w:p>
    <w:p>
      <w:pPr>
        <w:spacing w:after="0" w:line="11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Even when securities prices are rising generally, performance can be affected by investment style and mix of asset classes. For example, many of the equity investment strategies in our Asset Management business share a common investment orientation towards relative value investing. We believe this style tends to outperform the market in some market environments and underperform it in others. In particular, a prolonged growth environment may cause some of our investment strategies to go out of favor with some clients, advisors, consultants or third-party intermediaries. In addition, all of our investment strategies are actively managed strategies which seek to outperform relative to a benchmark or generate an absolute return. Trends toward passively managed investment strategies may adversely affect demand for our strategies or result in fee pressure on our business overall. In combination with poor performance relative to peers, changes in personnel, extensive periods in particular market environments or other difficulties, the underperformance of our investment style may result in significant client or asset departures or a reduction in AUM.</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4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Because many of our Asset Management clients can remove the assets we manage on short notice, we may experience unexpected declines in revenue and profitability.</w:t>
      </w:r>
    </w:p>
    <w:p>
      <w:pPr>
        <w:spacing w:after="0" w:line="11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departures from or changes to the teams that manage our investment products, or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39"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Investment Advisers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137" w:lineRule="exact"/>
        <w:rPr>
          <w:sz w:val="20"/>
          <w:szCs w:val="20"/>
          <w:color w:val="auto"/>
        </w:rPr>
      </w:pPr>
    </w:p>
    <w:p>
      <w:pPr>
        <w:ind w:right="12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129" w:lineRule="exact"/>
        <w:rPr>
          <w:sz w:val="20"/>
          <w:szCs w:val="20"/>
          <w:color w:val="auto"/>
        </w:rPr>
      </w:pPr>
    </w:p>
    <w:p>
      <w:pPr>
        <w:ind w:right="320" w:firstLine="456"/>
        <w:spacing w:after="0" w:line="255" w:lineRule="auto"/>
        <w:rPr>
          <w:sz w:val="20"/>
          <w:szCs w:val="20"/>
          <w:color w:val="auto"/>
        </w:rPr>
      </w:pPr>
      <w:r>
        <w:rPr>
          <w:rFonts w:ascii="Times New Roman" w:cs="Times New Roman" w:eastAsia="Times New Roman" w:hAnsi="Times New Roman"/>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results of operations may be affected by fluctuations in the fair value of positions held in our investment portfolios.</w:t>
      </w:r>
    </w:p>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invest capital in various types of equity and debt securities in order to seed LAM equity, debt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an effective hedge may not be available, and if available, may not be fully effective. These investments are adjusted for accounting purposes to fair value at the end of each quarter regardless of our intended holding period, with any related gains or losses reflected in our results of operations, and therefore may increase the volatility of our earnings, even though such gains or losses may not be realized.</w:t>
      </w:r>
    </w:p>
    <w:p>
      <w:pPr>
        <w:spacing w:after="0" w:line="137" w:lineRule="exact"/>
        <w:rPr>
          <w:sz w:val="20"/>
          <w:szCs w:val="20"/>
          <w:color w:val="auto"/>
        </w:rPr>
      </w:pPr>
    </w:p>
    <w:p>
      <w:pPr>
        <w:jc w:val="both"/>
        <w:ind w:right="2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We have investments, primarily through our private equity businesses, in relatively high-risk, illiquid assets, and we may lose some or all of the principal amount of these investments or fail to realize any profits from these investments for a considerable period of time.</w:t>
      </w:r>
    </w:p>
    <w:p>
      <w:pPr>
        <w:spacing w:after="0" w:line="118"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We have made, and in the future may make, principal investments in public or private companies or in alternative investments (including private equity funds) established by us, and we continue to hold principal investments directly or through funds managed by certain affiliates of Lazard, including Edgewater and Lazard Australia, as well as third parties. Making principal investments is risky, and we may lose some or all of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any related gains or losses would affect our results of operations, even though such fair value fluctuations may have no cash impact, which could increase the volatility of our earnings.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38"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Our revenue from our private equity business is derived primarily from management fees, which are calculated as a percentage of committed capital or invested capital depending on the stage of each respective fund. Transaction and advisory fees are also earned. Incentive fees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financial services industry, and all of the businesses in which we compete, are intensely competitive.</w:t>
      </w:r>
    </w:p>
    <w:p>
      <w:pPr>
        <w:spacing w:after="0" w:line="173"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financial services industry is intensely competitive, and we expect it to remain so. We compete on the basis of a number of factors, including the quality of our advice, employees and transaction execution, our products and services, innovation, reputation and price.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number of factors increase the competitive risks of our Financial Advisory and Asset Management businesses:</w:t>
      </w:r>
    </w:p>
    <w:p>
      <w:pPr>
        <w:spacing w:after="0" w:line="90" w:lineRule="exact"/>
        <w:rPr>
          <w:sz w:val="20"/>
          <w:szCs w:val="20"/>
          <w:color w:val="auto"/>
        </w:rPr>
      </w:pPr>
    </w:p>
    <w:p>
      <w:pPr>
        <w:ind w:left="900" w:right="140" w:hanging="325"/>
        <w:spacing w:after="0" w:line="26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relatively few barriers to entry impeding the launch of new asset management and financial advisory firms, including a relatively low cost of entering these businesses, and the successful efforts of new entrants into our lines of business, including major banks and other financial institutions, have resulted in increased competition;</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industry participants will from time to time seek to recruit our employees away from us in order to compete in our lines of business;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Financial Advisory practices and Asset Management products are newly established and relatively small.</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also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financial crisis that began in mid-2007 and, as a result, a number of financial services companies have merged, been acquired or have fundamentally changed their respective business models. Many of these firms have the ability to offer a wide range of products, from loans, deposit-taking and insurance to brokerage, asset management and investment banking services, which may enhance their competitive position. They may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Competitive pressure could adversely affect our ability to attract new or retain existing clients, make successful investments, retain our personnel or maintain AUM, any of which would adversely affect our revenue and earnings.</w:t>
      </w:r>
    </w:p>
    <w:p>
      <w:pPr>
        <w:spacing w:after="0" w:line="118" w:lineRule="exact"/>
        <w:rPr>
          <w:sz w:val="20"/>
          <w:szCs w:val="20"/>
          <w:color w:val="auto"/>
        </w:rPr>
      </w:pPr>
    </w:p>
    <w:p>
      <w:pPr>
        <w:ind w:right="5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118"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As of December 31, 2014, Lazard Group and its subsidiaries had approximately $1.1 billion in debt (including capital lease obligations) outstanding, of which $548 million and $500 million relate to Lazard Group senior notes that mature in 2017 and 2020, respectively. This debt has certain mandated payment obligations, which may constrain our ability to operate our business. If we decide to redeem or retire this debt before maturity, we may be required to pay a significant premium to do so, which may adversely impact our earnings and affect our financial position.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w:t>
      </w:r>
    </w:p>
    <w:p>
      <w:pPr>
        <w:spacing w:after="0" w:line="14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During February 2015, Lazard Group completed an offering of $400 million aggregate principal amount of 3.75% senior notes due 2025 (the “2025 Notes”). Lazard Group also issued a notice to redeem $450 million of Lazard Group’s 6.85% senior notes due June 15, 2017 (the “Existing 2017 Notes”). Lazard Group intends to use the net proceeds of the 2025 Notes, together with cash on hand, to redeem or otherwise retire $450 million of the Existing 2017 Notes. Lazard Group estimates that it will incur a loss on debt extinguishment in connection with the redemption of such Existing 2017 Notes of approximately $61 million, net of tax. See “Management’s Discussion and Analysis of Financial Condition and Results of Operations.”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underwriting and trading activities may expose us to risk.</w:t>
      </w:r>
    </w:p>
    <w:p>
      <w:pPr>
        <w:spacing w:after="0" w:line="17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2014, we took steps that have enabled us to act as an underwriter in public offerings and other distributions of securities in order to buttress our Financial Advisory business. If we act as an underwriter,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Operational risk in connection with any offering we underwrite could arise in the form of errors, deficiencies or noncompliance and also could expose us to risk. In addition, through indemnification provisions in our agreement with our clearing organization, customer trading and other activities may expose us to off-balance sheet credit risk. Securities may have to be purchased or sold at prevailing market prices in the event a customer fails to settle a trade on its original terms. We seek to manage the risks associated with underwriting and customer trading activities through screening, internal review and trading procedures and processes, but such procedures and processes may not be effective in all cases.</w:t>
      </w:r>
    </w:p>
    <w:p>
      <w:pPr>
        <w:spacing w:after="0" w:line="139" w:lineRule="exact"/>
        <w:rPr>
          <w:sz w:val="20"/>
          <w:szCs w:val="20"/>
          <w:color w:val="auto"/>
        </w:rPr>
      </w:pPr>
    </w:p>
    <w:p>
      <w:pPr>
        <w:ind w:right="6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We may pursue acquisitions, joint ventures, cooperation agreements or other growth or geographic expansion strategies that may result in additional risks and uncertainties in our business and could present unforeseen integration obstacles or costs.</w:t>
      </w:r>
    </w:p>
    <w:p>
      <w:pPr>
        <w:spacing w:after="0" w:line="118"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We routinely assess our strategic position and may in the future seek acquisitions or other transactions or growth strategies to further enhance our competitive position. We have in the past pursued joint ventures and other transactions aimed at expanding the geography and scope of our operations. For example, during 2007, we acquired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all of the outstanding ownership interests of GAHL and CWC, we entered into a joint cooperation agreement with Raiffeisen and we entered into a shareholders agreement to acquire a 50% interest in MBA. During 2009, we established a private equity business with Edgewater and entered into a strategic alliance with a financial advisory firm in Mexico. During 2011, we added a global real estate investment team. During 2012, we integrated our Brazilian operations based in São Paulo. During 2014, we acquired certain convertible securities sales and trading assets and we opened an asset management office in Dubai. We expect to continue to explore acquisitions, growth strategies and partnership or strategic alliance opportunities that we believe to be attractive.</w:t>
      </w:r>
    </w:p>
    <w:p>
      <w:pPr>
        <w:spacing w:after="0" w:line="139" w:lineRule="exact"/>
        <w:rPr>
          <w:sz w:val="20"/>
          <w:szCs w:val="20"/>
          <w:color w:val="auto"/>
        </w:rPr>
      </w:pPr>
    </w:p>
    <w:p>
      <w:pPr>
        <w:ind w:right="580" w:firstLine="456"/>
        <w:spacing w:after="0" w:line="262" w:lineRule="auto"/>
        <w:rPr>
          <w:sz w:val="20"/>
          <w:szCs w:val="20"/>
          <w:color w:val="auto"/>
        </w:rPr>
      </w:pPr>
      <w:r>
        <w:rPr>
          <w:rFonts w:ascii="Times New Roman" w:cs="Times New Roman" w:eastAsia="Times New Roman" w:hAnsi="Times New Roman"/>
          <w:sz w:val="18"/>
          <w:szCs w:val="18"/>
          <w:color w:val="auto"/>
        </w:rPr>
        <w:t>Acquisitions, growth strategies and joint ventures involve a number of risks and present financial, managerial and operational challenges, including potential disruption of our ongoing business and distraction of management, difficulty with integrating personnel and financial and other systems, hiring additional management and other critical personnel and increasing the scope, geographic diversity and complexity of our operations.</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To the extent that we pursue business opportunities outside of the United States, including through acquisitions, joint ventures or other geographic expansion of our existing businesses, we may become subject to political, economic, legal, operational, regulatory and other risks that are inherent in operating in a foreign country, including risks of potential price, capital and currency exchange controls, licensing requirements and other regulatory restrictions, as well as the risk of hostile actions against or affecting our business or people. Our ability to remain in compliance with local laws in a particular foreign jurisdiction could adversely affect our businesses and our reputation.</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addition, our clients may react unfavorably to our acquisition, growth and joint venture strategies, we may not realize any anticipated benefits from such strategies, we may be exposed to additional liabilities of any acquired business or joint venture, we may be exposed to litigation in connection with an acquisition or joint venture transaction, and we may not be able to renew on similar terms (or at all) previously successful joint ventures or similar arrangements, any of which could materially adversely affect our revenue and results of operations.</w:t>
      </w:r>
    </w:p>
    <w:p>
      <w:pPr>
        <w:spacing w:after="0" w:line="134" w:lineRule="exact"/>
        <w:rPr>
          <w:sz w:val="20"/>
          <w:szCs w:val="20"/>
          <w:color w:val="auto"/>
        </w:rPr>
      </w:pPr>
    </w:p>
    <w:p>
      <w:pPr>
        <w:ind w:right="1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118"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serious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adversely affect our reputation, impair our ability to attract and retain Financial Advisory clients and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11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recent years, the U.S. Department of Justice and the SEC have also devoted greater resources to the enforcement of the Foreign Corrupt Practices Act. In addition, the United Kingdom and other jurisdictions have expanded the reach of their anti-bribery laws. While we have developed and implemented policies and procedures designed to ensure compliance with anti-bribery and other laws, such policies and procedures may not be effective in all instances to prevent violations. Any determination that we have violated these laws could subject us to, among other things, civil and criminal penalties, material fines, profit disgorgement, injunction against future conduct, securities litigation and reputational damage, any one of which could adversely affect our business, financial position and results of operations.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The financial services industry faces substantial litigation and regulatory risks, and we may face damage to our professional reputation and legal liability if our services are not regarded as satisfactory or if conflicts of interest should arise.</w:t>
      </w:r>
    </w:p>
    <w:p>
      <w:pPr>
        <w:spacing w:after="0" w:line="118"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 Our role as advisor to our sovereign and government clients in particular may occasionally result in increased publicity of our involvement with, and our advice to, such clients.</w:t>
      </w:r>
    </w:p>
    <w:p>
      <w:pPr>
        <w:spacing w:after="0" w:line="139"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In recent years, the volume of claims and amount of damages claimed in litigation and regulatory proceedings against financial advisors has been increasing. The activities of our Financial Advisory business may subject us to the risk of significant legal actions by our clients and third parties, including our clients’ stockholders, under securities or other laws for allegations relating to materially false or misleading statements made in connection with securities and other transactions and potential liability for the fairness opinions and other advice provided to participants in corporate transactions. In our Asset Management business, we make investment decisions on behalf of our clients which could result in substantial losses. This also may subject us to the risk of legal actions alleging negligence, misconduct, breach of fiduciary duty or breach of contract.</w:t>
      </w:r>
    </w:p>
    <w:p>
      <w:pPr>
        <w:spacing w:after="0" w:line="13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We increasingly confront actual and potential conflicts of interest relating to our Financial Advisory business, as well as to the fact that we have both a Financial Advisory business and an Asset Management business. It is possible that actual, potential or perceived conflicts of interest could give rise to client dissatisfaction, litigation or regulatory enforcement actions. Appropriately identifying and managing actual or perceived conflicts of interest is complex and difficult, and our reputation could be damaged if we fail, or appear to fail, to deal appropriately with one or more potential or actual conflicts of interest. We have adopted various policies, controls and procedures to address or limit actual or perceived conflicts of interest. However, these policies, controls and procedures may not be adhered to by our employees or be effective in reducing the applicable risks. Any failure of, or failure to adhere to, these policies, controls and procedures may result in regulatory sanctions or client litigation.</w:t>
      </w:r>
    </w:p>
    <w:p>
      <w:pPr>
        <w:spacing w:after="0" w:line="14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Financial Advisory engagements typically include broad indemnities from our clients and provisions designed to limit our exposure to legal claims relating to our services, but these provisions may not protect us or may not be available or adhered to in all cases. We also are subject to claims arising from disputes with employees for alleged wrongful termination, discrimination or harassment, among other things. These risks often may be difficult to assess or quantify, and their existence and magnitude often remain unknown for substantial periods of time. As a result, we may incur significant legal expenses in defending against litigation. Substantial legal liability or significant regulatory action against us could materially adversely affect our business, financial condition or results of operations or cause significant reputational harm to us, which could seriously harm our business.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operational risks may disrupt our businesses, result in regulatory action against us or limit our growth.</w:t>
      </w:r>
    </w:p>
    <w:p>
      <w:pPr>
        <w:spacing w:after="0" w:line="173"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Our business is highly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business. Although back-up systems are in place, our back-up procedures and capabilities in the event of a failure or interruption may not be adequate.</w:t>
      </w:r>
    </w:p>
    <w:p>
      <w:pPr>
        <w:spacing w:after="0" w:line="97"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Particularly in our Asset Management business, we rely heavily on our financial, accounting, trading, compliance and other data processing systems, and those of our third party vendors or service providers who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 In addition, errors resulting from these issues or from human error when conducting a trade or other transaction could expose us to significant risk.</w:t>
      </w:r>
    </w:p>
    <w:p>
      <w:pPr>
        <w:spacing w:after="0" w:line="10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3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For additional information regarding operational risks with respect to our businesses, see “Management’s Discussion and Analysis of Financial Condition and Results of Operations—Operational Risk” below.</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Asset Management business relies on non-affiliated third-party service providers.</w:t>
      </w:r>
    </w:p>
    <w:p>
      <w:pPr>
        <w:spacing w:after="0" w:line="17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Asset Management business has entered into service agreements with third-party service providers for client order management and the execution and settlement of client securities transactions. This business faces the risk of operational failure of any of our clearing agents, the exchanges, clearing houses or other intermediaries we use to facilitate our securities transactions. We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137" w:lineRule="exact"/>
        <w:rPr>
          <w:sz w:val="20"/>
          <w:szCs w:val="20"/>
          <w:color w:val="auto"/>
        </w:rPr>
      </w:pPr>
    </w:p>
    <w:p>
      <w:pPr>
        <w:ind w:right="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11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41"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3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U.S. and other governments and institutions have taken actions, and may continue to take further actions, in response to disruption and volatility in the global financial markets. Such further actions could include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bringing sweeping changes in the regulation of financial institutions. It will take several years for all of the rules under the Dodd-Frank Act to be written and become effective, and the final scope and interpretations of those rules, and their impact on our business, will not be fully known for some time, but could have implications for the manner in which we conduct our business and, consequently, its profitability. While we continue to examine the potential impact of the Dodd-Frank Act and related regulations, as well as new regulations that may become applicable to us in the U.S. and in the European Union (see “Business—Regulation”), we are not able to predict the ultimate effect on us. In addition, several states and municipalities in the United States have adopted “pay-to-play” rules, which could limit our ability to charge fees in connection with certain of our Private Fund Advisory engagements, and could therefore affect the profitability of that portion of our business.</w:t>
      </w:r>
    </w:p>
    <w:p>
      <w:pPr>
        <w:spacing w:after="0" w:line="143"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private equity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39"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6"/>
          <w:szCs w:val="16"/>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has been reexamined by different regulatory bodies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2014, our Asset Management business obtained research and other services through third-party soft dollar arrangements, the total cost of which we estimate to be approximately $23 million. If the use of soft dollars were to be limited, we would have to bear some of these costs. In addition, new regulations regarding the management of hedge funds and the use of certain investment products may impact our Asset Management business and result in increased costs. For example, many regulators around the world adopted disclosure and reporting requirements relating to the hedge fund businesses or other businesses, and changes to the laws, rules and regulations in the U.S. related to the over-the-counter swaps and derivatives markets require additional registration, recordkeeping and reporting obligations. Legislators and regulators around the world continue to explore changes to, and additional oversight of, the financial industry generally. The impact of the potential changes on us are uncertain and may result in an increase in costs or a reduction of revenue associated with our businesses.</w:t>
      </w: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“Business—Regulation” for a further discussion of the regulatory environment in which we conduct our businesses.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Fluctuations in foreign currency exchange rates could reduce our members’ equity and net income or negatively impact the portfolios of our Asset Management clients and may affect the levels of our AUM.</w:t>
      </w:r>
    </w:p>
    <w:p>
      <w:pPr>
        <w:spacing w:after="0" w:line="118"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We are exposed to fluctuations in foreign currencies. Our financial statements are denominated in U.S. Dollars and, for the year ended December 31, 2014, we received approximately 43% of our consolidated net revenue in other currencies, predominantly in euros and British pounds. In addition, we pay a significant amount of our expenses in such other currencies. The exchange rates of these currencies versus the U.S. Dollar affects the carrying value of our assets and liabilities as well as our revenues, expenses and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08"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Fluctuations in foreign currency exchange rates also can impact the portfolios of our Asset Management clients. Client portfolios are invested in securities across the globe, although most portfolios are funded in a single base currency. Foreign currency exchange rate fluctuations can adversely impact investment performance for a client’s portfolio and also may affect the levels of our AUM. As our AUM include significant assets that are denominated in currencies other than U.S. dollars, an increase in the value of the U.S. Dollar relative to non-U.S. currencies, with all other factors held constant, generally would result in a decrease in the dollar value of our AUM, which, in turn, would result in lower U.S. Dollar-denominated revenue in our Asset Management business. As of December 31, 2014. AUM with foreign currency exposure represented approximately 73% of our total AUM.</w:t>
      </w:r>
    </w:p>
    <w:p>
      <w:pPr>
        <w:spacing w:after="0" w:line="13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See Note 13 of Notes to Consolidated Financial Statements for additional information regarding the impact on members’ equity from currency translation adjustments and Note 2 of Notes to Consolidated Financial Statements for additional information regarding the impact on operating results from currency transaction adjustments.</w:t>
      </w:r>
    </w:p>
    <w:p>
      <w:pPr>
        <w:spacing w:after="0" w:line="130" w:lineRule="exact"/>
        <w:rPr>
          <w:sz w:val="20"/>
          <w:szCs w:val="20"/>
          <w:color w:val="auto"/>
        </w:rPr>
      </w:pPr>
    </w:p>
    <w:p>
      <w:pPr>
        <w:ind w:right="3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118"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Lazard Group depends on its subsidiaries, which conduct the operations of its businesses, for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obligations of Lazard Group’s subsidiaries, regulatory requirements with respect to our broker-dealer and other regulated subsidiaries, foreign exchange controls and a variety of other factors may impede our subsidiaries’ ability to provide Lazard Group with sufficient dividends, distributions or loans to fund its financial obligations, when due.</w:t>
      </w:r>
    </w:p>
    <w:p>
      <w:pPr>
        <w:spacing w:after="0" w:line="111" w:lineRule="exact"/>
        <w:rPr>
          <w:sz w:val="20"/>
          <w:szCs w:val="20"/>
          <w:color w:val="auto"/>
        </w:rPr>
      </w:pPr>
    </w:p>
    <w:p>
      <w:pPr>
        <w:ind w:right="1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Tax authorities may challenge our tax computations and classifications, our transfer pricing methods, and our application of related policies and methods.</w:t>
      </w:r>
    </w:p>
    <w:p>
      <w:pPr>
        <w:spacing w:after="0" w:line="118"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a tax authority may disagree with all, or a portion, of the tax benefits claimed. If a tax authority were to successfully challenge our positions, it could result in significant additional tax costs.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Outcome of future U.S. tax legislation is unknown at the present time.</w:t>
      </w:r>
    </w:p>
    <w:p>
      <w:pPr>
        <w:spacing w:after="0" w:line="173" w:lineRule="exact"/>
        <w:rPr>
          <w:sz w:val="20"/>
          <w:szCs w:val="20"/>
          <w:color w:val="auto"/>
        </w:rPr>
      </w:pPr>
    </w:p>
    <w:p>
      <w:pPr>
        <w:jc w:val="both"/>
        <w:ind w:right="360" w:firstLine="456"/>
        <w:spacing w:after="0" w:line="262" w:lineRule="auto"/>
        <w:rPr>
          <w:sz w:val="20"/>
          <w:szCs w:val="20"/>
          <w:color w:val="auto"/>
        </w:rPr>
      </w:pPr>
      <w:r>
        <w:rPr>
          <w:rFonts w:ascii="Times New Roman" w:cs="Times New Roman" w:eastAsia="Times New Roman" w:hAnsi="Times New Roman"/>
          <w:sz w:val="18"/>
          <w:szCs w:val="18"/>
          <w:color w:val="auto"/>
        </w:rPr>
        <w:t>On February 2, 2015, the Executive Branch submitted its 2016 budget proposals to Congress. The 2016 budget submission included several items that could generate additional tax revenue, including proposals to limit the deduction of certain related party interest and interest attributable to certain classes of foreign source income.</w:t>
      </w:r>
    </w:p>
    <w:p>
      <w:pPr>
        <w:spacing w:after="0" w:line="13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are currently unable to predict the ultimate outcome of any of these actual or potential proposals. If they are enacted, however, some of these proposals may increase Lazard’s effective tax rate during future periods.</w:t>
      </w:r>
    </w:p>
    <w:p>
      <w:pPr>
        <w:spacing w:after="0" w:line="118" w:lineRule="exact"/>
        <w:rPr>
          <w:sz w:val="20"/>
          <w:szCs w:val="20"/>
          <w:color w:val="auto"/>
        </w:rPr>
      </w:pPr>
    </w:p>
    <w:p>
      <w:pPr>
        <w:ind w:right="36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Failure to maintain effective internal controls in accordance with Section 404 of the Sarbanes-Oxley Act could materially adversely affect our business.</w:t>
      </w:r>
    </w:p>
    <w:p>
      <w:pPr>
        <w:spacing w:after="0" w:line="11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2014.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materially adversely affect our business.</w:t>
      </w:r>
    </w:p>
    <w:p>
      <w:pPr>
        <w:spacing w:after="0" w:line="137" w:lineRule="exact"/>
        <w:rPr>
          <w:sz w:val="20"/>
          <w:szCs w:val="20"/>
          <w:color w:val="auto"/>
        </w:rPr>
      </w:pPr>
    </w:p>
    <w:p>
      <w:pPr>
        <w:ind w:right="260" w:firstLine="456"/>
        <w:spacing w:after="0" w:line="342" w:lineRule="auto"/>
        <w:rPr>
          <w:sz w:val="20"/>
          <w:szCs w:val="20"/>
          <w:color w:val="auto"/>
        </w:rPr>
      </w:pPr>
      <w:r>
        <w:rPr>
          <w:rFonts w:ascii="Times New Roman" w:cs="Times New Roman" w:eastAsia="Times New Roman" w:hAnsi="Times New Roman"/>
          <w:sz w:val="16"/>
          <w:szCs w:val="16"/>
          <w:b w:val="1"/>
          <w:bCs w:val="1"/>
          <w:color w:val="auto"/>
        </w:rPr>
        <w:t>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w:t>
      </w:r>
    </w:p>
    <w:p>
      <w:pPr>
        <w:spacing w:after="0" w:line="72" w:lineRule="exact"/>
        <w:rPr>
          <w:sz w:val="20"/>
          <w:szCs w:val="20"/>
          <w:color w:val="auto"/>
        </w:rPr>
      </w:pPr>
    </w:p>
    <w:p>
      <w:pPr>
        <w:ind w:right="40" w:firstLine="456"/>
        <w:spacing w:after="0" w:line="287" w:lineRule="auto"/>
        <w:rPr>
          <w:sz w:val="20"/>
          <w:szCs w:val="20"/>
          <w:color w:val="auto"/>
        </w:rPr>
      </w:pPr>
      <w:r>
        <w:rPr>
          <w:rFonts w:ascii="Times New Roman" w:cs="Times New Roman" w:eastAsia="Times New Roman" w:hAnsi="Times New Roman"/>
          <w:sz w:val="16"/>
          <w:szCs w:val="16"/>
          <w:color w:val="auto"/>
        </w:rPr>
        <w:t>Our operations rely on the secure processing, storage and transmission of confidential and other information involving our computer systems, hardware, software and networks, which we refer to as information systems, and involving the information systems of third parties with which we do business. Such information systems may be subject to unauthorized access, computer viruses or other malicious code or other events that could have a security impact and there can be no assurance that we will not suffer material losses relating to cyber attacks on, or other security breaches involving, our information systems, despite taking protective measures to prevent such breaches. The increased use of mobile technologies can heighten these and other operational risks. If a successful cyber attack or other security breach were to occur, our confidential or proprietary information, or the confidential or proprietary information of our clients or their counterparties, that is stored in, or transmitted through, such information systems could be compromised or misappropriated. Any such cyber attack or other security breach, or any disruption of or failure in the physical or logical infrastructure or operating systems that support such information systems or our businesses, could significantly impact our ability to operate our businesses and could result in reputational damage, legal liability, the loss of clients or business opportunities and financial losses that are either not insured against or not fully covered through any insurance maintained by us. As cyber threats continue to evolve, we may also be required to expend additional resources on information security and compliance costs in order to continue to modify or enhance our protective measures or to investigate and remediate any information security vulnerabilities or other exposures.</w:t>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may have potential conflicts of interest with LMDC Holdings.</w:t>
      </w:r>
    </w:p>
    <w:p>
      <w:pPr>
        <w:spacing w:after="0" w:line="173"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Certain managing directors of Lazard (including our executive officers) have ownership interests in LMDC Holdings. Conflicts of interest may arise between LMDC Holdings and us. We may not be able to resolve any potential conflicts and, even if we do, the resolution may be less favorable to us than if we were dealing with a different party.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the numerous risks and uncertainties outlined in “Risk Factors,” including the following:</w:t>
      </w:r>
    </w:p>
    <w:p>
      <w:pPr>
        <w:spacing w:after="0" w:line="62"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or global or regional financial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revenues, for example due to a decline in overall M&amp;A activity, our share of the M&amp;A market or our AUM;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caused by financial or other problems experienced by third parties;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unidentified or unanticipated risks;</w:t>
      </w:r>
    </w:p>
    <w:p>
      <w:pPr>
        <w:spacing w:after="0" w:line="8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lack of liquidity,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ready access to funds, for use in our businesses; and</w:t>
      </w:r>
    </w:p>
    <w:p>
      <w:pPr>
        <w:spacing w:after="0" w:line="9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These risks and uncertainties are not exhaustive. Other sections of this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03" w:lineRule="exact"/>
        <w:rPr>
          <w:sz w:val="20"/>
          <w:szCs w:val="20"/>
          <w:color w:val="auto"/>
        </w:rPr>
      </w:pPr>
    </w:p>
    <w:p>
      <w:pPr>
        <w:ind w:right="240" w:firstLine="456"/>
        <w:spacing w:after="0" w:line="301" w:lineRule="auto"/>
        <w:rPr>
          <w:sz w:val="20"/>
          <w:szCs w:val="20"/>
          <w:color w:val="auto"/>
        </w:rPr>
      </w:pPr>
      <w:r>
        <w:rPr>
          <w:rFonts w:ascii="Times New Roman" w:cs="Times New Roman" w:eastAsia="Times New Roman" w:hAnsi="Times New Roman"/>
          <w:sz w:val="16"/>
          <w:szCs w:val="16"/>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financial goals, including the ratio of awarded compensation and benefits expense to operating revenue;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ability to deploy surplus cash through dividends, share repurchases and debt repurchases;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possible or assumed future results of operations and operating cash flows;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strategies and investment policies;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financing plans and the availability of short-term borrowing;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competitive position;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including the consideration to be paid and the timing of consummation;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opportunities available to our businesses;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our managing directors and employees;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levels of compensation expense and non-compensation expense;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potential operating performance, achievements, productivity improvements, efficiency and cost reduction efforts;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success and impact of litigation;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tax rates, including effective tax rates;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and tax rates;</w:t>
      </w:r>
    </w:p>
    <w:p>
      <w:pPr>
        <w:spacing w:after="0" w:line="90" w:lineRule="exact"/>
        <w:rPr>
          <w:rFonts w:ascii="Times New Roman" w:cs="Times New Roman" w:eastAsia="Times New Roman" w:hAnsi="Times New Roman"/>
          <w:sz w:val="18"/>
          <w:szCs w:val="18"/>
          <w:color w:val="auto"/>
        </w:rPr>
      </w:pPr>
    </w:p>
    <w:p>
      <w:pPr>
        <w:ind w:left="900" w:right="520" w:hanging="325"/>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competition on our business;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future legislation and regulation on our business.</w:t>
      </w:r>
    </w:p>
    <w:p>
      <w:pPr>
        <w:spacing w:after="0" w:line="17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LAM and its subsidiaries. Investors can link to Lazard Ltd, Lazard Group and their operating company websites through </w:t>
      </w:r>
      <w:r>
        <w:rPr>
          <w:rFonts w:ascii="Times New Roman" w:cs="Times New Roman" w:eastAsia="Times New Roman" w:hAnsi="Times New Roman"/>
          <w:sz w:val="18"/>
          <w:szCs w:val="18"/>
          <w:i w:val="1"/>
          <w:iCs w:val="1"/>
          <w:color w:val="auto"/>
        </w:rPr>
        <w:t>http://www.lazard.com</w:t>
      </w:r>
      <w:r>
        <w:rPr>
          <w:rFonts w:ascii="Times New Roman" w:cs="Times New Roman" w:eastAsia="Times New Roman" w:hAnsi="Times New Roman"/>
          <w:sz w:val="18"/>
          <w:szCs w:val="18"/>
          <w:color w:val="auto"/>
        </w:rPr>
        <w:t>. Our websites and the information contained therein or connected thereto shall not be deemed to be incorporated into this Form 10-K.</w:t>
      </w:r>
    </w:p>
    <w:p>
      <w:pPr>
        <w:spacing w:after="0" w:line="2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9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There are no unresolved written comments that were received from the SEC staff 180 days or more before December 31, 2014 relating to our periodic or current reports under the Exchange Act.</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92" w:lineRule="exact"/>
        <w:rPr>
          <w:sz w:val="20"/>
          <w:szCs w:val="20"/>
          <w:color w:val="auto"/>
        </w:rPr>
      </w:pPr>
    </w:p>
    <w:p>
      <w:pPr>
        <w:jc w:val="both"/>
        <w:ind w:right="80" w:firstLine="456"/>
        <w:spacing w:after="0" w:line="301" w:lineRule="auto"/>
        <w:rPr>
          <w:sz w:val="20"/>
          <w:szCs w:val="20"/>
          <w:color w:val="auto"/>
        </w:rPr>
      </w:pPr>
      <w:r>
        <w:rPr>
          <w:rFonts w:ascii="Times New Roman" w:cs="Times New Roman" w:eastAsia="Times New Roman" w:hAnsi="Times New Roman"/>
          <w:sz w:val="16"/>
          <w:szCs w:val="16"/>
          <w:color w:val="auto"/>
        </w:rPr>
        <w:t>The following table lists the properties used for the entire Lazard organization as of December 31, 2014. As a general matter, one or both of our Financial Advisory and Asset Management segments (as well as our Corporate segment) uses the following properties. We sublease 17,470 square feet principally relating to our lease in New York City to affiliates of LMDC Holdings. Additionally, our London and other offices sublease 71,207 and 7,071 square feet, respectively, to third parties. We remain fully liable for the subleased space to the extent that the subtenants fail to perform their obligations under the subleases for any reason.</w:t>
      </w:r>
    </w:p>
    <w:p>
      <w:pPr>
        <w:sectPr>
          <w:pgSz w:w="11900" w:h="16838" w:orient="portrait"/>
          <w:cols w:equalWidth="0" w:num="1">
            <w:col w:w="11400"/>
          </w:cols>
          <w:pgMar w:left="240" w:top="455" w:right="259" w:bottom="1440" w:gutter="0" w:footer="0" w:header="0"/>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top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rPr>
              <w:t>New York City</w:t>
            </w:r>
          </w:p>
        </w:tc>
        <w:tc>
          <w:tcPr>
            <w:tcW w:w="220" w:type="dxa"/>
            <w:vAlign w:val="bottom"/>
          </w:tcPr>
          <w:p>
            <w:pPr>
              <w:spacing w:after="0"/>
              <w:rPr>
                <w:sz w:val="17"/>
                <w:szCs w:val="17"/>
                <w:color w:val="auto"/>
              </w:rPr>
            </w:pPr>
          </w:p>
        </w:tc>
        <w:tc>
          <w:tcPr>
            <w:tcW w:w="218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413,375 square feet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leased space</w:t>
            </w:r>
          </w:p>
        </w:tc>
        <w:tc>
          <w:tcPr>
            <w:tcW w:w="0" w:type="dxa"/>
            <w:vAlign w:val="bottom"/>
          </w:tcPr>
          <w:p>
            <w:pPr>
              <w:spacing w:after="0"/>
              <w:rPr>
                <w:sz w:val="1"/>
                <w:szCs w:val="1"/>
                <w:color w:val="auto"/>
              </w:rPr>
            </w:pPr>
          </w:p>
        </w:tc>
      </w:tr>
      <w:tr>
        <w:trPr>
          <w:trHeight w:val="216"/>
        </w:trPr>
        <w:tc>
          <w:tcPr>
            <w:tcW w:w="3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North America</w:t>
            </w: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137,249 square feet of 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space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Paris</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151,310 square feet of 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leased space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London</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142,371 square feet of 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space</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Europe</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113,679 square feet of leased</w:t>
            </w:r>
          </w:p>
        </w:tc>
        <w:tc>
          <w:tcPr>
            <w:tcW w:w="0" w:type="dxa"/>
            <w:vAlign w:val="bottom"/>
          </w:tcPr>
          <w:p>
            <w:pPr>
              <w:spacing w:after="0"/>
              <w:rPr>
                <w:sz w:val="1"/>
                <w:szCs w:val="1"/>
                <w:color w:val="auto"/>
              </w:rPr>
            </w:pPr>
          </w:p>
        </w:tc>
      </w:tr>
      <w:tr>
        <w:trPr>
          <w:trHeight w:val="228"/>
        </w:trPr>
        <w:tc>
          <w:tcPr>
            <w:tcW w:w="31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Asia, Australia and</w:t>
            </w:r>
          </w:p>
        </w:tc>
        <w:tc>
          <w:tcPr>
            <w:tcW w:w="2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space</w:t>
            </w:r>
          </w:p>
        </w:tc>
        <w:tc>
          <w:tcPr>
            <w:tcW w:w="0" w:type="dxa"/>
            <w:vAlign w:val="bottom"/>
          </w:tcPr>
          <w:p>
            <w:pPr>
              <w:spacing w:after="0"/>
              <w:rPr>
                <w:sz w:val="1"/>
                <w:szCs w:val="1"/>
                <w:color w:val="auto"/>
              </w:rPr>
            </w:pPr>
          </w:p>
        </w:tc>
      </w:tr>
      <w:tr>
        <w:trPr>
          <w:trHeight w:val="204"/>
        </w:trPr>
        <w:tc>
          <w:tcPr>
            <w:tcW w:w="3100" w:type="dxa"/>
            <w:vAlign w:val="bottom"/>
            <w:gridSpan w:val="4"/>
            <w:vMerge w:val="continue"/>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84,576 square feet of leased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space</w:t>
            </w:r>
          </w:p>
        </w:tc>
        <w:tc>
          <w:tcPr>
            <w:tcW w:w="0" w:type="dxa"/>
            <w:vAlign w:val="bottom"/>
          </w:tcPr>
          <w:p>
            <w:pPr>
              <w:spacing w:after="0"/>
              <w:rPr>
                <w:sz w:val="1"/>
                <w:szCs w:val="1"/>
                <w:color w:val="auto"/>
              </w:rPr>
            </w:pPr>
          </w:p>
        </w:tc>
      </w:tr>
      <w:tr>
        <w:trPr>
          <w:trHeight w:val="50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Legal Proceedings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Offices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office located at 30 Rockefeller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7649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13" w:lineRule="exact"/>
        <w:rPr>
          <w:sz w:val="20"/>
          <w:szCs w:val="20"/>
          <w:color w:val="auto"/>
        </w:rPr>
      </w:pPr>
    </w:p>
    <w:p>
      <w:pPr>
        <w:ind w:right="60"/>
        <w:spacing w:after="0" w:line="400" w:lineRule="auto"/>
        <w:rPr>
          <w:sz w:val="20"/>
          <w:szCs w:val="20"/>
          <w:color w:val="auto"/>
        </w:rPr>
      </w:pPr>
      <w:r>
        <w:rPr>
          <w:rFonts w:ascii="Times New Roman" w:cs="Times New Roman" w:eastAsia="Times New Roman" w:hAnsi="Times New Roman"/>
          <w:sz w:val="18"/>
          <w:szCs w:val="18"/>
          <w:color w:val="auto"/>
        </w:rPr>
        <w:t>Boston, Charlotte, Chicago, Houston, Los Angeles, Minneapolis and San Francisco Principal office located at 121 Boulevard Haussmann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office located at 50 Stratton Street</w:t>
      </w:r>
    </w:p>
    <w:p>
      <w:pPr>
        <w:spacing w:after="0" w:line="225" w:lineRule="exact"/>
        <w:rPr>
          <w:sz w:val="20"/>
          <w:szCs w:val="20"/>
          <w:color w:val="auto"/>
        </w:rPr>
      </w:pPr>
    </w:p>
    <w:p>
      <w:pPr>
        <w:ind w:left="200" w:right="540" w:hanging="215"/>
        <w:spacing w:after="0" w:line="275" w:lineRule="auto"/>
        <w:rPr>
          <w:sz w:val="20"/>
          <w:szCs w:val="20"/>
          <w:color w:val="auto"/>
        </w:rPr>
      </w:pPr>
      <w:r>
        <w:rPr>
          <w:rFonts w:ascii="Times New Roman" w:cs="Times New Roman" w:eastAsia="Times New Roman" w:hAnsi="Times New Roman"/>
          <w:sz w:val="18"/>
          <w:szCs w:val="18"/>
          <w:color w:val="auto"/>
        </w:rPr>
        <w:t>Amsterdam, Bordeaux, Brussels, Frankfurt, Hamburg, Lyon, Madrid, Milan, Nantes, Stockholm and Zurich</w:t>
      </w:r>
    </w:p>
    <w:p>
      <w:pPr>
        <w:spacing w:after="0" w:line="309" w:lineRule="exact"/>
        <w:rPr>
          <w:sz w:val="20"/>
          <w:szCs w:val="20"/>
          <w:color w:val="auto"/>
        </w:rPr>
      </w:pPr>
    </w:p>
    <w:p>
      <w:pPr>
        <w:ind w:left="200" w:right="120" w:hanging="215"/>
        <w:spacing w:after="0" w:line="275" w:lineRule="auto"/>
        <w:rPr>
          <w:sz w:val="20"/>
          <w:szCs w:val="20"/>
          <w:color w:val="auto"/>
        </w:rPr>
      </w:pPr>
      <w:r>
        <w:rPr>
          <w:rFonts w:ascii="Times New Roman" w:cs="Times New Roman" w:eastAsia="Times New Roman" w:hAnsi="Times New Roman"/>
          <w:sz w:val="18"/>
          <w:szCs w:val="18"/>
          <w:color w:val="auto"/>
        </w:rPr>
        <w:t>Beijing, Dubai, Hong Kong, Melbourne, Mumbai, Perth, Riyadh, So Paulo, Seoul, Singapore, Sydney and Tokyo</w:t>
      </w:r>
    </w:p>
    <w:p>
      <w:pPr>
        <w:spacing w:after="0" w:line="552" w:lineRule="exact"/>
        <w:rPr>
          <w:sz w:val="20"/>
          <w:szCs w:val="20"/>
          <w:color w:val="auto"/>
        </w:rPr>
      </w:pPr>
    </w:p>
    <w:p>
      <w:pPr>
        <w:sectPr>
          <w:pgSz w:w="11900" w:h="16838" w:orient="portrait"/>
          <w:cols w:equalWidth="0" w:num="2">
            <w:col w:w="5280" w:space="220"/>
            <w:col w:w="5900"/>
          </w:cols>
          <w:pgMar w:left="240" w:top="455" w:right="259" w:bottom="1440" w:gutter="0" w:footer="0" w:header="0"/>
          <w:type w:val="continuous"/>
        </w:sect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5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 Equity Securities</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2014, all of our common membership interests are held by wholly-owned subsidiaries of Lazard Ltd. Our co-managing member interests are held by two indirect wholly-owned subsidiaries of Lazard Ltd and our profit participation interests are held by various managing directors. There are no public trading markets for any of these interests.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Subsequent to the equity public offering, pursuant to provisions of its amended and restated Operating Agreement, Lazard Group distributions in respect of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incur and, until May 2014, that the members of LAZ-MD Holdings incurred as a result of holding Lazard Group common membership interests. During the years ended December 31, 2014, 2013 and 2012, Lazard Group distributed approximately $0.2 million, $0.9 million and $5.2 million, respectively, to LAZ-MD Holdings and approximately $146.2 million, $121.6 million and $135.1 million, respectively, to the subsidiaries of Lazard Ltd, which latter amounts were used by Lazard Ltd to pay dividends to holders of its Class A common stock. In addition, during the years ended December 31, 2014 and 2013, Lazard Group made tax distributions of approximately $175.9 million and $3.0 million, respectively, including $1.6 million and $0.1 million, respectively, paid to LAZ-MD Holdings, and approximately $174.3 million and $2.9 million, respectively, paid to subsidiaries of Lazard Ltd (no tax distributions were made during the year ended December 31, 2012).</w:t>
      </w:r>
    </w:p>
    <w:p>
      <w:pPr>
        <w:spacing w:after="0" w:line="23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selected consolidated financial data for the Company for all years presented.</w:t>
      </w:r>
    </w:p>
    <w:p>
      <w:pPr>
        <w:spacing w:after="0" w:line="171"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The consolidated statements of financial condition and operations data as of and for each of the years in the five-year period ended December 31, 2014 have been derived from Lazard Group’s consolidated financial statements. The audited consolidated statements of financial condition as of December 31, 2014 and 2013 and audited consolidated statements of operations for each of the years in the three year period ended December 31, 2014 are included in this Form 10-K. The audited consolidated statements of financial condition as of December 31, 2012, 2011 and 2010, and the audited consolidated statements of operations for the years ended December 31, 2011 and 2010, are not included in this Form 10-K. Historical results are not necessarily indicative of results for any future period.</w:t>
      </w:r>
    </w:p>
    <w:p>
      <w:pPr>
        <w:spacing w:after="0" w:line="108"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As Of Or For The Year Ended December 31,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20" w:type="dxa"/>
            <w:vAlign w:val="bottom"/>
            <w:gridSpan w:val="5"/>
          </w:tcPr>
          <w:p>
            <w:pPr>
              <w:jc w:val="center"/>
              <w:ind w:right="4"/>
              <w:spacing w:after="0" w:line="155" w:lineRule="exact"/>
              <w:rPr>
                <w:sz w:val="20"/>
                <w:szCs w:val="20"/>
                <w:color w:val="auto"/>
              </w:rPr>
            </w:pPr>
            <w:r>
              <w:rPr>
                <w:rFonts w:ascii="Times New Roman" w:cs="Times New Roman" w:eastAsia="Times New Roman" w:hAnsi="Times New Roman"/>
                <w:sz w:val="14"/>
                <w:szCs w:val="14"/>
                <w:b w:val="1"/>
                <w:bCs w:val="1"/>
                <w:color w:val="auto"/>
                <w:w w:val="96"/>
              </w:rPr>
              <w:t>(dollars in thousands)</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Statements of Operations Data</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Revenue: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Financial Advisory (a)</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1,206,734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980,577</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1,049,090</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992,107</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1,119,867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Asset Management (b)</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1,134,595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1,039,130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896,260</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897,401</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849,662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Corporate (c)</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(40,593)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72"/>
              <w:spacing w:after="0" w:line="149" w:lineRule="exact"/>
              <w:rPr>
                <w:sz w:val="20"/>
                <w:szCs w:val="20"/>
                <w:color w:val="auto"/>
              </w:rPr>
            </w:pPr>
            <w:r>
              <w:rPr>
                <w:rFonts w:ascii="Times New Roman" w:cs="Times New Roman" w:eastAsia="Times New Roman" w:hAnsi="Times New Roman"/>
                <w:sz w:val="14"/>
                <w:szCs w:val="14"/>
                <w:color w:val="auto"/>
              </w:rPr>
              <w:t>(35,633)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(37,220)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(55,947)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(65,024)</w:t>
            </w:r>
          </w:p>
        </w:tc>
        <w:tc>
          <w:tcPr>
            <w:tcW w:w="0" w:type="dxa"/>
            <w:vAlign w:val="bottom"/>
          </w:tcPr>
          <w:p>
            <w:pPr>
              <w:spacing w:after="0"/>
              <w:rPr>
                <w:sz w:val="1"/>
                <w:szCs w:val="1"/>
                <w:color w:val="auto"/>
              </w:rPr>
            </w:pPr>
          </w:p>
        </w:tc>
      </w:tr>
      <w:tr>
        <w:trPr>
          <w:trHeight w:val="163"/>
        </w:trPr>
        <w:tc>
          <w:tcPr>
            <w:tcW w:w="63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Net Revenue</w:t>
            </w: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2,300,736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1,984,074</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1,908,130</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1,833,561</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1,904,505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Compensation and Benefits (d)</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1,313,550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1,278,479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1,351,076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1,168,909</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1,194,158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Operating Expenses (e)</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446,211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486,586</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435,461</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422,861</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463,538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1,759,761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1,765,065</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1,786,537</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1,591,770</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1,657,696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3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540,975</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219,009</w:t>
            </w:r>
          </w:p>
        </w:tc>
        <w:tc>
          <w:tcPr>
            <w:tcW w:w="3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121,593</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241,791</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246,809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463,160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186,767</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90,971</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214,383</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201,424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Net Income Attributable to Lazard Group</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gridSpan w:val="3"/>
            <w:vMerge w:val="continue"/>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457,004</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183,063</w:t>
            </w:r>
          </w:p>
        </w:tc>
        <w:tc>
          <w:tcPr>
            <w:tcW w:w="3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color w:val="auto"/>
              </w:rPr>
              <w:t>87,609</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color w:val="auto"/>
              </w:rPr>
              <w:t>210,705</w:t>
            </w:r>
          </w:p>
        </w:tc>
        <w:tc>
          <w:tcPr>
            <w:tcW w:w="1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194,544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00" w:type="dxa"/>
            <w:vAlign w:val="bottom"/>
          </w:tcPr>
          <w:p>
            <w:pPr>
              <w:spacing w:after="0"/>
              <w:rPr>
                <w:sz w:val="5"/>
                <w:szCs w:val="5"/>
                <w:color w:val="auto"/>
              </w:rPr>
            </w:pPr>
          </w:p>
        </w:tc>
        <w:tc>
          <w:tcPr>
            <w:tcW w:w="5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Statements of Financial Condition Data</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3,170,680</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3,093,988</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3,048,380</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3,037,453</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3,336,284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Debt (f)</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1,060,365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1,064,184</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1,094,713</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1,096,934</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1,249,753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Lazard Group Members’ Equity</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431,546</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469,472</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453,179</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614,344</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369,565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Members’ Equity</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494,139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536,126</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529,087</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718,267</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490,447</w:t>
            </w:r>
          </w:p>
        </w:tc>
        <w:tc>
          <w:tcPr>
            <w:tcW w:w="0" w:type="dxa"/>
            <w:vAlign w:val="bottom"/>
          </w:tcPr>
          <w:p>
            <w:pPr>
              <w:spacing w:after="0"/>
              <w:rPr>
                <w:sz w:val="1"/>
                <w:szCs w:val="1"/>
                <w:color w:val="auto"/>
              </w:rPr>
            </w:pPr>
          </w:p>
        </w:tc>
      </w:tr>
      <w:tr>
        <w:trPr>
          <w:trHeight w:val="230"/>
        </w:trPr>
        <w:tc>
          <w:tcPr>
            <w:tcW w:w="6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Assets Under Management: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As of December 31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7"/>
              </w:rPr>
              <w:t>197,103,000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186,924,000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167,060,000</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99"/>
              </w:rPr>
              <w:t>141,039,000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155,337,000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Average During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7"/>
              </w:rPr>
              <w:t>196,037,000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173,702,000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155,549,000</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152,072,000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137,381,000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Headcount, As of December 31</w:t>
            </w:r>
          </w:p>
        </w:tc>
        <w:tc>
          <w:tcPr>
            <w:tcW w:w="12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2,523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2,513</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2,511</w:t>
            </w: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2,332</w:t>
            </w:r>
          </w:p>
        </w:tc>
        <w:tc>
          <w:tcPr>
            <w:tcW w:w="0" w:type="dxa"/>
            <w:vAlign w:val="bottom"/>
          </w:tcPr>
          <w:p>
            <w:pPr>
              <w:spacing w:after="0"/>
              <w:rPr>
                <w:sz w:val="1"/>
                <w:szCs w:val="1"/>
                <w:color w:val="auto"/>
              </w:rPr>
            </w:pPr>
          </w:p>
        </w:tc>
      </w:tr>
      <w:tr>
        <w:trPr>
          <w:trHeight w:val="82"/>
        </w:trPr>
        <w:tc>
          <w:tcPr>
            <w:tcW w:w="620" w:type="dxa"/>
            <w:vAlign w:val="bottom"/>
            <w:tcBorders>
              <w:bottom w:val="single" w:sz="8" w:color="auto"/>
            </w:tcBorders>
            <w:gridSpan w:val="2"/>
          </w:tcPr>
          <w:p>
            <w:pPr>
              <w:spacing w:after="0"/>
              <w:rPr>
                <w:sz w:val="7"/>
                <w:szCs w:val="7"/>
                <w:color w:val="auto"/>
              </w:rPr>
            </w:pPr>
          </w:p>
        </w:tc>
        <w:tc>
          <w:tcPr>
            <w:tcW w:w="5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Notes (in thousands of dollars)</w:t>
            </w: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  Financial Advisory net revenue consists of the following:</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8"/>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For The Year Ended December 31,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8"/>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M&amp;A and Other Advisory</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1,010,830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768,790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792,928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700,539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714,059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Capital Raising</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81,143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78,916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73,403</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93,825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Strategic Advisory</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1,091,973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847,706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866,331</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794,364</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825,992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Restructuring</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114,761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132,871</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182,759</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197,743</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293,875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760" w:type="dxa"/>
            <w:vAlign w:val="bottom"/>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Financial Advisory Net Revenue</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1,206,734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980,577</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1,049,090</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992,107</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1,119,867</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(b)  Asset Management net revenue consists of the following: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For The Year Ended December 31,</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2" w:lineRule="exact"/>
              <w:rPr>
                <w:sz w:val="20"/>
                <w:szCs w:val="20"/>
                <w:color w:val="auto"/>
              </w:rPr>
            </w:pPr>
            <w:r>
              <w:rPr>
                <w:rFonts w:ascii="Times New Roman" w:cs="Times New Roman" w:eastAsia="Times New Roman" w:hAnsi="Times New Roman"/>
                <w:sz w:val="14"/>
                <w:szCs w:val="14"/>
                <w:color w:val="auto"/>
              </w:rPr>
              <w:t>Management Fees</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1,018,772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903,956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806,044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818,038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715,885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Incentive Fees</w:t>
            </w: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51,866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78,342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43,661</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26,245</w:t>
            </w: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63,957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56,832</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46,555</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53,118</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76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Asset Management Net Revenue</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1,134,595</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1,039,130</w:t>
            </w:r>
          </w:p>
        </w:tc>
        <w:tc>
          <w:tcPr>
            <w:tcW w:w="3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896,260</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897,401</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849,662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includes interest expense (net of interest income), investment income (losses) from certain investments and net revenue earned by LFB through its commercial banking operations.</w:t>
      </w:r>
    </w:p>
    <w:p>
      <w:pPr>
        <w:spacing w:after="0" w:line="1"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in 2013, charges of $51,399 relating to the acceleration of unrecognized amortization expense pertaining to previously granted deferred incentive compensation, severance and benefit payments and other compensation-related costs, all relating to the cost saving initiatives announced by the Company in October 2012, and $12,203 related to incentive compensation expense related to private equity transactions for which revenue may be recognized in the future (ii) in 2012, charges of $21,754 recorded in the first quarter pertaining to severance costs and benefit payments associated with staff reductions, including the acceleration of unrecognized amortization expense of deferred incentive compensation previously granted to individuals being terminated, and $99,987 recorded in the fourth quarter relating to the acceleration of unrecognized amortization expense pertaining to previously granted deferred incentive compensation, severance and benefit payments and other compensation-related costs relating to the cost saving initiatives announced by the Company in October 2012; and (iii) in 2010, charges of $24,860 relating to the acceleration of amortization expense pertaining to the amendment of Lazard’s retirement policy with respect to RSU awards.</w:t>
      </w:r>
    </w:p>
    <w:p>
      <w:pPr>
        <w:spacing w:after="0" w:line="2" w:lineRule="exact"/>
        <w:rPr>
          <w:rFonts w:ascii="Times New Roman" w:cs="Times New Roman" w:eastAsia="Times New Roman" w:hAnsi="Times New Roman"/>
          <w:sz w:val="14"/>
          <w:szCs w:val="14"/>
          <w:color w:val="auto"/>
        </w:rPr>
      </w:pPr>
    </w:p>
    <w:p>
      <w:pPr>
        <w:ind w:left="340" w:right="20" w:hanging="332"/>
        <w:spacing w:after="0" w:line="258" w:lineRule="auto"/>
        <w:tabs>
          <w:tab w:leader="none" w:pos="3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in 2013, non-compensation costs of $13,304 relating to the cost saving initiatives announced by the Company in October 2012 and $54,087 related to the refinancing of the 7.125% senior notes maturing on May 15, 2015; (ii) in 2012, non-compensation costs of $2,905 recorded in the first quarter associated with staff reductions and $2,589 recorded in the fourth quarter relating to the cost saving initiatives announced by the Company in October 2012; and (iii) in 2010, restructuring expense of $87,108 related to the restructuring plan announced in the first quarter of 2010.</w:t>
      </w:r>
    </w:p>
    <w:p>
      <w:pPr>
        <w:ind w:left="340" w:hanging="332"/>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amount reflected in the Company’s consolidated statements of financial condition relating to senior debt, capital lease obligations and subordinated debt.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0"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Lazard Group’s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sections entitled “Risk Factors” and “Special Note Regarding Forward-Looking Statements” and elsewhere in this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92"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36"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3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40" w:hanging="325"/>
        <w:spacing w:after="0" w:line="26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1" w:lineRule="exact"/>
        <w:rPr>
          <w:rFonts w:ascii="Times New Roman" w:cs="Times New Roman" w:eastAsia="Times New Roman" w:hAnsi="Times New Roman"/>
          <w:sz w:val="18"/>
          <w:szCs w:val="18"/>
          <w:color w:val="auto"/>
        </w:rPr>
      </w:pPr>
    </w:p>
    <w:p>
      <w:pPr>
        <w:jc w:val="both"/>
        <w:ind w:left="900" w:right="400" w:hanging="325"/>
        <w:spacing w:after="0" w:line="26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3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2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for other clients, investment banking activities, including participation in underwritten offerings of securities in France, and asset-liability management.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net revenue was derived from the following segments:</w:t>
      </w:r>
    </w:p>
    <w:p>
      <w:pPr>
        <w:spacing w:after="0" w:line="304"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Advisory</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4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vMerge w:val="continue"/>
          </w:tcPr>
          <w:p>
            <w:pPr>
              <w:spacing w:after="0"/>
              <w:rPr>
                <w:sz w:val="19"/>
                <w:szCs w:val="19"/>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spacing w:after="0" w:line="1" w:lineRule="exact"/>
        <w:rPr>
          <w:sz w:val="20"/>
          <w:szCs w:val="20"/>
          <w:color w:val="auto"/>
        </w:rPr>
      </w:pPr>
    </w:p>
    <w:p>
      <w:pPr>
        <w:ind w:right="60" w:firstLine="8"/>
        <w:spacing w:after="0" w:line="252" w:lineRule="auto"/>
        <w:tabs>
          <w:tab w:leader="none" w:pos="2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Edgewater Funds (“Edgewater”), our Chicago-based private equity firm (see Note 12 of Notes to Consolidated Financial Statements), (ii) Lazard Australia Corporate Opportunities Fund 2 (“COF2”), a Lazard-managed Australian fund targeting Australasian mid-market investments, (iii) a mezzanine fund, which invests in mezzanine debt of a diversified selection of small-to mid-cap European companies and (iv) a fund targeting significant noncontrolling-stake investments in established private companies. We also make investments to seed our Asset Management strategies.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w:t>
      </w:r>
    </w:p>
    <w:p>
      <w:pPr>
        <w:spacing w:after="0" w:line="14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the third quarter of 2014, we entered into arrangements with LFCM Holdings LLC, which is now known as LMDC Holdings LLC (“LMDC Holdings”) and continues to be owned in large part by former and current managing directors of Lazard (including our executive officers), and certain of its subsidiaries. Pursuant to the arrangements, among other things, (i) we acquired certain assets from LMDC Holdings relating to its convertible securities business, (ii) the business alliance provided for in the Business Alliance Agreement, dated as of May 10, 2005, between the Company and LMDC Holdings, terminated, and (iii) LMDC Holdings relinquished certain license rights previously granted under the License Agreement, dated as of May 10, 2005, between the Company and LMDC Holdings. In addition, LMDC Holdings surrendered certain leasehold interests, including leasehold improvements, to the Company, and was relieved of obligations to pay related sublease rent. See Note 12 of Notes to Consolidated Financial Statements. We do not believe that any of these arrangements will have a material effect on our consolidated financial position or results of operations.</w:t>
      </w:r>
    </w:p>
    <w:p>
      <w:pPr>
        <w:spacing w:after="0" w:line="138"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acquired assets facilitate the execution of exchange offers and other transactions related to financial advice provided by our Capital Advisory and Convertible Securities practice groups. In addition, we have taken steps that will enable us to act as an underwriter in public offerings and other distributions of securities from time to time in order to buttress our Financial Advisory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Outlook</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assets under management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3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Despite some market volatility in the fourth quarter of 2014, equity market indices for developed markets at December 31, 2014 increased as compared to such indices at December 31, 2013, with U.S. markets generally outpacing European markets. Emerging markets indices at December 31, 2014 generally decreased as compared to December 31, 2013. In the global M&amp;A markets during 2014, the number and value of all completed M&amp;A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6"/>
          <w:szCs w:val="16"/>
          <w:color w:val="auto"/>
        </w:rPr>
        <w:t>transactions increased as compared to the same period in the prior year, as did the subset of such transactions involving values greater than $500 million. During the same time, the number and value of all announced M&amp;A transactions, including the subset of such transactions involving values greater than $500 million, also increased, reflecting an active global M&amp;A environment. During 2014, global restructuring activity remained low, consistent with the last several years.</w:t>
      </w:r>
    </w:p>
    <w:p>
      <w:pPr>
        <w:spacing w:after="0" w:line="97"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Entering 2015, corporate cash balances remain high and the outlook for interest rates remains low. The U.S. macroeconomic environment has improved, but Europe and many of the developing markets remain unsettled. Volatility has returned to the capital markets, but the underpinnings of the U.S.-led global economic recovery appear to remain in place. Although market volatility may continue, the longer-term trends appear to remain favorable for both of our businesses.</w:t>
      </w:r>
    </w:p>
    <w:p>
      <w:pPr>
        <w:spacing w:after="0" w:line="136"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We intend to leverage our existing infrastructure to capitalize on any global macroeconomic recovery, positive momentum in the M&amp;A cycle, and strength in the global equity markets. We expect to generate revenue growth by remaining adequately staffed to capitalize on any macroeconomic recovery and deploying our intellectual capital to generate new revenue streams.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outlook with respect to our Financial Advisory and Asset Management businesses is described below.</w:t>
      </w:r>
    </w:p>
    <w:p>
      <w:pPr>
        <w:spacing w:after="0" w:line="86" w:lineRule="exact"/>
        <w:rPr>
          <w:sz w:val="20"/>
          <w:szCs w:val="20"/>
          <w:color w:val="auto"/>
        </w:rPr>
      </w:pPr>
    </w:p>
    <w:p>
      <w:pPr>
        <w:ind w:left="920" w:hanging="345"/>
        <w:spacing w:after="0" w:line="257"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Advisory </w:t>
      </w:r>
      <w:r>
        <w:rPr>
          <w:rFonts w:ascii="Times New Roman" w:cs="Times New Roman" w:eastAsia="Times New Roman" w:hAnsi="Times New Roman"/>
          <w:sz w:val="18"/>
          <w:szCs w:val="18"/>
          <w:color w:val="auto"/>
        </w:rPr>
        <w:t>– The fundamentals for continued growth of a strategic M&amp;A cycle appear to remain in place. Demand continues for expert,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strategic 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Japan and Australia position us for growth in these markets, while enhancing our relationships with, and the services that we can provide to, clients in developed economies.</w:t>
      </w:r>
    </w:p>
    <w:p>
      <w:pPr>
        <w:spacing w:after="0" w:line="53" w:lineRule="exact"/>
        <w:rPr>
          <w:rFonts w:ascii="Times New Roman" w:cs="Times New Roman" w:eastAsia="Times New Roman" w:hAnsi="Times New Roman"/>
          <w:sz w:val="18"/>
          <w:szCs w:val="18"/>
          <w:color w:val="auto"/>
        </w:rPr>
      </w:pPr>
    </w:p>
    <w:p>
      <w:pPr>
        <w:ind w:left="920" w:right="20" w:hanging="345"/>
        <w:spacing w:after="0" w:line="253"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Asset Management </w:t>
      </w:r>
      <w:r>
        <w:rPr>
          <w:rFonts w:ascii="Times New Roman" w:cs="Times New Roman" w:eastAsia="Times New Roman" w:hAnsi="Times New Roman"/>
          <w:sz w:val="18"/>
          <w:szCs w:val="18"/>
          <w:color w:val="auto"/>
        </w:rPr>
        <w:t>– Generally, we have seen increased investor demand across regions and investment platforms. In the short to intermediate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new offices in Zurich, Singapore, Dubai and Dublin. We are continually developing and seeding new investment strategies that extend our existing platforms. Recent examples of growth initiatives include the following investment strategies: Emerging Markets Debt, Emerging Markets Small Cap Equity, Real Estate, Managed Volatility Strategies, Middle East North African Equities, Asian Equities, U.S. Long/Short Equity and International Concentrated Equity.</w:t>
      </w:r>
    </w:p>
    <w:p>
      <w:pPr>
        <w:spacing w:after="0" w:line="143"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10-K. Furthermore, net income and revenue in any period may not be indicative of full-year results or the results of any other period and may vary significantly from year to year and quarter to quarter.</w:t>
      </w:r>
    </w:p>
    <w:p>
      <w:pPr>
        <w:spacing w:after="0" w:line="13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Overall, we continue to focus on the development of our business, including the generation of stable revenue growth, earnings growth and member returns, the prudent management of our costs and expenses, the efficient use of our assets and the return of equity to our members.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data with respect to our Financial Advisory and Asset Management businesses is included below.</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w:t>
      </w:r>
    </w:p>
    <w:p>
      <w:pPr>
        <w:spacing w:after="0" w:line="94"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As reflected in the following table, which sets forth global M&amp;A industry statistics, the value and number of all completed transactions, including completed transactions with values greater than $500 million, increased in 2014 as compared to the 2013 period. With respect to announced M&amp;A transactions, the value and number of all transactions, including announced transactions with values greater than $500 million, increased in 2014 as compared to the 2013 period.</w:t>
      </w:r>
    </w:p>
    <w:p>
      <w:pPr>
        <w:spacing w:after="0" w:line="26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4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5"/>
        </w:trPr>
        <w:tc>
          <w:tcPr>
            <w:tcW w:w="43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80" w:type="dxa"/>
            <w:vAlign w:val="bottom"/>
          </w:tcPr>
          <w:p>
            <w:pPr>
              <w:jc w:val="right"/>
              <w:ind w:right="236"/>
              <w:spacing w:after="0" w:line="12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r>
      <w:tr>
        <w:trPr>
          <w:trHeight w:val="165"/>
        </w:trPr>
        <w:tc>
          <w:tcPr>
            <w:tcW w:w="4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Pr>
          <w:p>
            <w:pPr>
              <w:spacing w:after="0"/>
              <w:rPr>
                <w:sz w:val="14"/>
                <w:szCs w:val="14"/>
                <w:color w:val="auto"/>
              </w:rPr>
            </w:pPr>
          </w:p>
        </w:tc>
        <w:tc>
          <w:tcPr>
            <w:tcW w:w="118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Incr / (Decr)</w:t>
            </w:r>
          </w:p>
        </w:tc>
      </w:tr>
      <w:tr>
        <w:trPr>
          <w:trHeight w:val="156"/>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2"/>
          </w:tcPr>
          <w:p>
            <w:pPr>
              <w:ind w:left="600"/>
              <w:spacing w:after="0" w:line="155" w:lineRule="exact"/>
              <w:rPr>
                <w:sz w:val="20"/>
                <w:szCs w:val="20"/>
                <w:color w:val="auto"/>
              </w:rPr>
            </w:pPr>
            <w:r>
              <w:rPr>
                <w:rFonts w:ascii="Times New Roman" w:cs="Times New Roman" w:eastAsia="Times New Roman" w:hAnsi="Times New Roman"/>
                <w:sz w:val="14"/>
                <w:szCs w:val="14"/>
                <w:b w:val="1"/>
                <w:bCs w:val="1"/>
                <w:color w:val="auto"/>
              </w:rPr>
              <w:t>($ in billions)</w:t>
            </w: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Completed M&amp;A Transactions: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 deals: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Value</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2,915</w:t>
            </w:r>
          </w:p>
        </w:tc>
        <w:tc>
          <w:tcPr>
            <w:tcW w:w="6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2,723</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Number</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92"/>
              </w:rPr>
              <w:t>38,428</w:t>
            </w:r>
          </w:p>
        </w:tc>
        <w:tc>
          <w:tcPr>
            <w:tcW w:w="680" w:type="dxa"/>
            <w:vAlign w:val="bottom"/>
          </w:tcPr>
          <w:p>
            <w:pPr>
              <w:spacing w:after="0"/>
              <w:rPr>
                <w:sz w:val="18"/>
                <w:szCs w:val="18"/>
                <w:color w:val="auto"/>
              </w:rPr>
            </w:pPr>
          </w:p>
        </w:tc>
        <w:tc>
          <w:tcPr>
            <w:tcW w:w="118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w w:val="96"/>
              </w:rPr>
              <w:t>38,090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Deals Greater than $500 million:</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Value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2,112</w:t>
            </w:r>
          </w:p>
        </w:tc>
        <w:tc>
          <w:tcPr>
            <w:tcW w:w="680" w:type="dxa"/>
            <w:vAlign w:val="bottom"/>
          </w:tcPr>
          <w:p>
            <w:pPr>
              <w:spacing w:after="0"/>
              <w:rPr>
                <w:sz w:val="18"/>
                <w:szCs w:val="18"/>
                <w:color w:val="auto"/>
              </w:rPr>
            </w:pPr>
          </w:p>
        </w:tc>
        <w:tc>
          <w:tcPr>
            <w:tcW w:w="118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1,899</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Number</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1,042</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996</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Announced M&amp;A Transactions: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All deals: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Value</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3,611</w:t>
            </w:r>
          </w:p>
        </w:tc>
        <w:tc>
          <w:tcPr>
            <w:tcW w:w="6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2,849</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Number</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92"/>
              </w:rPr>
              <w:t>40,656</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96"/>
              </w:rPr>
              <w:t>38,120</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Deals Greater than $500 million:</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3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Value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2,700</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2,002</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28"/>
        </w:trPr>
        <w:tc>
          <w:tcPr>
            <w:tcW w:w="4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Number</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1,169</w:t>
            </w:r>
          </w:p>
        </w:tc>
        <w:tc>
          <w:tcPr>
            <w:tcW w:w="680" w:type="dxa"/>
            <w:vAlign w:val="bottom"/>
          </w:tcPr>
          <w:p>
            <w:pPr>
              <w:spacing w:after="0"/>
              <w:rPr>
                <w:sz w:val="19"/>
                <w:szCs w:val="19"/>
                <w:color w:val="auto"/>
              </w:rPr>
            </w:pPr>
          </w:p>
        </w:tc>
        <w:tc>
          <w:tcPr>
            <w:tcW w:w="118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1,053</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Source:Dealogic as of January 13, 2015.</w:t>
      </w:r>
    </w:p>
    <w:p>
      <w:pPr>
        <w:spacing w:after="0" w:line="17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Global restructuring activity during 2014, as measured by the number of corporate defaults, decreased as compared to 2013, and the aggregate value of debt defaults remained low, consistent with the last several years. The number of defaulting issuers decreased slightly to 54 in 2014, according to Moody’s Investors Service, Inc., as compared to 62 in 2013. In the U.S., the number of corporate defaults decreased 3% in 2014 as compared to 2013, while the value of such defaults increased substantially due to one large default in the 2014 period.</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w:t>
      </w:r>
    </w:p>
    <w:p>
      <w:pPr>
        <w:spacing w:after="0" w:line="94"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percentage change in major equity market indices at December 31, 2014, as compared to such indices at December 31, 2013, and at December 31, 2013, as compared to such indices at December 31, 2012, is shown in the table below.</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Percentage Changes</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5"/>
        </w:trPr>
        <w:tc>
          <w:tcPr>
            <w:tcW w:w="6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2014 vs. 2013</w:t>
            </w:r>
          </w:p>
        </w:tc>
        <w:tc>
          <w:tcPr>
            <w:tcW w:w="1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2013 vs. 2012</w:t>
            </w:r>
          </w:p>
        </w:tc>
        <w:tc>
          <w:tcPr>
            <w:tcW w:w="26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MSCI World Index</w:t>
            </w:r>
          </w:p>
        </w:tc>
        <w:tc>
          <w:tcPr>
            <w:tcW w:w="2020" w:type="dxa"/>
            <w:vAlign w:val="bottom"/>
            <w:gridSpan w:val="2"/>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Euro Stoxx</w:t>
            </w:r>
          </w:p>
        </w:tc>
        <w:tc>
          <w:tcPr>
            <w:tcW w:w="2020" w:type="dxa"/>
            <w:vAlign w:val="bottom"/>
            <w:gridSpan w:val="2"/>
          </w:tcPr>
          <w:p>
            <w:pPr>
              <w:jc w:val="right"/>
              <w:ind w:right="1032"/>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MSCI Emerging Market</w:t>
            </w:r>
          </w:p>
        </w:tc>
        <w:tc>
          <w:tcPr>
            <w:tcW w:w="2020" w:type="dxa"/>
            <w:vAlign w:val="bottom"/>
            <w:gridSpan w:val="2"/>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2020" w:type="dxa"/>
            <w:vAlign w:val="bottom"/>
            <w:gridSpan w:val="2"/>
          </w:tcPr>
          <w:p>
            <w:pPr>
              <w:jc w:val="right"/>
              <w:ind w:right="1032"/>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35"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Management business when comparing periodic results. A substantial portion of our AUM is invested in equities. Movements in AUM during the period generally reflect the changes in equity market indices. Our AUM at December 31, 2014 increased 5% versus AUM at December 31, 2013, primarily due to market appreciation and net inflows, partially offset by adverse foreign exchange movements. Average AUM for 2014 increased 13% as compared to average AUM in 2013.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Saving Initiatives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In October 2012, we announced certain cost saving initiatives in order to reduce our compensation and non-compensation cost base. Expenses associated with implementation of the cost saving initiatives were completed in the second quarter of 2013 and were reflected in our financial results. These implementation expenses were approximately $64 million in 2013 and $103 million in 2012.</w:t>
      </w:r>
    </w:p>
    <w:p>
      <w:pPr>
        <w:spacing w:after="0" w:line="132"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 cost saving initiatives were intended to improve our profitability with minimal impact on revenue growth, while allowing us to continue to invest in our business. The initiatives included: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 The full impact of the savings resulting from the cost saving initiatives was reflected in our 2014 results.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16 of 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43"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Lazard’s Asset Management segment principally includes Lazard Asset Management LLC (together with its subsidiaries,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36"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w:t>
      </w:r>
    </w:p>
    <w:p>
      <w:pPr>
        <w:spacing w:after="0" w:line="120" w:lineRule="exact"/>
        <w:rPr>
          <w:sz w:val="20"/>
          <w:szCs w:val="20"/>
          <w:color w:val="auto"/>
        </w:rPr>
      </w:pPr>
    </w:p>
    <w:p>
      <w:pPr>
        <w:ind w:right="400" w:firstLine="456"/>
        <w:spacing w:after="0" w:line="255" w:lineRule="auto"/>
        <w:rPr>
          <w:sz w:val="20"/>
          <w:szCs w:val="20"/>
          <w:color w:val="auto"/>
        </w:rPr>
      </w:pPr>
      <w:r>
        <w:rPr>
          <w:rFonts w:ascii="Times New Roman" w:cs="Times New Roman" w:eastAsia="Times New Roman" w:hAnsi="Times New Roman"/>
          <w:sz w:val="18"/>
          <w:szCs w:val="18"/>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39"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Although Corporate segment net revenue during 2014 represented (2)% of Lazard’s net revenue, total assets in the Corporate segment represented 57% of Lazard’s consolidated total assets as of December 31, 2014, which are attributable to investments in government bonds and money market funds, debt and equity securities, interests in alternative investment, debt, equity and private equity funds, cash and assets associated with LFB.</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4"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LFI and other similar deferred compensation arrangements (see Note 14 of Notes to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13"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9" w:lineRule="exact"/>
        <w:rPr>
          <w:sz w:val="20"/>
          <w:szCs w:val="20"/>
          <w:color w:val="auto"/>
        </w:rPr>
      </w:pPr>
    </w:p>
    <w:p>
      <w:pPr>
        <w:ind w:left="900" w:right="140" w:hanging="325"/>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deduct amortization expense recorded for accounting principles generally accepted in the United States of America (“U.S. GAAP”) purposes in each fiscal year associated with the vesting of deferred incentive compensation awards,</w:t>
      </w:r>
    </w:p>
    <w:p>
      <w:pPr>
        <w:spacing w:after="0" w:line="36" w:lineRule="exact"/>
        <w:rPr>
          <w:rFonts w:ascii="Times New Roman" w:cs="Times New Roman" w:eastAsia="Times New Roman" w:hAnsi="Times New Roman"/>
          <w:sz w:val="18"/>
          <w:szCs w:val="18"/>
          <w:color w:val="auto"/>
        </w:rPr>
      </w:pPr>
    </w:p>
    <w:p>
      <w:pPr>
        <w:jc w:val="both"/>
        <w:ind w:left="900" w:right="280" w:hanging="325"/>
        <w:spacing w:after="0" w:line="259"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add (i) the deferred incentive compensation awards granted applicable to the relevant year-end compensation process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deferred incentive compensation awards granted in 2015, 2014 and 2013 related to the 2014, 2013 and 2012 year-end compensation processes, respectively) and (ii) investments in people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“sign-on” bonuses) and other special deferred incentive compensation awards granted throughout the applicable year, with such amounts in (i) and (ii) reduced by an estimate of future forfeitures of such awards, and</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adjust for year-end foreign exchange fluctuations.</w:t>
      </w:r>
    </w:p>
    <w:p>
      <w:pPr>
        <w:spacing w:after="0" w:line="17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also use “adjusted compensation and benefits expense” and the ratio of “adjusted compensation and benefits expense” to “operating revenue,” both non-U.S. GAAP measures, for comparison of compensation and benefits expense between periods. For the calculations with respect to “adjusted compensation and benefits expense” and “awarded compensation and benefits expense” and related ratios to “operating revenue,” see the table under “Consolidated Results of Operations” below.</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Compensation and benefits expense is the largest component of our operating expenses. Our goal is for annual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compares to 55.6% for the year ended December 31, 2014. While we have implemented initiatives, including the cost saving initiatives announced in October 2012 (see “Cost Saving Initiatives” above and Note 16 of Notes to Consolidated Financial Statements),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3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2013, non-compensation expense also included the implementation of the cost saving initiatives and expenses related to the refinancing of the 7.125% senior notes due 2015 (the “2015 Notes”) and the issuance of $500 million of 4.25% senior notes maturing in 2020 (the “2020 Notes”) (see Note 11 of Notes to Consolidated Financial Statements). In 2012, non-compensation expense included the implementation of the cost saving initiatives, and the relevant portion of the expense relating to the staff reductions. For all periods, the amortization of intangible assets related to acquisitions pertains primarily to the acquisition of Edgewater.</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believe that “adjusted non-compensation expense,” a non-U.S. GAAP measure, provides a more meaningful basis for assessing our operating results.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calculations with respect to “adjusted non-compensation expense” see the table under “Consolidated Results of Operations” below.</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17 of Notes to Consolidated Financial Statements for additional information).</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Noncontrolling interests primarily consist of amounts related to Edgewater’s management vehicles that the Company is deemed to control but not own. See Note 13 of Notes to Consolidated Financial Statements for information regarding the Company’s noncontrolling interests.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9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Lazard’s consolidated financial statements are presented in U.S. Dollars. Many of our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Foreign currency remeasurement gains and losses on transactions in non-functional currencies are included in the consolidated statements of operations.</w:t>
      </w:r>
    </w:p>
    <w:p>
      <w:pPr>
        <w:spacing w:after="0" w:line="141" w:lineRule="exact"/>
        <w:rPr>
          <w:sz w:val="20"/>
          <w:szCs w:val="20"/>
          <w:color w:val="auto"/>
        </w:rPr>
      </w:pPr>
    </w:p>
    <w:p>
      <w:pPr>
        <w:ind w:right="440" w:firstLine="456"/>
        <w:spacing w:after="0" w:line="264" w:lineRule="auto"/>
        <w:rPr>
          <w:sz w:val="20"/>
          <w:szCs w:val="20"/>
          <w:color w:val="auto"/>
        </w:rPr>
      </w:pPr>
      <w:r>
        <w:rPr>
          <w:rFonts w:ascii="Times New Roman" w:cs="Times New Roman" w:eastAsia="Times New Roman" w:hAnsi="Times New Roman"/>
          <w:sz w:val="18"/>
          <w:szCs w:val="18"/>
          <w:color w:val="auto"/>
        </w:rPr>
        <w:t>The consolidated financial statements are prepared in conformity with U.S. GAAP. Selected financial data from the Company’s reported consolidated results of operations is set forth below, followed by a more detailed discussion of both the consolidated and business segment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7"/>
                <w:szCs w:val="7"/>
                <w:color w:val="auto"/>
              </w:rPr>
            </w:pPr>
          </w:p>
        </w:tc>
        <w:tc>
          <w:tcPr>
            <w:tcW w:w="59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2,300,736</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4"/>
              </w:rPr>
              <w:t>1,984,074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1,908,130</w:t>
            </w:r>
          </w:p>
        </w:tc>
        <w:tc>
          <w:tcPr>
            <w:tcW w:w="0" w:type="dxa"/>
            <w:vAlign w:val="bottom"/>
          </w:tcPr>
          <w:p>
            <w:pPr>
              <w:spacing w:after="0"/>
              <w:rPr>
                <w:sz w:val="1"/>
                <w:szCs w:val="1"/>
                <w:color w:val="auto"/>
              </w:rPr>
            </w:pPr>
          </w:p>
        </w:tc>
      </w:tr>
      <w:tr>
        <w:trPr>
          <w:trHeight w:val="33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1,313,550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4"/>
              </w:rPr>
              <w:t>1,278,479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1,351,076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Non-compensation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439,824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476,472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427,102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10,114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1,759,761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1,765,065</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1,786,537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540,975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219,009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463,160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186,767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Less – Net Income Attributable to Noncontrolling Interests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Lazard Group</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457,004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183,063</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as a % of net revenue</w:t>
            </w: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The tables below describe the components of operating revenue, adjusted and awarded compensation and benefits expense, adjusted non-compensation expense, earnings from operations and related key ratios, which are non-U.S. GAAP measures used by the Company to manage its business. We believe such non-U.S. GAAP</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measures provide the most meaningful basis for comparison between present, historical and future periods, as described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center"/>
              <w:ind w:right="40"/>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w:t>
            </w:r>
          </w:p>
        </w:tc>
        <w:tc>
          <w:tcPr>
            <w:tcW w:w="2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$2,300,736</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$ 1,984,074</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$ 1,908,130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expense (a)</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67,687</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85,806</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Revenue related to noncontrolling interests (b)</w:t>
            </w:r>
          </w:p>
        </w:tc>
        <w:tc>
          <w:tcPr>
            <w:tcW w:w="3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(14,956)</w:t>
            </w:r>
          </w:p>
        </w:tc>
        <w:tc>
          <w:tcPr>
            <w:tcW w:w="15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(15,115)</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Gains on investments pertaining to LFI (c)</w:t>
            </w:r>
          </w:p>
        </w:tc>
        <w:tc>
          <w:tcPr>
            <w:tcW w:w="2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(7,326)</w:t>
            </w: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(14,099)</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2,346,141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2,040,666</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1,976,292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40" w:hanging="452"/>
        <w:spacing w:after="0" w:line="257"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1"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related to the consolidation of noncontrolling interests is excluded from operating revenue because the Company has no economic interest in such amount.</w:t>
      </w:r>
    </w:p>
    <w:p>
      <w:pPr>
        <w:ind w:left="460" w:right="640" w:hanging="452"/>
        <w:spacing w:after="0" w:line="261"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3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3"/>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Expense:</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compensation and benefits expense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$1,313,550</w:t>
            </w:r>
          </w:p>
        </w:tc>
        <w:tc>
          <w:tcPr>
            <w:tcW w:w="20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$1,278,479</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$1,351,076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Charges pertaining to staff reductions (a)</w:t>
            </w:r>
          </w:p>
        </w:tc>
        <w:tc>
          <w:tcPr>
            <w:tcW w:w="14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 saving initiatives (a)</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(51,399)</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Noncontrolling interests (b)</w:t>
            </w:r>
          </w:p>
        </w:tc>
        <w:tc>
          <w:tcPr>
            <w:tcW w:w="2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(4,567)</w:t>
            </w:r>
          </w:p>
        </w:tc>
        <w:tc>
          <w:tcPr>
            <w:tcW w:w="1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(4,232)</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Private equity incentive compensation (c)</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(12,203)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Charges pertaining to LFI (d)</w:t>
            </w:r>
          </w:p>
        </w:tc>
        <w:tc>
          <w:tcPr>
            <w:tcW w:w="14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(7,326)</w:t>
            </w:r>
          </w:p>
        </w:tc>
        <w:tc>
          <w:tcPr>
            <w:tcW w:w="1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(14,099)</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14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1,301,657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1,196,546</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1,217,738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 – amortization of deferred incentive compensation awards</w:t>
            </w:r>
          </w:p>
        </w:tc>
        <w:tc>
          <w:tcPr>
            <w:tcW w:w="14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(299,230)</w:t>
            </w:r>
          </w:p>
        </w:tc>
        <w:tc>
          <w:tcPr>
            <w:tcW w:w="1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(297,607)</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adjusted cash compensation and benefits expense (e)</w:t>
            </w:r>
          </w:p>
        </w:tc>
        <w:tc>
          <w:tcPr>
            <w:tcW w:w="14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1,002,427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898,939</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w:t>
            </w:r>
          </w:p>
        </w:tc>
        <w:tc>
          <w:tcPr>
            <w:tcW w:w="1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Year-end deferred incentive compensation awards (f)</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325,210</w:t>
            </w:r>
          </w:p>
        </w:tc>
        <w:tc>
          <w:tcPr>
            <w:tcW w:w="2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291,007</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Sign-on and other special incentive awards (g)</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14,248</w:t>
            </w:r>
          </w:p>
        </w:tc>
        <w:tc>
          <w:tcPr>
            <w:tcW w:w="20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22,107</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 – adjustment for estimated forfeitures (h)</w:t>
            </w:r>
          </w:p>
        </w:tc>
        <w:tc>
          <w:tcPr>
            <w:tcW w:w="2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(25,459)</w:t>
            </w:r>
          </w:p>
        </w:tc>
        <w:tc>
          <w:tcPr>
            <w:tcW w:w="18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(27,270)</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adjustments (i)</w:t>
            </w:r>
          </w:p>
        </w:tc>
        <w:tc>
          <w:tcPr>
            <w:tcW w:w="14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(11,172)</w:t>
            </w:r>
          </w:p>
        </w:tc>
        <w:tc>
          <w:tcPr>
            <w:tcW w:w="18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1,908</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Awarded compensation and benefits expense</w:t>
            </w:r>
          </w:p>
        </w:tc>
        <w:tc>
          <w:tcPr>
            <w:tcW w:w="14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1,305,254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1,186,691</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1,171,415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1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gridSpan w:val="3"/>
            <w:vMerge w:val="continue"/>
          </w:tcPr>
          <w:p>
            <w:pPr>
              <w:spacing w:after="0"/>
              <w:rPr>
                <w:sz w:val="17"/>
                <w:szCs w:val="17"/>
                <w:color w:val="auto"/>
              </w:rPr>
            </w:pP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 a % of operating revenue</w:t>
            </w:r>
          </w:p>
        </w:tc>
        <w:tc>
          <w:tcPr>
            <w:tcW w:w="2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55.5%</w:t>
            </w:r>
          </w:p>
        </w:tc>
        <w:tc>
          <w:tcPr>
            <w:tcW w:w="18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58.6%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0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Awarded compensation and benefits expense,</w:t>
            </w:r>
          </w:p>
        </w:tc>
        <w:tc>
          <w:tcPr>
            <w:tcW w:w="1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 a % of operating revenue</w:t>
            </w:r>
          </w:p>
        </w:tc>
        <w:tc>
          <w:tcPr>
            <w:tcW w:w="2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55.6%</w:t>
            </w:r>
          </w:p>
        </w:tc>
        <w:tc>
          <w:tcPr>
            <w:tcW w:w="1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58.2%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340" w:hanging="452"/>
        <w:spacing w:after="0" w:line="275"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related to the first quarter 2012 staff reductions and the cost saving initiatives for (i) severance costs and benefit payments; (ii) the acceleration of unrecognized amortization expense of deferred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800"/>
        <w:spacing w:after="0" w:line="257" w:lineRule="auto"/>
        <w:rPr>
          <w:sz w:val="20"/>
          <w:szCs w:val="20"/>
          <w:color w:val="auto"/>
        </w:rPr>
      </w:pPr>
      <w:r>
        <w:rPr>
          <w:rFonts w:ascii="Times New Roman" w:cs="Times New Roman" w:eastAsia="Times New Roman" w:hAnsi="Times New Roman"/>
          <w:sz w:val="18"/>
          <w:szCs w:val="18"/>
          <w:color w:val="auto"/>
        </w:rPr>
        <w:t>incentive compensation previously granted to individuals whose employment with Lazard has been terminated; and (iii) the settlement of certain contractual obligations.</w:t>
      </w:r>
    </w:p>
    <w:p>
      <w:pPr>
        <w:spacing w:after="0" w:line="1"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Lazard has no economic interest in such amounts.</w:t>
      </w:r>
    </w:p>
    <w:p>
      <w:pPr>
        <w:spacing w:after="0" w:line="9" w:lineRule="exact"/>
        <w:rPr>
          <w:rFonts w:ascii="Times New Roman" w:cs="Times New Roman" w:eastAsia="Times New Roman" w:hAnsi="Times New Roman"/>
          <w:sz w:val="18"/>
          <w:szCs w:val="18"/>
          <w:color w:val="auto"/>
        </w:rPr>
      </w:pPr>
    </w:p>
    <w:p>
      <w:pPr>
        <w:ind w:left="460" w:right="240" w:hanging="452"/>
        <w:spacing w:after="0" w:line="250"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compensation expense pertaining to private equity transactions for which revenue may be recognized in the future is excluded in order to more closely align the timing of the recognition of such expense to the timing of the recognition of the related revenue.</w:t>
      </w:r>
    </w:p>
    <w:p>
      <w:pPr>
        <w:ind w:left="460" w:right="200" w:hanging="452"/>
        <w:spacing w:after="0" w:line="250"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ind w:left="460" w:right="620" w:hanging="452"/>
        <w:spacing w:after="0" w:line="250"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base salaries and benefits of $569,540, $530,399 and $515,769 for 2014, 2013 and 2012, respectively, and cash incentive compensation of $432,887, $368,540 and $367,173 for the respective years.</w:t>
      </w:r>
    </w:p>
    <w:p>
      <w:pPr>
        <w:ind w:left="460" w:right="60" w:hanging="452"/>
        <w:spacing w:after="0" w:line="250"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incentive compensation awards applicable to the relevant year-end compensation process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deferred incentive compensation awards granted in 2015, 2014 and 2013 related to the 2014, 2013 and 2012 year-end compensation processes, respectively).</w:t>
      </w:r>
    </w:p>
    <w:p>
      <w:pPr>
        <w:ind w:left="460" w:right="220" w:hanging="452"/>
        <w:spacing w:after="0" w:line="250"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deferred incentive compensation awards that are granted outside the year-end compensation process, and includes investments in people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“sign-on” bonuses).</w:t>
      </w:r>
    </w:p>
    <w:p>
      <w:pPr>
        <w:ind w:left="460" w:right="20" w:hanging="452"/>
        <w:spacing w:after="0" w:line="250"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the year-end foreign exchange “spot” rate from the full year average rate for year-end incentive compensation awards.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180" w:type="dxa"/>
            <w:vAlign w:val="bottom"/>
            <w:tcBorders>
              <w:bottom w:val="single" w:sz="8" w:color="auto"/>
            </w:tcBorders>
            <w:gridSpan w:val="6"/>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80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left="3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Non-Compensation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non-compensation expense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$439,824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$476,472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4"/>
              </w:rPr>
              <w:t>$427,102</w:t>
            </w: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Noncontrolling interests (a)</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(1,913)</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(1,993)</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(2,558)</w:t>
            </w:r>
          </w:p>
        </w:tc>
      </w:tr>
      <w:tr>
        <w:trPr>
          <w:trHeight w:val="216"/>
        </w:trPr>
        <w:tc>
          <w:tcPr>
            <w:tcW w:w="8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Charges pertaining to staff reductions (b)</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(2,905)</w:t>
            </w:r>
          </w:p>
        </w:tc>
      </w:tr>
      <w:tr>
        <w:trPr>
          <w:trHeight w:val="216"/>
        </w:trPr>
        <w:tc>
          <w:tcPr>
            <w:tcW w:w="8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Cost saving initiatives (b)</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(13,304)</w:t>
            </w: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(2,589)</w:t>
            </w:r>
          </w:p>
        </w:tc>
      </w:tr>
      <w:tr>
        <w:trPr>
          <w:trHeight w:val="216"/>
        </w:trPr>
        <w:tc>
          <w:tcPr>
            <w:tcW w:w="8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Charges pertaining to senior debt refinancing (c)</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(54,087)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$407,088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$419,050</w:t>
            </w:r>
          </w:p>
        </w:tc>
        <w:tc>
          <w:tcPr>
            <w:tcW w:w="14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non-compensation expense, as a % of operating revenue</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r>
      <w:tr>
        <w:trPr>
          <w:trHeight w:val="20"/>
        </w:trPr>
        <w:tc>
          <w:tcPr>
            <w:tcW w:w="11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consolidation of noncontrolling interests are excluded because the Company has no economic interest in such amounts.</w:t>
      </w:r>
    </w:p>
    <w:p>
      <w:pPr>
        <w:spacing w:after="0" w:line="21" w:lineRule="exact"/>
        <w:rPr>
          <w:rFonts w:ascii="Times New Roman" w:cs="Times New Roman" w:eastAsia="Times New Roman" w:hAnsi="Times New Roman"/>
          <w:sz w:val="18"/>
          <w:szCs w:val="18"/>
          <w:color w:val="auto"/>
        </w:rPr>
      </w:pPr>
    </w:p>
    <w:p>
      <w:pPr>
        <w:ind w:left="460" w:right="900" w:hanging="452"/>
        <w:spacing w:after="0" w:line="250"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related to the cost saving initiatives and the first quarter 2012 staff reductions for occupancy cost reduction and other non-compensation related costs.</w:t>
      </w:r>
    </w:p>
    <w:p>
      <w:pPr>
        <w:ind w:left="460" w:right="520" w:hanging="452"/>
        <w:spacing w:after="0" w:line="261"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pertaining to the refinancing of the 2015 Notes and the issuance of the 2020 Notes are excluded because of the non-operating nature of such transactions. See “—Liquidity and Capital Resources—Financing Activities.”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11"/>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6"/>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Operations: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2,346,141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2,040,666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1,976,292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compensation and benefits expense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(1,301,657)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w w:val="97"/>
              </w:rPr>
              <w:t>(1,196,546)</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7"/>
              </w:rPr>
              <w:t>(1,217,738)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non-compensation expense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(437,911)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(407,088)</w:t>
            </w: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1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606,573</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437,032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339,504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from operations, as a % of operating revenue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Headcount information is set forth below:</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52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5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11"/>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Headcount:</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2013(a)</w:t>
            </w:r>
          </w:p>
        </w:tc>
        <w:tc>
          <w:tcPr>
            <w:tcW w:w="92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52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Managing Directors:</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Financial Advisory</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Asset Management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5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Managing Directors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Employees:</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Business segment professionals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1,077</w:t>
            </w:r>
          </w:p>
        </w:tc>
        <w:tc>
          <w:tcPr>
            <w:tcW w:w="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 other professionals and support staff</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1,107</w:t>
            </w:r>
          </w:p>
        </w:tc>
        <w:tc>
          <w:tcPr>
            <w:tcW w:w="20" w:type="dxa"/>
            <w:vAlign w:val="bottom"/>
          </w:tcPr>
          <w:p>
            <w:pPr>
              <w:spacing w:after="0"/>
              <w:rPr>
                <w:sz w:val="18"/>
                <w:szCs w:val="18"/>
                <w:color w:val="auto"/>
              </w:rPr>
            </w:pP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2,403</w:t>
            </w:r>
          </w:p>
        </w:tc>
        <w:tc>
          <w:tcPr>
            <w:tcW w:w="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9" w:lineRule="exact"/>
        <w:rPr>
          <w:sz w:val="20"/>
          <w:szCs w:val="20"/>
          <w:color w:val="auto"/>
        </w:rPr>
      </w:pPr>
    </w:p>
    <w:p>
      <w:pPr>
        <w:ind w:left="460" w:right="160" w:hanging="452"/>
        <w:spacing w:after="0" w:line="275"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headcount reductions relating to the cost saving initiatives were substantially complete as of December 31, 2013. Such reductions have been partially offset by additional investments and managing director promotions.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2014 versus December 31, 2013</w:t>
      </w:r>
    </w:p>
    <w:p>
      <w:pPr>
        <w:spacing w:after="0" w:line="94"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Company reported net income attributable to Lazard Group of $457 million, as compared to net income of $183 million in 2013. The changes in the Company’s operating results during these years are described below.</w:t>
      </w:r>
    </w:p>
    <w:p>
      <w:pPr>
        <w:spacing w:after="0" w:line="12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Net revenue increased $317 million, or 16%, with operating revenue increasing $305 million, or 15%, as compared to 2013. Fee revenue from investment banking and other advisory activities increased $229 million, or 24%, primarily due to increases in M&amp;A and Other Advisory fees. The increase in M&amp;A and Other Advisory fee revenue was primarily due to an increase in the number of, and average transaction fee with respect to, completed transactions involving fees greater than $1 million as compared to 2013. Asset management fees, including incentive fees, increased $86 million, or 9%, principally reflecting a $22 billion, or 13%, increase in average AUM as compared to 2013. In the aggregate, interest income, other revenue and interest expense increased $2 million, or 10%, as compared to 2013.</w:t>
      </w:r>
    </w:p>
    <w:p>
      <w:pPr>
        <w:spacing w:after="0" w:line="139"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Compensation and benefits expense increased $35 million, or 3%, as compared to 2013 (which included a $51 million charge related to the cost saving initiatives and a $12 million charge related to private equity incentive compensation), primarily driven by an increase in discretionary compensation associated with higher operating revenue.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firstLine="456"/>
        <w:spacing w:after="0" w:line="290" w:lineRule="auto"/>
        <w:rPr>
          <w:sz w:val="20"/>
          <w:szCs w:val="20"/>
          <w:color w:val="auto"/>
        </w:rPr>
      </w:pPr>
      <w:r>
        <w:rPr>
          <w:rFonts w:ascii="Times New Roman" w:cs="Times New Roman" w:eastAsia="Times New Roman" w:hAnsi="Times New Roman"/>
          <w:sz w:val="16"/>
          <w:szCs w:val="16"/>
          <w:color w:val="auto"/>
        </w:rPr>
        <w:t>Adjusted compensation and benefits expense (which excludes certain items and which we believe allows for improved comparability between years, as described above) was $1.302 billion, an increase of $105 million, or 9%, as compared to $1.197 billion in 2013, primarily driven by an increase in discretionary compensation associated with higher operating revenue. The ratio of adjusted compensation and benefits expense to operating revenue was 55.5% for 2014, as compared to 58.6% for 2013. Awarded compensation and benefits expense in 2014 was $1.305 billion, an increase of $119 million, or 10%, when compared to $1.187 billion in 2013. The ratio of awarded compensation and benefits expense to operating revenue was 55.6% for 2014, as compared to 58.2% for 2013. The year-end deferred incentive compensation awarded for 2014 was $325 million, representing a $34 million, or 12%, increase compared to 2013. As described above, when analyzing compensation and benefits expense on a full-year basis, we believe that awarded compensation and benefits expense provides the most meaningful basis for comparison of compensation and benefits expense between present, historical and future years.</w:t>
      </w:r>
    </w:p>
    <w:p>
      <w:pPr>
        <w:spacing w:after="0" w:line="112" w:lineRule="exact"/>
        <w:rPr>
          <w:sz w:val="20"/>
          <w:szCs w:val="20"/>
          <w:color w:val="auto"/>
        </w:rPr>
      </w:pPr>
    </w:p>
    <w:p>
      <w:pPr>
        <w:ind w:right="540" w:firstLine="456"/>
        <w:spacing w:after="0" w:line="256" w:lineRule="auto"/>
        <w:rPr>
          <w:sz w:val="20"/>
          <w:szCs w:val="20"/>
          <w:color w:val="auto"/>
        </w:rPr>
      </w:pPr>
      <w:r>
        <w:rPr>
          <w:rFonts w:ascii="Times New Roman" w:cs="Times New Roman" w:eastAsia="Times New Roman" w:hAnsi="Times New Roman"/>
          <w:sz w:val="18"/>
          <w:szCs w:val="18"/>
          <w:color w:val="auto"/>
        </w:rPr>
        <w:t>Non-compensation expense decreased $37 million, or 8%, as compared to 2013 (which included a charge of $13 million related to the cost saving initiatives and $54 million related to the financing of the 2015 Notes and the issuance of the 2020 Notes). When excluding such charges, as well as non-compensation costs relating to noncontrolling interests, adjusted non-compensation expense increased $31 million, or 8%, as compared to 2013, primarily reflecting increased business activity, investment in our businesses and the net impact of various one-time items recorded in 2014 and in 2013. The ratio of adjusted non-compensation expense to operating revenue was 18.7%, as compared to 19.9% in 2013.</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intangible assets decreased $4 million as compared to 2013.</w:t>
      </w:r>
    </w:p>
    <w:p>
      <w:pPr>
        <w:spacing w:after="0" w:line="17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Operating income increased $321 million as compared to 2013 (which included charges relating to the cost saving initiatives, private equity incentive compensation and the refinancing of the 2015 Notes of $64 million, $12 million and $54 million, respectively). Operating income, as a percentage of net revenue, was 23.5%, as compared to 11.0% in 2013.</w:t>
      </w:r>
    </w:p>
    <w:p>
      <w:pPr>
        <w:spacing w:after="0" w:line="13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Earnings from operations increased $170 million, or 39%, as compared to 2013, and, as a percentage of operating revenue, was 25.9%, as compared to 21.4% in 2013.</w:t>
      </w:r>
    </w:p>
    <w:p>
      <w:pPr>
        <w:spacing w:after="0" w:line="120"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provision for income taxes reflects an effective tax rate of 14.4%, as compared to 14.7% for 2013. The decrease in the effective tax rate primarily reflects the change in the geographic mix of earnings (see Note 17 of Notes to Consolidated Financial Statements for additional information).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income attributable to noncontrolling interests increased $2 million as compared to 2013.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2013 versus December 31, 2012</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 reported net income attributable to Lazard Group in 2013 of $183 million, as compared to net income of $88 million in 2012. The changes in the Company’s operating results during these years are described below.</w:t>
      </w:r>
    </w:p>
    <w:p>
      <w:pPr>
        <w:spacing w:after="0" w:line="120" w:lineRule="exact"/>
        <w:rPr>
          <w:sz w:val="20"/>
          <w:szCs w:val="20"/>
          <w:color w:val="auto"/>
        </w:rPr>
      </w:pPr>
    </w:p>
    <w:p>
      <w:pPr>
        <w:ind w:right="300" w:firstLine="456"/>
        <w:spacing w:after="0" w:line="255" w:lineRule="auto"/>
        <w:rPr>
          <w:sz w:val="20"/>
          <w:szCs w:val="20"/>
          <w:color w:val="auto"/>
        </w:rPr>
      </w:pPr>
      <w:r>
        <w:rPr>
          <w:rFonts w:ascii="Times New Roman" w:cs="Times New Roman" w:eastAsia="Times New Roman" w:hAnsi="Times New Roman"/>
          <w:sz w:val="18"/>
          <w:szCs w:val="18"/>
          <w:color w:val="auto"/>
        </w:rPr>
        <w:t>Net revenue in 2013 increased $76 million, or 4%, with operating revenue increasing $64 million, or 3%, as compared to 2012. Fee revenue from investment banking and other advisory activities decreased $67 million, or 6%, primarily due to decreases in Restructuring revenue and M&amp;A and Other Advisory fees. The decline in Restructuring revenue was attributable to the closing of several large assignments during 2012, and was consistent with the industry-wide low level of corporate restructuring activity. The decrease in M&amp;A and Other Advisory fee revenue was primarily due to a lower number of completed transactions involving fees greater than $1 million in 2013 as compared to 2012, which included significant fees related to Sovereign Advisory and reflected a higher level of activity in our Lazard Middle Market business. Asset management fees, including</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incentive fees, increased $136 million, or 16%, principally reflecting a $18 billion, or 12%, increase in average AUM as compared to 2012. In the aggregate, interest income, other revenue and interest expense reflected an increase in net revenue of $7 million as compared to 2012. Such increase was primarily due to higher transaction based commission revenue as a result of increased market activity in 2013, and a decrease in interest expense as a result of the refinancing of the 2015 Notes.</w:t>
      </w:r>
    </w:p>
    <w:p>
      <w:pPr>
        <w:spacing w:after="0" w:line="136"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Compensation and benefits expense in 2013 decreased $73 million, or 5%, compared to 2012, and included a $51 million charge related to the cost saving initiatives and a $12 million charge related to private equity incentive compensation, as compared to an aggregate $122 million charge related to the cost saving initiatives and staff reductions in 2012.</w:t>
      </w:r>
    </w:p>
    <w:p>
      <w:pPr>
        <w:spacing w:after="0" w:line="132" w:lineRule="exact"/>
        <w:rPr>
          <w:sz w:val="20"/>
          <w:szCs w:val="20"/>
          <w:color w:val="auto"/>
        </w:rPr>
      </w:pPr>
    </w:p>
    <w:p>
      <w:pPr>
        <w:ind w:right="100" w:firstLine="456"/>
        <w:spacing w:after="0" w:line="289" w:lineRule="auto"/>
        <w:rPr>
          <w:sz w:val="20"/>
          <w:szCs w:val="20"/>
          <w:color w:val="auto"/>
        </w:rPr>
      </w:pPr>
      <w:r>
        <w:rPr>
          <w:rFonts w:ascii="Times New Roman" w:cs="Times New Roman" w:eastAsia="Times New Roman" w:hAnsi="Times New Roman"/>
          <w:sz w:val="16"/>
          <w:szCs w:val="16"/>
          <w:color w:val="auto"/>
        </w:rPr>
        <w:t>Adjusted compensation and benefits expense (which excludes certain items and which we believe allows for improved comparability between years, as described above) was $1.197 billion in 2013, a decrease of $21 million, or 2%, when compared to $1.218 billion in 2012, primarily driven by lower headcount related to the cost saving initiatives and, as described below, reduced amortization expense related to 2008 deferred incentive compensation awards (the “2008 grant”). The ratio of adjusted compensation and benefits expense to operating revenue was reduced to 58.6% for 2013, as compared to 61.6% for 2012, despite a 3% increase in operating revenue in 2013. Awarded compensation and benefits expense in 2013 was $1.187 billion, an increase of $16 million, or 1%, when compared to $1.171 billion in 2012. The ratio of awarded compensation and benefits expense to operating revenue was reduced to 58.2% for 2013, as compared to 59.3% for 2012. The year-end deferred incentive compensation awarded for 2013 was $291 million, representing a $19 million, or 7%, increase compared to 2012.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3"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amortization of deferred incentive compensation awards related to 2010, 2011 and 2012 was $298 million for 2013, a decrease of $37 million as compared to $335 million for 2012. The lower level of amortization expense was primarily attributable to the 2008 grant. The 2008 grant had a comparatively longer, four-year vesting period and, together with compensation awards related to 2009, 2010 and 2011 deferred incentive compensation, affected amortization expense for the full year of 2012. The 2008 grant was fully vested on March 1, 2013.</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Non-compensation expense in 2013 increased $49 million, or 12%, as compared to 2012 and included a charge of $13 million related to the cost saving initiatives and $54 million related to the refinancing of the 2015 Notes and the issuance of the 2020 Notes, as compared to an aggregate charge of $5 million related to the cost saving initiatives and staff reductions in 2012. When excluding such charges, as well as non-compensation costs relating to noncontrolling interests, adjusted non-compensation expense in 2013 decreased $13 million, or 3%, as compared to 2012, primarily due to decreases in (i) marketing and business development expense associated with lower expenses for travel and other business development and (ii) technology expense for telecommunications and market data, all primarily attributable to the cost saving initiatives. Other contributing factors were reduced deal-related costs, which were higher in 2012 as a result of transactions that closed during that period. Such decreases were partially offset by increased investments in technology, and higher mutual fund servicing fees primarily related to the increase in higher average AUM. The ratio of adjusted non-compensation expense to operating revenue was 19.9% in 2013 versus 21.2% in 2012.</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intangible assets increased $2 million, as compared to 2012.</w:t>
      </w:r>
    </w:p>
    <w:p>
      <w:pPr>
        <w:spacing w:after="0" w:line="17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Operating income in 2013 (including the charges relating to the cost saving initiatives, private equity incentive compensation and the refinancing of the 2015 Notes of $64 million, $12 million and $54 million, respectively) increased $97 million, or 80%, as compared to 2012 (including the charges relating to the cost saving initiatives and staff reductions of $103 million and $25 million, respectively, in 2012). Operating income, as a percentage of net revenue, was 11.0%, as compared to 6.4% in 2012.</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Earnings from operations increased $98 million, or 29%, when compared to 2012, and, as a percentage of operating revenue, was 21.4% in 2013, as compared to 17.2% in 2012.</w:t>
      </w:r>
    </w:p>
    <w:p>
      <w:pPr>
        <w:spacing w:after="0" w:line="120"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provision for income taxes reflects an effective tax rate of 14.7%, as compared to 25.2% for 2012. The decrease in the effective tax rate primarily reflects the change in the geographic mix of earnings (see Note 17 of Notes to Consolidated Financial Statements for additional information).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income attributable to noncontrolling interests remained substantially unchanged as compared to 2012.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the reported operating results attributable to the Financial Advisory segment: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left="40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3"/>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M&amp;A and Other Advisory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1,010,830</w:t>
            </w:r>
          </w:p>
        </w:tc>
        <w:tc>
          <w:tcPr>
            <w:tcW w:w="18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$768,790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792,928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Raising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81,143</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Strategic Advisory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1,091,973</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847,706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132,871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182,759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1,206,734</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980,577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4"/>
              </w:rPr>
              <w:t>1,049,090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(a)</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977,681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959,668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4"/>
              </w:rPr>
              <w:t>1,057,620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229,053</w:t>
            </w:r>
          </w:p>
        </w:tc>
        <w:tc>
          <w:tcPr>
            <w:tcW w:w="2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$ 20,909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(8,530)</w:t>
            </w:r>
          </w:p>
        </w:tc>
        <w:tc>
          <w:tcPr>
            <w:tcW w:w="0" w:type="dxa"/>
            <w:vAlign w:val="bottom"/>
          </w:tcPr>
          <w:p>
            <w:pPr>
              <w:spacing w:after="0"/>
              <w:rPr>
                <w:sz w:val="1"/>
                <w:szCs w:val="1"/>
                <w:color w:val="auto"/>
              </w:rPr>
            </w:pPr>
          </w:p>
        </w:tc>
      </w:tr>
      <w:tr>
        <w:trPr>
          <w:trHeight w:val="20"/>
        </w:trPr>
        <w:tc>
          <w:tcPr>
            <w:tcW w:w="7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Operating Income (Loss), as a %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5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and 2012, includes, $47,779 and $77,532, respectively, associated with the implementation of the cost saving initiatives.</w:t>
      </w:r>
    </w:p>
    <w:p>
      <w:pPr>
        <w:spacing w:after="0" w:line="17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Other Advisory revenue, which includes Sovereign and Capital Structure Advisory revenue, increased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31% in 2014 as compared to 2013. In contrast, the industry statistics for global M&amp;A transactions described above reflect a 7% increase in the value, and a 1% increase in the number, of all completed transactions in 2014 as compared to 2013. For M&amp;A deals with values greater than $500 million, the value of completed transactions in 2014 increased 11%, while the number of such deals increased 5%, as compared to 2013.</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Lazard fee and transaction statistics are set forth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04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110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8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r>
      <w:tr>
        <w:trPr>
          <w:trHeight w:val="196"/>
        </w:trPr>
        <w:tc>
          <w:tcPr>
            <w:tcW w:w="8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Number of clients with fees greater than $1 million:</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Financial Advisory</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8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M&amp;A and Other Advisory</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7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total Financial Advisory net revenue from top 10 clients (a)</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8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28"/>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Number of M&amp;A transactions completed with values greater than $500 million (b)</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7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client constituted more than 10% of our Financial Advisory segment net revenue in the years ended December 31, 2014, 2013 or 2012.</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Dealogic as of January 13, 2015.</w:t>
      </w:r>
    </w:p>
    <w:p>
      <w:pPr>
        <w:spacing w:after="0" w:line="159"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0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8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2014 versus December 31, 2013</w:t>
      </w:r>
    </w:p>
    <w:p>
      <w:pPr>
        <w:spacing w:after="0" w:line="94"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Total Strategic Advisory net revenue, representing fees from our M&amp;A and Other Advisory and Capital Raising businesses, increased $244 million, or 29%, and Restructuring revenue decreased $18 million, or 14%, as compared to 2013.</w:t>
      </w:r>
    </w:p>
    <w:p>
      <w:pPr>
        <w:spacing w:after="0" w:line="120"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M&amp;A and Other Advisory revenue increased $242 million, or 31%, while Capital Raising revenue increased by $2 million, or 3%, as compared to 2013. The increase in M&amp;A and Other Advisory revenue was primarily due to an increase in the number of, and average transaction fee with respect to, completed transactions involving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fees greater than $1 million as compared to 2013. Our major clients, which in the aggregate represented a significant portion of our M&amp;A and Other Advisory revenue in the 2014 period, included Alliance Bank, Burger King, Cadence Pharmaceuticals, Google, Leap Wireless International, L’Oreal, Rockwood, Shire, TIAA-CREF and Vivendi.</w:t>
      </w:r>
    </w:p>
    <w:p>
      <w:pPr>
        <w:spacing w:after="0" w:line="132" w:lineRule="exact"/>
        <w:rPr>
          <w:sz w:val="20"/>
          <w:szCs w:val="20"/>
          <w:color w:val="auto"/>
        </w:rPr>
      </w:pPr>
    </w:p>
    <w:p>
      <w:pPr>
        <w:ind w:right="460" w:firstLine="456"/>
        <w:spacing w:after="0" w:line="262" w:lineRule="auto"/>
        <w:rPr>
          <w:sz w:val="20"/>
          <w:szCs w:val="20"/>
          <w:color w:val="auto"/>
        </w:rPr>
      </w:pPr>
      <w:r>
        <w:rPr>
          <w:rFonts w:ascii="Times New Roman" w:cs="Times New Roman" w:eastAsia="Times New Roman" w:hAnsi="Times New Roman"/>
          <w:sz w:val="18"/>
          <w:szCs w:val="18"/>
          <w:color w:val="auto"/>
        </w:rPr>
        <w:t>The decrease in Restructuring revenue in the 2014 period was generally in line with the continued industry-wide low level of corporate restructuring activity. Our major clients, which in the aggregate represented a significant portion of our Restructuring revenue for the 2014 period, included Associated Wholesalers, Cengage Learning, Official Committee of Retirees of the City of Detroit, USEC and Vivarte.</w:t>
      </w:r>
    </w:p>
    <w:p>
      <w:pPr>
        <w:spacing w:after="0" w:line="132"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Operating expenses increased $18 million, or 2%, as compared to 2013 (which included a $47 million charge related to the cost saving initiatives). Excluding such charge, operating expenses increased $65 million, or 7%, primarily due to an increase in (i) compensation and benefits expense related to an increase in discretionary compensation associated with increased operating revenue and (ii) an increase in non-compensation expense reflecting increased business activity.</w:t>
      </w:r>
    </w:p>
    <w:p>
      <w:pPr>
        <w:spacing w:after="0" w:line="13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Financial Advisory operating income was $229 million, an increase of $208 million as compared to operating income of $21 million in 2013 (which included the impact of the $47 million charge related to the cost saving initiatives) and, as a percentage of net revenue, was 19.0%, as compared to 2.1% in 2013, or 7% of net revenue in 2013 excluding such charges.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2013 versus December 31, 2012</w:t>
      </w:r>
    </w:p>
    <w:p>
      <w:pPr>
        <w:spacing w:after="0" w:line="9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Total Strategic Advisory net revenue, representing fees from our M&amp;A and Other Advisory and Capital Raising businesses, decreased $19 million, or 2%, and Restructuring revenue decreased $50 million, or 27%, as compared to 2012.</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M&amp;A and Other Advisory revenue decreased $24 million, or 3%, while Capital Raising revenue increased by $5 million, or 8%, as compared to 2012. The decrease in M&amp;A and Other Advisory revenue was primarily due to a decrease in the number of M&amp;A and Other Advisory transactions involving fees greater than $1 million. Our major clients, which in the aggregate represented 25% of our M&amp;A and Other Advisory revenue for 2013, included 3G Capital, Ameristar Casinos, Amgen, Anheuser-Busch InBev, Cerberus Capital Management, D.E Master Blenders 1753, EADS, Independent Committee of Independent Non-Executive Directors of Eurasian Natural Resources Corporation, NV Energy, Piraeus Bank, Rockwood and Tenet Healthcare.</w:t>
      </w:r>
    </w:p>
    <w:p>
      <w:pPr>
        <w:spacing w:after="0" w:line="13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 decrease in Restructuring revenue reflected the closing of several large assignments in 2012. Our major clients, which in the aggregate represented 25% of our Restructuring revenue in 2013, included Allied Pilots Association, Eastman Kodak and Exide Technologies.</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Operating expenses decreased $98 million, or 9%, as compared to 2012, and included a $47 million charge in 2013 and a $78 million charge in 2012 related to the cost saving initiatives. Excluding such charge, operating expenses decreased $68 million, or 7%. The primary contributors to the decrease were lower compensation and benefits expense due to lower operating revenue, headcount reductions related to the cost saving initiatives, reductions in amortization expense associated with deferred compensation awards, decreased travel and communications expense related to the cost saving initiatives and lower deal-related costs as a result of transactions that closed in 2013 as compared to 2012.</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Financial Advisory operating income in 2013 was $21 million (including the impact of the $47 million charge related to the cost saving initiatives), an increase of $29 million as compared to operating loss of $9 million in 2012 (including the impact of the $78 million charge related to the cost saving initiatives) and, as a percentage of net revenue, was 2.1% as compared to (0.8)% in 2012. Excluding the impact of such charges in 2013 and 2012, operating income in 2013 was $68 million, or 7% of net revenue, and was substantially unchanged as compared to operating income in 2012.</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60"/>
          </w:cols>
          <w:pgMar w:left="240" w:top="455" w:right="2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Management</w:t>
      </w:r>
    </w:p>
    <w:p>
      <w:pPr>
        <w:spacing w:after="0" w:line="92" w:lineRule="exact"/>
        <w:rPr>
          <w:sz w:val="20"/>
          <w:szCs w:val="20"/>
          <w:color w:val="auto"/>
        </w:rPr>
      </w:pPr>
    </w:p>
    <w:p>
      <w:pPr>
        <w:ind w:right="6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shows the composition of AUM for the Asset Management segment (see Item 1. “Business—Principal Business Lines—Asset Management—Investment Strategies”):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156"/>
        </w:trPr>
        <w:tc>
          <w:tcPr>
            <w:tcW w:w="8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AUM by Asset Class: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Emerging Markets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48,459</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47,450</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44,623</w:t>
            </w:r>
          </w:p>
        </w:tc>
      </w:tr>
      <w:tr>
        <w:trPr>
          <w:trHeight w:val="216"/>
        </w:trPr>
        <w:tc>
          <w:tcPr>
            <w:tcW w:w="8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Global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36,247</w:t>
            </w:r>
          </w:p>
        </w:tc>
      </w:tr>
      <w:tr>
        <w:trPr>
          <w:trHeight w:val="216"/>
        </w:trPr>
        <w:tc>
          <w:tcPr>
            <w:tcW w:w="8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Local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30,890</w:t>
            </w:r>
          </w:p>
        </w:tc>
      </w:tr>
      <w:tr>
        <w:trPr>
          <w:trHeight w:val="223"/>
        </w:trPr>
        <w:tc>
          <w:tcPr>
            <w:tcW w:w="8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Multi-Regional</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160,912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138,171</w:t>
            </w:r>
          </w:p>
        </w:tc>
      </w:tr>
      <w:tr>
        <w:trPr>
          <w:trHeight w:val="222"/>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Income:</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Emerging Markets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5,154</w:t>
            </w:r>
          </w:p>
        </w:tc>
      </w:tr>
      <w:tr>
        <w:trPr>
          <w:trHeight w:val="216"/>
        </w:trPr>
        <w:tc>
          <w:tcPr>
            <w:tcW w:w="8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Global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3,035</w:t>
            </w:r>
          </w:p>
        </w:tc>
      </w:tr>
      <w:tr>
        <w:trPr>
          <w:trHeight w:val="216"/>
        </w:trPr>
        <w:tc>
          <w:tcPr>
            <w:tcW w:w="8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Local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3,549</w:t>
            </w:r>
          </w:p>
        </w:tc>
      </w:tr>
      <w:tr>
        <w:trPr>
          <w:trHeight w:val="223"/>
        </w:trPr>
        <w:tc>
          <w:tcPr>
            <w:tcW w:w="8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Multi-Regional</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Fixed Income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22,718</w:t>
            </w:r>
          </w:p>
        </w:tc>
      </w:tr>
      <w:tr>
        <w:trPr>
          <w:trHeight w:val="222"/>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Investments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Pr>
          <w:p>
            <w:pPr>
              <w:spacing w:after="0"/>
              <w:rPr>
                <w:sz w:val="19"/>
                <w:szCs w:val="19"/>
                <w:color w:val="auto"/>
              </w:rPr>
            </w:pPr>
          </w:p>
        </w:tc>
      </w:tr>
      <w:tr>
        <w:trPr>
          <w:trHeight w:val="217"/>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Private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w:t>
            </w: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Management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AUM</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197,103</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186,924</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167,060</w:t>
            </w: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Total AUM at December 31, 2014 was $197 billion, an increase of $10 billion, or 5%, as compared to total AUM of $187 billion at December 31, 2013, primarily due to market appreciation and net inflows, partially offset by adverse foreign exchange movements. Average AUM for the year ended December 31, 2014 was 13% higher than that for 2013.</w:t>
      </w:r>
    </w:p>
    <w:p>
      <w:pPr>
        <w:spacing w:after="0" w:line="132"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2014, approximately 90% of our AUM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 relationships, which are principally with family offices and individuals, and was substantially unchanged from the corresponding percentages at December 31, 2013.</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December 31, 2014, AUM with foreign currency exposure represented approximately 73% of our total AUM, as compared to 76% at December 31,</w:t>
      </w:r>
    </w:p>
    <w:p>
      <w:pPr>
        <w:spacing w:after="0" w:line="44"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2013. AUM with foreign currency exposure generally declines in value with the strengthening of the U.S. Dollar and increases in value as the U.S. Dollar weakens, with all other factors held constant.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changes in AUM by asset class for the years ended December 31, 2014, 2013 and 2012: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358"/>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44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AUM</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Market Value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58"/>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Exchange</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AUM</w:t>
            </w:r>
          </w:p>
        </w:tc>
      </w:tr>
      <w:tr>
        <w:trPr>
          <w:trHeight w:val="149"/>
        </w:trPr>
        <w:tc>
          <w:tcPr>
            <w:tcW w:w="444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Appreciation/</w:t>
            </w:r>
          </w:p>
        </w:tc>
        <w:tc>
          <w:tcPr>
            <w:tcW w:w="300" w:type="dxa"/>
            <w:vAlign w:val="bottom"/>
          </w:tcPr>
          <w:p>
            <w:pPr>
              <w:spacing w:after="0"/>
              <w:rPr>
                <w:sz w:val="12"/>
                <w:szCs w:val="12"/>
                <w:color w:val="auto"/>
              </w:rPr>
            </w:pPr>
          </w:p>
        </w:tc>
        <w:tc>
          <w:tcPr>
            <w:tcW w:w="1200" w:type="dxa"/>
            <w:vAlign w:val="bottom"/>
            <w:gridSpan w:val="3"/>
          </w:tcPr>
          <w:p>
            <w:pPr>
              <w:jc w:val="center"/>
              <w:ind w:right="238"/>
              <w:spacing w:after="0" w:line="149" w:lineRule="exact"/>
              <w:rPr>
                <w:sz w:val="20"/>
                <w:szCs w:val="20"/>
                <w:color w:val="auto"/>
              </w:rPr>
            </w:pPr>
            <w:r>
              <w:rPr>
                <w:rFonts w:ascii="Times New Roman" w:cs="Times New Roman" w:eastAsia="Times New Roman" w:hAnsi="Times New Roman"/>
                <w:sz w:val="14"/>
                <w:szCs w:val="14"/>
                <w:b w:val="1"/>
                <w:bCs w:val="1"/>
                <w:color w:val="auto"/>
                <w:w w:val="96"/>
              </w:rPr>
              <w:t>Appreciation/</w:t>
            </w: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Ending</w:t>
            </w:r>
          </w:p>
        </w:tc>
      </w:tr>
      <w:tr>
        <w:trPr>
          <w:trHeight w:val="165"/>
        </w:trPr>
        <w:tc>
          <w:tcPr>
            <w:tcW w:w="4440" w:type="dxa"/>
            <w:vAlign w:val="bottom"/>
          </w:tcPr>
          <w:p>
            <w:pPr>
              <w:spacing w:after="0"/>
              <w:rPr>
                <w:sz w:val="14"/>
                <w:szCs w:val="14"/>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Inflows</w:t>
            </w:r>
          </w:p>
        </w:tc>
        <w:tc>
          <w:tcPr>
            <w:tcW w:w="860" w:type="dxa"/>
            <w:vAlign w:val="bottom"/>
            <w:gridSpan w:val="2"/>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Outflows</w:t>
            </w: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(Depreciation)</w:t>
            </w:r>
          </w:p>
        </w:tc>
        <w:tc>
          <w:tcPr>
            <w:tcW w:w="300" w:type="dxa"/>
            <w:vAlign w:val="bottom"/>
          </w:tcPr>
          <w:p>
            <w:pPr>
              <w:spacing w:after="0"/>
              <w:rPr>
                <w:sz w:val="14"/>
                <w:szCs w:val="14"/>
                <w:color w:val="auto"/>
              </w:rPr>
            </w:pPr>
          </w:p>
        </w:tc>
        <w:tc>
          <w:tcPr>
            <w:tcW w:w="1200" w:type="dxa"/>
            <w:vAlign w:val="bottom"/>
            <w:gridSpan w:val="3"/>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7"/>
              </w:rPr>
              <w:t>(Depreciation)</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Balance</w:t>
            </w:r>
          </w:p>
        </w:tc>
      </w:tr>
      <w:tr>
        <w:trPr>
          <w:trHeight w:val="142"/>
        </w:trPr>
        <w:tc>
          <w:tcPr>
            <w:tcW w:w="4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right"/>
              <w:ind w:right="127"/>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1"/>
              </w:rPr>
              <w:t>$ 154,062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1"/>
              </w:rPr>
              <w:t>$ 31,067</w:t>
            </w: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3"/>
              </w:rPr>
              <w:t>$ (25,419)</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$ 5,648</w:t>
            </w:r>
          </w:p>
        </w:tc>
        <w:tc>
          <w:tcPr>
            <w:tcW w:w="36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(9,263)</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$ 160,912</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26,874</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10,535</w:t>
            </w: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(4,184)</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6,351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(2,939)</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31,110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5,988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1,126</w:t>
            </w: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(1,850)</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(240)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5,081</w:t>
            </w: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$ 186,924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$ 42,728</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(31,453</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$ 11,275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$ 197,103</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Inflows in the Equity and Fixed Income asset classes were primarily attributable to the Emerging Markets and Multi-Regional platforms. Outflows in the Equity asset class were primarily attributable to the Emerging Markets and Global equity platforms, and outflows in the Fixed Income asset class were primarily attributable to the Multi-Regional and Emerging Markets platforms.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1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2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AUM</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Exchange</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AUM</w:t>
            </w:r>
          </w:p>
        </w:tc>
      </w:tr>
      <w:tr>
        <w:trPr>
          <w:trHeight w:val="149"/>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8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2"/>
                <w:szCs w:val="12"/>
                <w:color w:val="auto"/>
              </w:rPr>
            </w:pPr>
          </w:p>
        </w:tc>
        <w:tc>
          <w:tcPr>
            <w:tcW w:w="126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20" w:type="dxa"/>
            <w:vAlign w:val="bottom"/>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Ending</w:t>
            </w:r>
          </w:p>
        </w:tc>
      </w:tr>
      <w:tr>
        <w:trPr>
          <w:trHeight w:val="165"/>
        </w:trPr>
        <w:tc>
          <w:tcPr>
            <w:tcW w:w="2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Inflows</w:t>
            </w:r>
          </w:p>
        </w:tc>
        <w:tc>
          <w:tcPr>
            <w:tcW w:w="60" w:type="dxa"/>
            <w:vAlign w:val="bottom"/>
          </w:tcPr>
          <w:p>
            <w:pPr>
              <w:spacing w:after="0"/>
              <w:rPr>
                <w:sz w:val="14"/>
                <w:szCs w:val="14"/>
                <w:color w:val="auto"/>
              </w:rPr>
            </w:pPr>
          </w:p>
        </w:tc>
        <w:tc>
          <w:tcPr>
            <w:tcW w:w="880" w:type="dxa"/>
            <w:vAlign w:val="bottom"/>
            <w:gridSpan w:val="3"/>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w w:val="95"/>
              </w:rPr>
              <w:t>Outflows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2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3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Balance</w:t>
            </w:r>
          </w:p>
        </w:tc>
      </w:tr>
      <w:tr>
        <w:trPr>
          <w:trHeight w:val="142"/>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2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$138,171</w:t>
            </w: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$26,518</w:t>
            </w:r>
          </w:p>
        </w:tc>
        <w:tc>
          <w:tcPr>
            <w:tcW w:w="3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w w:val="93"/>
              </w:rPr>
              <w:t>$ (31,597)</w:t>
            </w:r>
          </w:p>
        </w:tc>
        <w:tc>
          <w:tcPr>
            <w:tcW w:w="114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$(5,079)</w:t>
            </w: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25,495</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$154,062</w:t>
            </w:r>
          </w:p>
        </w:tc>
        <w:tc>
          <w:tcPr>
            <w:tcW w:w="10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22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22,718</w:t>
            </w:r>
          </w:p>
        </w:tc>
        <w:tc>
          <w:tcPr>
            <w:tcW w:w="2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6,725</w:t>
            </w:r>
          </w:p>
        </w:tc>
        <w:tc>
          <w:tcPr>
            <w:tcW w:w="360" w:type="dxa"/>
            <w:vAlign w:val="bottom"/>
          </w:tcPr>
          <w:p>
            <w:pPr>
              <w:spacing w:after="0"/>
              <w:rPr>
                <w:sz w:val="18"/>
                <w:szCs w:val="18"/>
                <w:color w:val="auto"/>
              </w:rPr>
            </w:pPr>
          </w:p>
        </w:tc>
        <w:tc>
          <w:tcPr>
            <w:tcW w:w="940" w:type="dxa"/>
            <w:vAlign w:val="bottom"/>
            <w:gridSpan w:val="4"/>
          </w:tcPr>
          <w:p>
            <w:pPr>
              <w:jc w:val="right"/>
              <w:ind w:right="142"/>
              <w:spacing w:after="0"/>
              <w:rPr>
                <w:sz w:val="20"/>
                <w:szCs w:val="20"/>
                <w:color w:val="auto"/>
              </w:rPr>
            </w:pPr>
            <w:r>
              <w:rPr>
                <w:rFonts w:ascii="Times New Roman" w:cs="Times New Roman" w:eastAsia="Times New Roman" w:hAnsi="Times New Roman"/>
                <w:sz w:val="18"/>
                <w:szCs w:val="18"/>
                <w:color w:val="auto"/>
              </w:rPr>
              <w:t>(3,318)</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26,874</w:t>
            </w: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6,171</w:t>
            </w: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1,063</w:t>
            </w:r>
          </w:p>
        </w:tc>
        <w:tc>
          <w:tcPr>
            <w:tcW w:w="3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(1,325)</w:t>
            </w:r>
          </w:p>
        </w:tc>
        <w:tc>
          <w:tcPr>
            <w:tcW w:w="114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shd w:val="clear" w:color="auto" w:fill="CCEEFF"/>
          </w:tcPr>
          <w:p>
            <w:pPr>
              <w:spacing w:after="0"/>
              <w:rPr>
                <w:sz w:val="18"/>
                <w:szCs w:val="18"/>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34,306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 xml:space="preserve"> (36,240</w:t>
            </w:r>
          </w:p>
        </w:tc>
        <w:tc>
          <w:tcPr>
            <w:tcW w:w="28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(1,934</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4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186,924</w:t>
            </w:r>
          </w:p>
        </w:tc>
        <w:tc>
          <w:tcPr>
            <w:tcW w:w="100" w:type="dxa"/>
            <w:vAlign w:val="bottom"/>
          </w:tcPr>
          <w:p>
            <w:pPr>
              <w:spacing w:after="0"/>
              <w:rPr>
                <w:sz w:val="19"/>
                <w:szCs w:val="19"/>
                <w:color w:val="auto"/>
              </w:rPr>
            </w:pPr>
          </w:p>
        </w:tc>
      </w:tr>
      <w:tr>
        <w:trPr>
          <w:trHeight w:val="20"/>
        </w:trPr>
        <w:tc>
          <w:tcPr>
            <w:tcW w:w="2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2"/>
        </w:trPr>
        <w:tc>
          <w:tcPr>
            <w:tcW w:w="2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2012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2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AUM</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Exchange</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AUM</w:t>
            </w:r>
          </w:p>
        </w:tc>
      </w:tr>
      <w:tr>
        <w:trPr>
          <w:trHeight w:val="149"/>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20" w:type="dxa"/>
            <w:vAlign w:val="bottom"/>
          </w:tcPr>
          <w:p>
            <w:pPr>
              <w:spacing w:after="0"/>
              <w:rPr>
                <w:sz w:val="12"/>
                <w:szCs w:val="12"/>
                <w:color w:val="auto"/>
              </w:rPr>
            </w:pPr>
          </w:p>
        </w:tc>
        <w:tc>
          <w:tcPr>
            <w:tcW w:w="128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Appreciation/</w:t>
            </w: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Ending</w:t>
            </w:r>
          </w:p>
        </w:tc>
      </w:tr>
      <w:tr>
        <w:trPr>
          <w:trHeight w:val="165"/>
        </w:trPr>
        <w:tc>
          <w:tcPr>
            <w:tcW w:w="2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Inflows</w:t>
            </w:r>
          </w:p>
        </w:tc>
        <w:tc>
          <w:tcPr>
            <w:tcW w:w="60" w:type="dxa"/>
            <w:vAlign w:val="bottom"/>
          </w:tcPr>
          <w:p>
            <w:pPr>
              <w:spacing w:after="0"/>
              <w:rPr>
                <w:sz w:val="14"/>
                <w:szCs w:val="14"/>
                <w:color w:val="auto"/>
              </w:rPr>
            </w:pPr>
          </w:p>
        </w:tc>
        <w:tc>
          <w:tcPr>
            <w:tcW w:w="880" w:type="dxa"/>
            <w:vAlign w:val="bottom"/>
            <w:gridSpan w:val="3"/>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Outflows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Balance</w:t>
            </w:r>
          </w:p>
        </w:tc>
      </w:tr>
      <w:tr>
        <w:trPr>
          <w:trHeight w:val="142"/>
        </w:trPr>
        <w:tc>
          <w:tcPr>
            <w:tcW w:w="2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in millions)</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2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$ 116,362</w:t>
            </w:r>
          </w:p>
        </w:tc>
        <w:tc>
          <w:tcPr>
            <w:tcW w:w="134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$19,995</w:t>
            </w:r>
          </w:p>
        </w:tc>
        <w:tc>
          <w:tcPr>
            <w:tcW w:w="940" w:type="dxa"/>
            <w:vAlign w:val="bottom"/>
            <w:gridSpan w:val="4"/>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w w:val="98"/>
              </w:rPr>
              <w:t>$ (19,616)</w:t>
            </w:r>
          </w:p>
        </w:tc>
        <w:tc>
          <w:tcPr>
            <w:tcW w:w="1140" w:type="dxa"/>
            <w:vAlign w:val="bottom"/>
            <w:gridSpan w:val="5"/>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379</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21,475</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$138,171</w:t>
            </w:r>
          </w:p>
        </w:tc>
        <w:tc>
          <w:tcPr>
            <w:tcW w:w="10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22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17,750</w:t>
            </w:r>
          </w:p>
        </w:tc>
        <w:tc>
          <w:tcPr>
            <w:tcW w:w="134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6,649</w:t>
            </w:r>
          </w:p>
        </w:tc>
        <w:tc>
          <w:tcPr>
            <w:tcW w:w="940" w:type="dxa"/>
            <w:vAlign w:val="bottom"/>
            <w:gridSpan w:val="4"/>
          </w:tcPr>
          <w:p>
            <w:pPr>
              <w:jc w:val="right"/>
              <w:ind w:right="102"/>
              <w:spacing w:after="0"/>
              <w:rPr>
                <w:sz w:val="20"/>
                <w:szCs w:val="20"/>
                <w:color w:val="auto"/>
              </w:rPr>
            </w:pPr>
            <w:r>
              <w:rPr>
                <w:rFonts w:ascii="Times New Roman" w:cs="Times New Roman" w:eastAsia="Times New Roman" w:hAnsi="Times New Roman"/>
                <w:sz w:val="18"/>
                <w:szCs w:val="18"/>
                <w:color w:val="auto"/>
              </w:rPr>
              <w:t>(3,033)</w:t>
            </w:r>
          </w:p>
        </w:tc>
        <w:tc>
          <w:tcPr>
            <w:tcW w:w="114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color w:val="auto"/>
              </w:rPr>
              <w:t>3,616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294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22,718</w:t>
            </w: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6,927</w:t>
            </w:r>
          </w:p>
        </w:tc>
        <w:tc>
          <w:tcPr>
            <w:tcW w:w="134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699</w:t>
            </w:r>
          </w:p>
        </w:tc>
        <w:tc>
          <w:tcPr>
            <w:tcW w:w="940" w:type="dxa"/>
            <w:vAlign w:val="bottom"/>
            <w:gridSpan w:val="4"/>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(1,953)</w:t>
            </w:r>
          </w:p>
        </w:tc>
        <w:tc>
          <w:tcPr>
            <w:tcW w:w="11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shd w:val="clear" w:color="auto" w:fill="CCEEFF"/>
          </w:tcPr>
          <w:p>
            <w:pPr>
              <w:spacing w:after="0"/>
              <w:rPr>
                <w:sz w:val="18"/>
                <w:szCs w:val="18"/>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141,039</w:t>
            </w:r>
          </w:p>
        </w:tc>
        <w:tc>
          <w:tcPr>
            <w:tcW w:w="20" w:type="dxa"/>
            <w:vAlign w:val="bottom"/>
            <w:tcBorders>
              <w:bottom w:val="single" w:sz="8" w:color="auto"/>
            </w:tcBorders>
          </w:tcPr>
          <w:p>
            <w:pPr>
              <w:spacing w:after="0"/>
              <w:rPr>
                <w:sz w:val="19"/>
                <w:szCs w:val="19"/>
                <w:color w:val="auto"/>
              </w:rPr>
            </w:pPr>
          </w:p>
        </w:tc>
        <w:tc>
          <w:tcPr>
            <w:tcW w:w="40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27,343</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9"/>
              </w:rPr>
              <w:t>$</w:t>
            </w:r>
            <w:r>
              <w:rPr>
                <w:rFonts w:ascii="Times New Roman" w:cs="Times New Roman" w:eastAsia="Times New Roman" w:hAnsi="Times New Roman"/>
                <w:sz w:val="18"/>
                <w:szCs w:val="18"/>
                <w:color w:val="auto"/>
                <w:w w:val="89"/>
              </w:rPr>
              <w:t xml:space="preserve"> (24,602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$ 2,741</w:t>
            </w:r>
          </w:p>
        </w:tc>
        <w:tc>
          <w:tcPr>
            <w:tcW w:w="38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167,060</w:t>
            </w:r>
          </w:p>
        </w:tc>
        <w:tc>
          <w:tcPr>
            <w:tcW w:w="100" w:type="dxa"/>
            <w:vAlign w:val="bottom"/>
          </w:tcPr>
          <w:p>
            <w:pPr>
              <w:spacing w:after="0"/>
              <w:rPr>
                <w:sz w:val="19"/>
                <w:szCs w:val="19"/>
                <w:color w:val="auto"/>
              </w:rPr>
            </w:pPr>
          </w:p>
        </w:tc>
      </w:tr>
      <w:tr>
        <w:trPr>
          <w:trHeight w:val="20"/>
        </w:trPr>
        <w:tc>
          <w:tcPr>
            <w:tcW w:w="2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As of February 20, 2015, AUM was $199.9 billion, a $2.8 billion increase since December 31, 2014. The increase in AUM was due to market appreciation of $7.4 billion, partially offset by net outflows of $0.8 billion and foreign exchange depreciation of $3.8 billion.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740" w:firstLine="456"/>
        <w:spacing w:after="0" w:line="275" w:lineRule="auto"/>
        <w:rPr>
          <w:sz w:val="20"/>
          <w:szCs w:val="20"/>
          <w:color w:val="auto"/>
        </w:rPr>
      </w:pPr>
      <w:r>
        <w:rPr>
          <w:rFonts w:ascii="Times New Roman" w:cs="Times New Roman" w:eastAsia="Times New Roman" w:hAnsi="Times New Roman"/>
          <w:sz w:val="18"/>
          <w:szCs w:val="18"/>
          <w:color w:val="auto"/>
        </w:rPr>
        <w:t>Average AUM for the years ended December 31, 2014, 2013 and 2012 for each significant asset class is set forth below. Average AUM generally represents the average of the monthly ending AUM balances for the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gridSpan w:val="9"/>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4"/>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center"/>
              <w:ind w:left="21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2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millions)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AUM by Asset Class:</w:t>
            </w:r>
          </w:p>
        </w:tc>
        <w:tc>
          <w:tcPr>
            <w:tcW w:w="2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Equity</w:t>
            </w:r>
          </w:p>
        </w:tc>
        <w:tc>
          <w:tcPr>
            <w:tcW w:w="2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$ 160,455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$ 143,923</w:t>
            </w:r>
          </w:p>
        </w:tc>
        <w:tc>
          <w:tcPr>
            <w:tcW w:w="26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$ 128,357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Fixed Income</w:t>
            </w:r>
          </w:p>
        </w:tc>
        <w:tc>
          <w:tcPr>
            <w:tcW w:w="2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2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Alternative Investments</w:t>
            </w:r>
          </w:p>
        </w:tc>
        <w:tc>
          <w:tcPr>
            <w:tcW w:w="2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26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Private Equity</w:t>
            </w:r>
          </w:p>
        </w:tc>
        <w:tc>
          <w:tcPr>
            <w:tcW w:w="2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Cash Management</w:t>
            </w:r>
          </w:p>
        </w:tc>
        <w:tc>
          <w:tcPr>
            <w:tcW w:w="2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Average AUM</w:t>
            </w:r>
          </w:p>
        </w:tc>
        <w:tc>
          <w:tcPr>
            <w:tcW w:w="2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$ 196,037</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$ 173,702</w:t>
            </w:r>
          </w:p>
        </w:tc>
        <w:tc>
          <w:tcPr>
            <w:tcW w:w="2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$ 155,549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gridSpan w:val="5"/>
            <w:vMerge w:val="restart"/>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Asset Management segment:</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52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gridSpan w:val="6"/>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Management Fees</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$1,018,772</w:t>
            </w: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903,956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$806,044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Incentive Fees</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51,866</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Income</w:t>
            </w:r>
          </w:p>
        </w:tc>
        <w:tc>
          <w:tcPr>
            <w:tcW w:w="24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63,957</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56,832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46,555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1,134,595</w:t>
            </w:r>
          </w:p>
        </w:tc>
        <w:tc>
          <w:tcPr>
            <w:tcW w:w="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1,039,130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(a)</w:t>
            </w:r>
          </w:p>
        </w:tc>
        <w:tc>
          <w:tcPr>
            <w:tcW w:w="24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749,345</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704,045</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659,502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385,250</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335,085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236,758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Operating Income, as a % of net revenue</w:t>
            </w:r>
          </w:p>
        </w:tc>
        <w:tc>
          <w:tcPr>
            <w:tcW w:w="2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3"/>
            <w:vMerge w:val="continue"/>
          </w:tcPr>
          <w:p>
            <w:pPr>
              <w:spacing w:after="0"/>
              <w:rPr>
                <w:sz w:val="18"/>
                <w:szCs w:val="18"/>
                <w:color w:val="auto"/>
              </w:rPr>
            </w:pPr>
          </w:p>
        </w:tc>
        <w:tc>
          <w:tcPr>
            <w:tcW w:w="2400" w:type="dxa"/>
            <w:vAlign w:val="bottom"/>
          </w:tcPr>
          <w:p>
            <w:pPr>
              <w:spacing w:after="0"/>
              <w:rPr>
                <w:sz w:val="18"/>
                <w:szCs w:val="18"/>
                <w:color w:val="auto"/>
              </w:rPr>
            </w:pPr>
          </w:p>
        </w:tc>
        <w:tc>
          <w:tcPr>
            <w:tcW w:w="1420" w:type="dxa"/>
            <w:vAlign w:val="bottom"/>
            <w:gridSpan w:val="3"/>
          </w:tcPr>
          <w:p>
            <w:pPr>
              <w:jc w:val="right"/>
              <w:ind w:right="398"/>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80" w:hanging="452"/>
        <w:spacing w:after="0" w:line="275"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and 2012, includes $235 and $12,789, respectively, associated with the implementation of the cost saving initiatives, and in 2013, $12,203 relating to private equity compensation.</w:t>
      </w:r>
    </w:p>
    <w:p>
      <w:pPr>
        <w:spacing w:after="0" w:line="120"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Our top ten clients accounted for 24%, 24% and 23% of our total AUM at December 31, 2014, 2013 and 2012, respectively, and no individual client constituted more than 10% of our Asset Management segment net revenue during any of the respective years.</w:t>
      </w:r>
    </w:p>
    <w:p>
      <w:pPr>
        <w:spacing w:after="0" w:line="12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7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62%</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5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47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7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740" w:type="dxa"/>
            <w:vAlign w:val="bottom"/>
            <w:vMerge w:val="restart"/>
          </w:tcPr>
          <w:p>
            <w:pPr>
              <w:jc w:val="right"/>
              <w:ind w:right="2152"/>
              <w:spacing w:after="0"/>
              <w:rPr>
                <w:sz w:val="20"/>
                <w:szCs w:val="20"/>
                <w:color w:val="auto"/>
              </w:rPr>
            </w:pPr>
            <w:r>
              <w:rPr>
                <w:rFonts w:ascii="Times New Roman" w:cs="Times New Roman" w:eastAsia="Times New Roman" w:hAnsi="Times New Roman"/>
                <w:sz w:val="18"/>
                <w:szCs w:val="18"/>
                <w:color w:val="auto"/>
              </w:rPr>
              <w:t>52</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2014 versus December 31, 2013</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Asset Management net revenue increased $95 million, or 9%, as compared to 2013. Management fees increased $115 million, or 13%, as compared to 2013, reflecting a $22 billion, or 13%, increase in average AUM. Incentive fees decreased $26 million, or 34%, as compared to 2013, primarily due to fees related to alternative investment products. Other revenue increased $7 million, or 13%, as compared to 2013, primarily due to higher transaction-based commission revenue as a result of increased market activity and custody fees and transaction fees related to our private equity business.</w:t>
      </w:r>
    </w:p>
    <w:p>
      <w:pPr>
        <w:spacing w:after="0" w:line="136"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Operating expenses increased $45 million, or 6%, as compared to 2013, primarily due to increases in (i) compensation and benefits expense related to an increase in discretionary compensation associated with higher operating revenue and (ii) non-compensation expense related to increased business activity and AUM.</w:t>
      </w:r>
    </w:p>
    <w:p>
      <w:pPr>
        <w:spacing w:after="0" w:line="13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Asset Management operating income was $385 million, an increase of $50 million, or 15%, as compared to operating income of $335 million in 2013 (which included the impact of the $0.2 million charge related to the cost saving initiatives and the $12 million charge pertaining to private equity compensation) and, as a percentage of net revenue, was 34.0%, as compared to 32.2% in 2013.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2013 versus December 31, 2012</w:t>
      </w:r>
    </w:p>
    <w:p>
      <w:pPr>
        <w:spacing w:after="0" w:line="94"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Asset Management net revenue increased $143 million, or 16%, as compared to 2012. Management fees increased $98 million, or 12%, as compared to 2012, reflecting an $18 billion, or 12%, increase in average AUM. Incentive fees increased $35 million, or 79%, as compared to 2012, primarily due to fees related to traditional investment products and, to a lesser extent, alternative investment products. Other revenue increased $10 million, or 22%, as compared to 2012, primarily due to higher transaction-based commission revenue as a result of increased market activity.</w:t>
      </w:r>
    </w:p>
    <w:p>
      <w:pPr>
        <w:spacing w:after="0" w:line="136"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Operating expenses increased $45 million, or 7%, as compared to 2012, primarily due to an increase in compensation and benefits expense related to the increase in operating revenue, an increase in mutual fund servicing fees related to the growth in AUM and increased amortization of intangible assets related to Edgewater.</w:t>
      </w:r>
    </w:p>
    <w:p>
      <w:pPr>
        <w:spacing w:after="0" w:line="13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Asset Management operating income in the 2013 period was $335 million, an increase of $98 million (including the impact of the $0.2 million charge relating to the cost saving initiatives and the $12 million charge pertaining to private equity incentive compensation), or 42%, compared to operating income of $237 million in 2012 (including the impact of the $13 million charge related to the cost saving initiatives) and, as a percentage of net revenue, was 32.2%, compared to 26.4% in 2012. Excluding the impact of such charges, operating income in 2013 was $347 million, an increase of $97 million, or 39%, as compared to operating income of $250 million in 2012.</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reported operating results attributable to the Corporate segment: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right"/>
              <w:ind w:right="580"/>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9,550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(68,200)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(87,031)</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(91,309)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Interest (Expense)</w:t>
            </w:r>
          </w:p>
        </w:tc>
        <w:tc>
          <w:tcPr>
            <w:tcW w:w="2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(58,498)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(77,481)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41,848</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 (Expense)</w:t>
            </w:r>
          </w:p>
        </w:tc>
        <w:tc>
          <w:tcPr>
            <w:tcW w:w="2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(35,633)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(a)</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101,352</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69,415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(73,328)</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(136,985)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80" w:hanging="452"/>
        <w:spacing w:after="0" w:line="275"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in 2013 and 2012, $16,689 and $12,255, respectively, associated with the implementation of the cost saving initiatives, (ii) in 2013, $54,087 relating to the refinancing of the 2015 Notes and the issuance of the 2020 Notes and (iii) in 2012, $24,659 relating to the staff reductions.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Corporate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2014 versus December 31, 2013</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interest expense decreased $19 million, or 25%, as compared to 2013, primarily due to the refinancing of the 2015 Notes.</w:t>
      </w:r>
    </w:p>
    <w:p>
      <w:pPr>
        <w:spacing w:after="0" w:line="17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Other revenue decreased $24 million, or 57%, as compared to 2013, primarily due to lower investment gains recorded in connection with LFI and other investments.</w:t>
      </w:r>
    </w:p>
    <w:p>
      <w:pPr>
        <w:spacing w:after="0" w:line="120"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Operating expenses decreased $69 million, or 68%, as compared to 2013 (which included charges of $17 million associated with the cost saving initiatives and $54 million related to the refinancing of the 2015 Notes). Excluding the impact of such charges, operating expenses increased $2 million compared to 2013. The increase was primarily related to the net impact of various one-time items recorded in 2014 and 2013.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2013 versus December 31, 2012</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interest expense decreased $1 million, or 2%, compared to 2012, primarily due to the refinancing of the 2015 Notes.</w:t>
      </w:r>
    </w:p>
    <w:p>
      <w:pPr>
        <w:spacing w:after="0" w:line="171" w:lineRule="exact"/>
        <w:rPr>
          <w:sz w:val="20"/>
          <w:szCs w:val="20"/>
          <w:color w:val="auto"/>
        </w:rPr>
      </w:pPr>
    </w:p>
    <w:p>
      <w:pPr>
        <w:ind w:left="460" w:right="220"/>
        <w:spacing w:after="0" w:line="395" w:lineRule="auto"/>
        <w:rPr>
          <w:sz w:val="20"/>
          <w:szCs w:val="20"/>
          <w:color w:val="auto"/>
        </w:rPr>
      </w:pPr>
      <w:r>
        <w:rPr>
          <w:rFonts w:ascii="Times New Roman" w:cs="Times New Roman" w:eastAsia="Times New Roman" w:hAnsi="Times New Roman"/>
          <w:sz w:val="16"/>
          <w:szCs w:val="16"/>
          <w:color w:val="auto"/>
        </w:rPr>
        <w:t>Other revenue increased $3 million, or 7%, compared to 2012, primarily due to a loss recorded in 2012 related to the sale of an intercompany receivable. Operating expenses increased $32 million, or 46%, compared to 2012, and included (i) in 2013 and 2012, charges of $17 million and $12 million,</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respectively, associated with the cost saving initiatives, (ii) in 2013, a charge of $54 million pertaining to the refinancing of the 2015 Notes, and (iii) in 2012, a charge of $25 million related to staff reductions. Excluding the impact of such charges in both periods, operating expenses in 2013 decreased $2 million as compared to 2012.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92" w:lineRule="exact"/>
        <w:rPr>
          <w:sz w:val="20"/>
          <w:szCs w:val="20"/>
          <w:color w:val="auto"/>
        </w:rPr>
      </w:pPr>
    </w:p>
    <w:p>
      <w:pPr>
        <w:ind w:right="760" w:firstLine="456"/>
        <w:spacing w:after="0" w:line="275" w:lineRule="auto"/>
        <w:rPr>
          <w:sz w:val="20"/>
          <w:szCs w:val="20"/>
          <w:color w:val="auto"/>
        </w:rPr>
      </w:pPr>
      <w:r>
        <w:rPr>
          <w:rFonts w:ascii="Times New Roman" w:cs="Times New Roman" w:eastAsia="Times New Roman" w:hAnsi="Times New Roman"/>
          <w:sz w:val="18"/>
          <w:szCs w:val="18"/>
          <w:color w:val="auto"/>
        </w:rPr>
        <w:t>The Company’s cash flows are influenced primarily by the timing of the receipt of Financial Advisory and Asset Management fees, the timing of distributions to members, payments of incentive compensation to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managing directors and employees and purchases of Class A common stock. Cash flows also were affected in 2013 by the refinancing of the 2015 Notes and the issuance of the 2020 Notes.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3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Company makes cash payments for, or in respect of, a significant portion of its incentive compensation during the first three months of each calendar year with respect to the prior year’s results. In addition, during 2014 and 2013, the Company made cash payments, including severance payments, associated with the cost saving initiatives (see “Cost Saving Initiatives” above and Note 16 of Notes to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millions)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1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463.2</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16"/>
        </w:trPr>
        <w:tc>
          <w:tcPr>
            <w:tcW w:w="7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(a)</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348.6</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401.6</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operating activities (b)</w:t>
            </w:r>
          </w:p>
        </w:tc>
        <w:tc>
          <w:tcPr>
            <w:tcW w:w="1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0"/>
        </w:trPr>
        <w:tc>
          <w:tcPr>
            <w:tcW w:w="75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Investing activities</w:t>
            </w:r>
          </w:p>
        </w:tc>
        <w:tc>
          <w:tcPr>
            <w:tcW w:w="1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7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Financing activities (c)</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732"/>
              <w:spacing w:after="0"/>
              <w:rPr>
                <w:sz w:val="20"/>
                <w:szCs w:val="20"/>
                <w:color w:val="auto"/>
              </w:rPr>
            </w:pPr>
            <w:r>
              <w:rPr>
                <w:rFonts w:ascii="Times New Roman" w:cs="Times New Roman" w:eastAsia="Times New Roman" w:hAnsi="Times New Roman"/>
                <w:sz w:val="18"/>
                <w:szCs w:val="18"/>
                <w:color w:val="auto"/>
              </w:rPr>
              <w:t>(561.9)</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(492.6)</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Beginning of Year</w:t>
            </w:r>
          </w:p>
        </w:tc>
        <w:tc>
          <w:tcPr>
            <w:tcW w:w="1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End of Year</w:t>
            </w:r>
          </w:p>
        </w:tc>
        <w:tc>
          <w:tcPr>
            <w:tcW w:w="14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917.2</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Consists of the following:</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in millions)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7580" w:type="dxa"/>
            <w:vAlign w:val="bottom"/>
            <w:gridSpan w:val="2"/>
          </w:tcPr>
          <w:p>
            <w:pPr>
              <w:spacing w:after="0"/>
              <w:rPr>
                <w:sz w:val="7"/>
                <w:szCs w:val="7"/>
                <w:color w:val="auto"/>
              </w:rPr>
            </w:pPr>
          </w:p>
        </w:tc>
        <w:tc>
          <w:tcPr>
            <w:tcW w:w="1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gridSpan w:val="2"/>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7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Amortization of deferred expenses, stock units and interest rate hedge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1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3"/>
        </w:trPr>
        <w:tc>
          <w:tcPr>
            <w:tcW w:w="7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348.6</w:t>
            </w:r>
          </w:p>
        </w:tc>
        <w:tc>
          <w:tcPr>
            <w:tcW w:w="8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changes in operating assets and liabilities.</w:t>
      </w:r>
    </w:p>
    <w:p>
      <w:pPr>
        <w:spacing w:after="0" w:line="21" w:lineRule="exact"/>
        <w:rPr>
          <w:rFonts w:ascii="Times New Roman" w:cs="Times New Roman" w:eastAsia="Times New Roman" w:hAnsi="Times New Roman"/>
          <w:sz w:val="18"/>
          <w:szCs w:val="18"/>
          <w:color w:val="auto"/>
        </w:rPr>
      </w:pPr>
    </w:p>
    <w:p>
      <w:pPr>
        <w:ind w:left="460" w:right="100" w:hanging="452"/>
        <w:spacing w:after="0" w:line="255"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purchases of shares of Class A common stock, tax withholdings related to the settlement of vested restricted stock units (“RSUs”), distributions to members and noncontrolling interest holders, and activity relating to borrowings, including, in 2013, the refinancing of the 2015 Notes and issuance of the 2020 Notes.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liquidity and capital resources are derived from operating activities, financing activities and equity offerings.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500" w:firstLine="456"/>
        <w:spacing w:after="0" w:line="339" w:lineRule="auto"/>
        <w:rPr>
          <w:sz w:val="20"/>
          <w:szCs w:val="20"/>
          <w:color w:val="auto"/>
        </w:rPr>
      </w:pPr>
      <w:r>
        <w:rPr>
          <w:rFonts w:ascii="Times New Roman" w:cs="Times New Roman" w:eastAsia="Times New Roman" w:hAnsi="Times New Roman"/>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74" w:lineRule="exact"/>
        <w:rPr>
          <w:sz w:val="20"/>
          <w:szCs w:val="20"/>
          <w:color w:val="auto"/>
        </w:rPr>
      </w:pPr>
    </w:p>
    <w:p>
      <w:pPr>
        <w:jc w:val="both"/>
        <w:ind w:right="100" w:firstLine="456"/>
        <w:spacing w:after="0" w:line="256" w:lineRule="auto"/>
        <w:rPr>
          <w:sz w:val="20"/>
          <w:szCs w:val="20"/>
          <w:color w:val="auto"/>
        </w:rPr>
      </w:pPr>
      <w:r>
        <w:rPr>
          <w:rFonts w:ascii="Times New Roman" w:cs="Times New Roman" w:eastAsia="Times New Roman" w:hAnsi="Times New Roman"/>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During 2013 liquidity also was impacted by cash payments, including severance payments, associated with the cost saving initiatives (see “Cost Saving Initiatives” above and Note 16 of Notes to Consolidated Financial Statements).</w:t>
      </w:r>
    </w:p>
    <w:p>
      <w:pPr>
        <w:spacing w:after="0" w:line="137"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Lazard’s consolidated financial statements are presented in U.S. Dollars. Many of Lazard’s non-U.S. subsidiaries have a functional currency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levels, credit lines, principal investment commitments, interest and principal payments on debt, capital expenditures, purchases of shares of Class A common stock and matters relating to liquidity and to compliance with regulatory net capital requirements. At December 31, 2014, Lazard Group had approximately $917 million of cash, with such amount including approximately $402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39" w:lineRule="exact"/>
        <w:rPr>
          <w:sz w:val="20"/>
          <w:szCs w:val="20"/>
          <w:color w:val="auto"/>
        </w:rPr>
      </w:pPr>
    </w:p>
    <w:p>
      <w:pPr>
        <w:ind w:right="260" w:firstLine="456"/>
        <w:spacing w:after="0" w:line="301" w:lineRule="auto"/>
        <w:rPr>
          <w:sz w:val="20"/>
          <w:szCs w:val="20"/>
          <w:color w:val="auto"/>
        </w:rPr>
      </w:pPr>
      <w:r>
        <w:rPr>
          <w:rFonts w:ascii="Times New Roman" w:cs="Times New Roman" w:eastAsia="Times New Roman" w:hAnsi="Times New Roman"/>
          <w:sz w:val="16"/>
          <w:szCs w:val="16"/>
          <w:color w:val="auto"/>
        </w:rPr>
        <w:t>We maintain lines of credit in excess of anticipated liquidity requirements. As of December 31, 2014, Lazard had approximately $244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$36 million (at December 31, 2014 exchange rates) and Edgewater of $55 million. In addition, LFB has access to the Eurosystem Covered Bond Purchase Program of the Banque de France.</w:t>
      </w:r>
    </w:p>
    <w:p>
      <w:pPr>
        <w:spacing w:after="0" w:line="10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table below sets forth our corporate indebtedness as of December 31, 2014 and 2013. The agreements with respect to this indebtedness are discussed in more detail in our consolidated financial statements and related notes included elsewhere in this Form 10-K.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80" w:type="dxa"/>
            <w:vAlign w:val="bottom"/>
          </w:tcPr>
          <w:p>
            <w:pPr>
              <w:spacing w:after="0"/>
              <w:rPr>
                <w:sz w:val="14"/>
                <w:szCs w:val="14"/>
                <w:color w:val="auto"/>
              </w:rPr>
            </w:pPr>
          </w:p>
        </w:tc>
        <w:tc>
          <w:tcPr>
            <w:tcW w:w="13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w w:val="91"/>
              </w:rPr>
              <w:t>Maturity</w:t>
            </w: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2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6480" w:type="dxa"/>
            <w:vAlign w:val="bottom"/>
          </w:tcPr>
          <w:p>
            <w:pPr>
              <w:spacing w:after="0"/>
              <w:rPr>
                <w:sz w:val="12"/>
                <w:szCs w:val="12"/>
                <w:color w:val="auto"/>
              </w:rPr>
            </w:pPr>
          </w:p>
        </w:tc>
        <w:tc>
          <w:tcPr>
            <w:tcW w:w="13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2"/>
                <w:szCs w:val="12"/>
                <w:color w:val="auto"/>
              </w:rPr>
            </w:pPr>
          </w:p>
        </w:tc>
        <w:tc>
          <w:tcPr>
            <w:tcW w:w="520" w:type="dxa"/>
            <w:vAlign w:val="bottom"/>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20" w:type="dxa"/>
            <w:vAlign w:val="bottom"/>
          </w:tcPr>
          <w:p>
            <w:pPr>
              <w:spacing w:after="0"/>
              <w:rPr>
                <w:sz w:val="12"/>
                <w:szCs w:val="12"/>
                <w:color w:val="auto"/>
              </w:rPr>
            </w:pPr>
          </w:p>
        </w:tc>
        <w:tc>
          <w:tcPr>
            <w:tcW w:w="70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2"/>
              </w:rPr>
              <w:t>(Decrease)</w:t>
            </w:r>
          </w:p>
        </w:tc>
      </w:tr>
      <w:tr>
        <w:trPr>
          <w:trHeight w:val="156"/>
        </w:trPr>
        <w:tc>
          <w:tcPr>
            <w:tcW w:w="64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18"/>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millions)</w:t>
            </w:r>
          </w:p>
        </w:tc>
        <w:tc>
          <w:tcPr>
            <w:tcW w:w="54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480" w:type="dxa"/>
            <w:vAlign w:val="bottom"/>
            <w:shd w:val="clear" w:color="auto" w:fill="CCEEFF"/>
          </w:tcPr>
          <w:p>
            <w:pPr>
              <w:jc w:val="right"/>
              <w:ind w:right="5492"/>
              <w:spacing w:after="0"/>
              <w:rPr>
                <w:sz w:val="20"/>
                <w:szCs w:val="20"/>
                <w:color w:val="auto"/>
              </w:rPr>
            </w:pPr>
            <w:r>
              <w:rPr>
                <w:rFonts w:ascii="Times New Roman" w:cs="Times New Roman" w:eastAsia="Times New Roman" w:hAnsi="Times New Roman"/>
                <w:sz w:val="18"/>
                <w:szCs w:val="18"/>
                <w:color w:val="auto"/>
                <w:w w:val="96"/>
              </w:rPr>
              <w:t>Senior Debt:</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jc w:val="right"/>
              <w:ind w:right="5492"/>
              <w:spacing w:after="0"/>
              <w:rPr>
                <w:sz w:val="20"/>
                <w:szCs w:val="20"/>
                <w:color w:val="auto"/>
              </w:rPr>
            </w:pPr>
            <w:r>
              <w:rPr>
                <w:rFonts w:ascii="Times New Roman" w:cs="Times New Roman" w:eastAsia="Times New Roman" w:hAnsi="Times New Roman"/>
                <w:sz w:val="18"/>
                <w:szCs w:val="18"/>
                <w:color w:val="auto"/>
              </w:rPr>
              <w:t>6.85%</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2017</w:t>
            </w:r>
          </w:p>
        </w:tc>
        <w:tc>
          <w:tcPr>
            <w:tcW w:w="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jc w:val="right"/>
              <w:ind w:right="5492"/>
              <w:spacing w:after="0"/>
              <w:rPr>
                <w:sz w:val="20"/>
                <w:szCs w:val="20"/>
                <w:color w:val="auto"/>
              </w:rPr>
            </w:pPr>
            <w:r>
              <w:rPr>
                <w:rFonts w:ascii="Times New Roman" w:cs="Times New Roman" w:eastAsia="Times New Roman" w:hAnsi="Times New Roman"/>
                <w:sz w:val="18"/>
                <w:szCs w:val="18"/>
                <w:color w:val="auto"/>
              </w:rPr>
              <w:t>4.25%</w:t>
            </w:r>
          </w:p>
        </w:tc>
        <w:tc>
          <w:tcPr>
            <w:tcW w:w="13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80" w:type="dxa"/>
            <w:vAlign w:val="bottom"/>
          </w:tcPr>
          <w:p>
            <w:pPr>
              <w:jc w:val="right"/>
              <w:ind w:right="5132"/>
              <w:spacing w:after="0"/>
              <w:rPr>
                <w:sz w:val="20"/>
                <w:szCs w:val="20"/>
                <w:color w:val="auto"/>
              </w:rPr>
            </w:pPr>
            <w:r>
              <w:rPr>
                <w:rFonts w:ascii="Times New Roman" w:cs="Times New Roman" w:eastAsia="Times New Roman" w:hAnsi="Times New Roman"/>
                <w:sz w:val="18"/>
                <w:szCs w:val="18"/>
                <w:color w:val="auto"/>
                <w:w w:val="96"/>
              </w:rPr>
              <w:t>Total Senior Debt</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1,048.4</w:t>
            </w:r>
          </w:p>
        </w:tc>
        <w:tc>
          <w:tcPr>
            <w:tcW w:w="8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1,048.4</w:t>
            </w:r>
          </w:p>
        </w:tc>
        <w:tc>
          <w:tcPr>
            <w:tcW w:w="8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During the fourth quarter of 2013, the Company completed a refinancing of the 2015 Notes by purchasing or redeeming all of the outstanding 2015 Notes and by issuing the 2020 Notes. The transactions resulted in a total refinancing pre-tax loss of $54 million, including the premium for tender or redemption, the recognition of unamortized issuance costs, the recognition of the unamortized amount of the interest rate hedge related to the 2015 Notes and a loss on an interest rate hedge relating to the 2020 Notes.</w:t>
      </w:r>
    </w:p>
    <w:p>
      <w:pPr>
        <w:spacing w:after="0" w:line="13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During February 2015, Lazard Group completed an offering of $400 million aggregate principal amount of 3.75% senior notes due 2025 (the “2025 Notes”). Lazard Group also issued a notice to redeem $450 million of Lazard Group’s 6.85% senior notes due June 15, 2017 (the “Existing 2017 Notes”). Lazard Group intends to use the net proceeds of the 2025 Notes, together with cash on hand, to redeem or otherwise retire $450 million of the Existing 2017</w:t>
      </w:r>
    </w:p>
    <w:p>
      <w:pPr>
        <w:spacing w:after="0" w:line="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Notes. Lazard Group estimates that it will incur a loss on debt extinguishment in connection with the redemption of such Existing 2017 Notes of approximately $61 million, net of tax.</w:t>
      </w:r>
    </w:p>
    <w:p>
      <w:pPr>
        <w:spacing w:after="0" w:line="132"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74" w:lineRule="exact"/>
        <w:rPr>
          <w:sz w:val="20"/>
          <w:szCs w:val="20"/>
          <w:color w:val="auto"/>
        </w:rPr>
      </w:pPr>
    </w:p>
    <w:p>
      <w:pPr>
        <w:ind w:right="160" w:firstLine="456"/>
        <w:spacing w:after="0" w:line="293" w:lineRule="auto"/>
        <w:rPr>
          <w:sz w:val="20"/>
          <w:szCs w:val="20"/>
          <w:color w:val="auto"/>
        </w:rPr>
      </w:pPr>
      <w:r>
        <w:rPr>
          <w:rFonts w:ascii="Times New Roman" w:cs="Times New Roman" w:eastAsia="Times New Roman" w:hAnsi="Times New Roman"/>
          <w:sz w:val="16"/>
          <w:szCs w:val="16"/>
          <w:color w:val="auto"/>
        </w:rPr>
        <w:t>As long as the lenders’ commitments remain in effect, any loan pursuant to the Credit Facility remains outstanding and unpaid or any other amount is due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December 31, 2014, Lazard Group was in compliance with such ratios, with its Consolidated Leverage Ratio being 1.29 to 1.00 and its Consolidated Interest Coverage Ratio being 14.85 to 1.00. In any event, no amounts were outstanding under the Credit Facility as of December 31, 2014.</w:t>
      </w:r>
    </w:p>
    <w:p>
      <w:pPr>
        <w:spacing w:after="0" w:line="11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December 31, 2014,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11 of Notes to Consolidated Financial Statements for additional information regarding senior debt.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Members’ Equity</w:t>
      </w:r>
    </w:p>
    <w:p>
      <w:pPr>
        <w:spacing w:after="0" w:line="94"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At December 31, 2014, total members’ equity was $494 million, as compared to $536 million and $529 million at December 31, 2013 and 2012, respectively, including $432 million, $469 million and $453 million attributable to Lazard Group on the respective dates. The net activity in members’ equity during the years ended December 31, 2014 and 2013 is reflected in the table below:</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56"/>
        </w:trPr>
        <w:tc>
          <w:tcPr>
            <w:tcW w:w="8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6"/>
              </w:rPr>
              <w:t>($ in millions)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536</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8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due to:</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8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18"/>
                <w:szCs w:val="18"/>
                <w:color w:val="auto"/>
              </w:rPr>
            </w:pPr>
          </w:p>
        </w:tc>
        <w:tc>
          <w:tcPr>
            <w:tcW w:w="1380" w:type="dxa"/>
            <w:vAlign w:val="bottom"/>
            <w:gridSpan w:val="3"/>
          </w:tcPr>
          <w:p>
            <w:pPr>
              <w:jc w:val="right"/>
              <w:ind w:right="752"/>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share-based incentive compensation</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8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 of Class A common stock</w:t>
            </w:r>
          </w:p>
        </w:tc>
        <w:tc>
          <w:tcPr>
            <w:tcW w:w="140" w:type="dxa"/>
            <w:vAlign w:val="bottom"/>
          </w:tcPr>
          <w:p>
            <w:pPr>
              <w:spacing w:after="0"/>
              <w:rPr>
                <w:sz w:val="18"/>
                <w:szCs w:val="18"/>
                <w:color w:val="auto"/>
              </w:rPr>
            </w:pPr>
          </w:p>
        </w:tc>
        <w:tc>
          <w:tcPr>
            <w:tcW w:w="1380" w:type="dxa"/>
            <w:vAlign w:val="bottom"/>
            <w:gridSpan w:val="3"/>
          </w:tcPr>
          <w:p>
            <w:pPr>
              <w:jc w:val="right"/>
              <w:ind w:right="752"/>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02"/>
        </w:trPr>
        <w:tc>
          <w:tcPr>
            <w:tcW w:w="822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Settlement of share-based incentive compensation, net of related tax benefit of $5 million and $0.1</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million for the years ended December 31, 2014 and 2013, respectively(a)</w:t>
            </w:r>
          </w:p>
        </w:tc>
        <w:tc>
          <w:tcPr>
            <w:tcW w:w="1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Distributions to members and noncontrolling interests, net</w:t>
            </w:r>
          </w:p>
        </w:tc>
        <w:tc>
          <w:tcPr>
            <w:tcW w:w="140" w:type="dxa"/>
            <w:vAlign w:val="bottom"/>
          </w:tcPr>
          <w:p>
            <w:pPr>
              <w:spacing w:after="0"/>
              <w:rPr>
                <w:sz w:val="18"/>
                <w:szCs w:val="18"/>
                <w:color w:val="auto"/>
              </w:rPr>
            </w:pPr>
          </w:p>
        </w:tc>
        <w:tc>
          <w:tcPr>
            <w:tcW w:w="1380" w:type="dxa"/>
            <w:vAlign w:val="bottom"/>
            <w:gridSpan w:val="3"/>
          </w:tcPr>
          <w:p>
            <w:pPr>
              <w:jc w:val="right"/>
              <w:ind w:right="752"/>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Other—net</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(a)</w:t>
        <w:tab/>
        <w:t>The tax withholding portion of share-based compensation is settled in cash, not shares.</w:t>
      </w:r>
    </w:p>
    <w:p>
      <w:pPr>
        <w:spacing w:after="0" w:line="171"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The Board of Directors of Lazard has issued a series of authorizations to repurchase Class A common stock, which help offset the dilutive effect of our share-based incentive compensation plans. During a given year Lazard intends to repurchase at least as many shares as it expects to ultimately issue pursuant to such compensation plans in respect of year-end incentive compensation attributable to the prior year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rate at which Lazard purchases shares in connection with this annual objective may vary from quarter to quarter due to a variety of factors. Purchases with respect to such program are set forth in the table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6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w:t>
            </w:r>
          </w:p>
        </w:tc>
      </w:tr>
      <w:tr>
        <w:trPr>
          <w:trHeight w:val="165"/>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r>
      <w:tr>
        <w:trPr>
          <w:trHeight w:val="129"/>
        </w:trPr>
        <w:tc>
          <w:tcPr>
            <w:tcW w:w="20" w:type="dxa"/>
            <w:vAlign w:val="bottom"/>
          </w:tcPr>
          <w:p>
            <w:pPr>
              <w:spacing w:after="0"/>
              <w:rPr>
                <w:sz w:val="11"/>
                <w:szCs w:val="11"/>
                <w:color w:val="auto"/>
              </w:rPr>
            </w:pPr>
          </w:p>
        </w:tc>
        <w:tc>
          <w:tcPr>
            <w:tcW w:w="170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2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9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12,817,196</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9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3,488,101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9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4,114,206</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tcPr>
          <w:p>
            <w:pPr>
              <w:spacing w:after="0"/>
              <w:rPr>
                <w:sz w:val="19"/>
                <w:szCs w:val="19"/>
                <w:color w:val="auto"/>
              </w:rPr>
            </w:pPr>
          </w:p>
        </w:tc>
      </w:tr>
    </w:tbl>
    <w:p>
      <w:pPr>
        <w:spacing w:after="0" w:line="135"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The shares purchased by Lazard Ltd in the year ended December 31, 2014 included 1,000,000 shares purchased from Natixis S.A. on June 26, 2014 for approximately $50 million in connection with the sale by Natixis S.A. of its entire investment in the Lazard Ltd’s Class A common stock. The purchase transaction closed on July 1, 2014. As of December 31, 2014, a total of $129 million of share repurchase authorization remained available under the share repurchase program, which will expire on December 31, 2015.</w:t>
      </w:r>
    </w:p>
    <w:p>
      <w:pPr>
        <w:spacing w:after="0" w:line="136"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In addition, on February 4, 2015, the Board of Directors of Lazard authorized the repurchase of up to $150 million additional shares of Class A common stock, which authorization will expire on December 31, 2016.</w:t>
      </w:r>
    </w:p>
    <w:p>
      <w:pPr>
        <w:spacing w:after="0" w:line="120"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2014, Lazard Ltd had in place trading plans under Rule 10b5-1 of the Securities Exchange Act of 1934, pursuant to which it effected stock repurchases in the open market.</w:t>
      </w:r>
    </w:p>
    <w:p>
      <w:pPr>
        <w:spacing w:after="0" w:line="120"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Company plans to continue to deploy excess cash and may do so in a variety of ways, which may include repurchasing outstanding shares of Lazard Ltd Class A common stock, distributions to members and non-controlling interests holders and repurchasing its outstanding debt.</w:t>
      </w:r>
    </w:p>
    <w:p>
      <w:pPr>
        <w:spacing w:after="0" w:line="120"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See Note 13 and 14 of Notes to Consolidated Financial Statements for additional information regarding Lazard’s members equity and incentive plans, respectively.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Capital</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19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 Regulation” included in this Form 10-K and Note 19 of Notes to Consolidated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Lazard’s contractual obligations as of December 31, 2014: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Contractual Obligations 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18"/>
              <w:spacing w:after="0" w:line="125" w:lineRule="exact"/>
              <w:rPr>
                <w:sz w:val="20"/>
                <w:szCs w:val="20"/>
                <w:color w:val="auto"/>
              </w:rPr>
            </w:pPr>
            <w:r>
              <w:rPr>
                <w:rFonts w:ascii="Times New Roman" w:cs="Times New Roman" w:eastAsia="Times New Roman" w:hAnsi="Times New Roman"/>
                <w:sz w:val="14"/>
                <w:szCs w:val="14"/>
                <w:b w:val="1"/>
                <w:bCs w:val="1"/>
                <w:color w:val="auto"/>
                <w:w w:val="97"/>
              </w:rPr>
              <w:t>More than</w:t>
            </w:r>
          </w:p>
        </w:tc>
        <w:tc>
          <w:tcPr>
            <w:tcW w:w="10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0"/>
              </w:rPr>
              <w:t>1-3 Years</w:t>
            </w:r>
          </w:p>
        </w:tc>
        <w:tc>
          <w:tcPr>
            <w:tcW w:w="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2"/>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Debt (including interest) (a)</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$ 1,269,755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58,812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$ 647,193</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42,500</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521,250</w:t>
            </w: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(exclusive of $76,610 of committed sublease income) (b)</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940,689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77,216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146,010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126,121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591,342</w:t>
            </w: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Leases (including interest) (b)</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Capital Funding Commitments (c)</w:t>
            </w:r>
          </w:p>
        </w:tc>
        <w:tc>
          <w:tcPr>
            <w:tcW w:w="7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18,676</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18,676</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$ 2,242,434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$ 157,298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$ 803,866</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168,678</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1,112,592</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of Notes to Consolidated Financial Statements.</w:t>
      </w:r>
    </w:p>
    <w:p>
      <w:pPr>
        <w:spacing w:after="0" w:line="21" w:lineRule="exact"/>
        <w:rPr>
          <w:rFonts w:ascii="Times New Roman" w:cs="Times New Roman" w:eastAsia="Times New Roman" w:hAnsi="Times New Roman"/>
          <w:sz w:val="18"/>
          <w:szCs w:val="18"/>
          <w:color w:val="auto"/>
        </w:rPr>
      </w:pPr>
    </w:p>
    <w:p>
      <w:pPr>
        <w:ind w:left="460" w:right="380" w:hanging="452"/>
        <w:spacing w:after="0" w:line="250"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sublease income was reduced by approximately $79,600 in the third quarter of 2014 pursuant to arrangements we entered into with LMDC Holdings. See Notes 12 and 18 of Notes to Consolidated Financial Statements.</w:t>
      </w:r>
    </w:p>
    <w:p>
      <w:pPr>
        <w:ind w:left="460" w:right="80" w:hanging="452"/>
        <w:spacing w:after="0" w:line="250"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$6,888 are excluded. Such commitments are required to be funded by capital contributions from noncontrolling interest holders. See Note 6 of Notes to Consolidated Financial Statements. These amounts are generally due on demand and therefore are presented in the “less than 1 year” category.</w:t>
      </w:r>
    </w:p>
    <w:p>
      <w:pPr>
        <w:spacing w:after="0" w:line="1" w:lineRule="exact"/>
        <w:rPr>
          <w:rFonts w:ascii="Times New Roman" w:cs="Times New Roman" w:eastAsia="Times New Roman" w:hAnsi="Times New Roman"/>
          <w:sz w:val="18"/>
          <w:szCs w:val="18"/>
          <w:color w:val="auto"/>
        </w:rPr>
      </w:pPr>
    </w:p>
    <w:p>
      <w:pPr>
        <w:ind w:left="460" w:right="60" w:hanging="452"/>
        <w:spacing w:after="0" w:line="254"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excludes contingent obligations, as well as any possible payments for uncertain tax positions given the inability to estimate the possible amounts and timing of any such payments. See Notes 12, 14, 15 and 17 of Notes to Consolidated Financial Statements regarding information in connection with commitments, incentive plans, employee benefit plans and income taxes, respectively. In addition, the table above does not give effect to the February 2015 senior notes offering (see “—Liquidity and Capital Resources—Financing Activities” above).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92" w:lineRule="exact"/>
        <w:rPr>
          <w:sz w:val="20"/>
          <w:szCs w:val="20"/>
          <w:color w:val="auto"/>
        </w:rPr>
      </w:pPr>
    </w:p>
    <w:p>
      <w:pPr>
        <w:ind w:right="180" w:firstLine="456"/>
        <w:spacing w:after="0" w:line="293" w:lineRule="auto"/>
        <w:rPr>
          <w:sz w:val="20"/>
          <w:szCs w:val="20"/>
          <w:color w:val="auto"/>
        </w:rPr>
      </w:pPr>
      <w:r>
        <w:rPr>
          <w:rFonts w:ascii="Times New Roman" w:cs="Times New Roman" w:eastAsia="Times New Roman" w:hAnsi="Times New Roman"/>
          <w:sz w:val="16"/>
          <w:szCs w:val="16"/>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or general macroeconomic conditions, it may adversely affect our financial position and results of operations by reducing AUM, net revenue or otherwise. See Item 1A,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41"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Lazard believes that the critical accounting policies set forth below comprise the most significant estimates and judgments used in the preparation of its consolidated financial statements.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Lazard generates substantially all of its net revenue from providing Financial Advisory and Asset Management services to clients. Lazard recognizes revenue when the following criteria are met:</w:t>
      </w:r>
    </w:p>
    <w:p>
      <w:pPr>
        <w:spacing w:after="0" w:line="39"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persuasive evidence of an arrangement with a client;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agreed-upon services have been provided;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are fixed or determinable;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 probable.</w:t>
      </w:r>
    </w:p>
    <w:p>
      <w:pPr>
        <w:spacing w:after="0" w:line="171"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0"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455" w:right="2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color w:val="auto"/>
        </w:rPr>
        <w:t>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32"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2014, on a consolidated basis, we recorded gross deferred tax assets of approximately $216 million.</w:t>
      </w:r>
    </w:p>
    <w:p>
      <w:pPr>
        <w:spacing w:after="0" w:line="13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36"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historical profitability of each tax paying entity is an important factor in determining whether to record a valuation allowance and when to release any such allowance. Certain of our tax-paying entities have individually experienced losses on a cumulative three-year basis. In addition, one of our tax paying entities has recorded a valuation allowance on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will be realized. Considering the recent operating results of such entities, we have recorded valuation allowances on our deferred tax assets of $102 million as of December 31, 2014.</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consider multiple possible sources of taxable income when assessing a valuation allowance against a deferred tax asset, including:</w:t>
      </w:r>
    </w:p>
    <w:p>
      <w:pPr>
        <w:spacing w:after="0" w:line="90" w:lineRule="exact"/>
        <w:rPr>
          <w:sz w:val="20"/>
          <w:szCs w:val="20"/>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magnitude and duration of any past losses and current operating results;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periods;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near-term and medium-term financial outlook.</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32"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If any significant valuation allowance reduction were to occur, for subsequent annual periods, our effective tax rate, with all other factors being held constant, would increase and could be significantly higher than our effective tax rate in the period immediately preceding the reduction in the valuation allowance. In such 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situation, with all other factors being held constant, an increase in our effective tax rate as a result of a reduction in the valuation allowance would not impact the amount of cash income taxes we would pay to taxing authorities.</w:t>
      </w:r>
    </w:p>
    <w:p>
      <w:pPr>
        <w:spacing w:after="0" w:line="12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39"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Item 1A, “Risk Factors” and Note 17 of Notes to Consolidated Financial Statements for additional information related to income taxes.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2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These investments, with the exception of interest-bearing deposits and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Consolidated Financial Statements for additional information on the measurement of the fair value of investments.</w:t>
      </w:r>
    </w:p>
    <w:p>
      <w:pPr>
        <w:spacing w:after="0" w:line="136"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60"/>
          </w:cols>
          <w:pgMar w:left="240" w:top="455" w:right="2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Data relating to investments is set forth below:</w:t>
      </w:r>
    </w:p>
    <w:p>
      <w:pPr>
        <w:spacing w:after="0" w:line="304"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8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3"/>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Seed investments by asset class: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Equities (a)</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1"/>
              </w:rPr>
              <w:t>$ 121,611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$ 118,535</w:t>
            </w: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Fixed income</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Alternative investments</w:t>
            </w: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26,374</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seed investments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162,123</w:t>
            </w:r>
          </w:p>
        </w:tc>
        <w:tc>
          <w:tcPr>
            <w:tcW w:w="120" w:type="dxa"/>
            <w:vAlign w:val="bottom"/>
            <w:shd w:val="clear" w:color="auto" w:fill="CCEEFF"/>
          </w:tcPr>
          <w:p>
            <w:pPr>
              <w:spacing w:after="0"/>
              <w:rPr>
                <w:sz w:val="18"/>
                <w:szCs w:val="18"/>
                <w:color w:val="auto"/>
              </w:rPr>
            </w:pPr>
          </w:p>
        </w:tc>
      </w:tr>
      <w:tr>
        <w:trPr>
          <w:trHeight w:val="222"/>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 owned:</w:t>
            </w:r>
          </w:p>
        </w:tc>
        <w:tc>
          <w:tcPr>
            <w:tcW w:w="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Private equity (b)</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Interest-bearing deposits (c)</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84,575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Fixed income and other</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120" w:type="dxa"/>
            <w:vAlign w:val="bottom"/>
            <w:shd w:val="clear" w:color="auto" w:fill="CCEEFF"/>
          </w:tcPr>
          <w:p>
            <w:pPr>
              <w:spacing w:after="0"/>
              <w:rPr>
                <w:sz w:val="19"/>
                <w:szCs w:val="19"/>
                <w:color w:val="auto"/>
              </w:rPr>
            </w:pPr>
          </w:p>
        </w:tc>
      </w:tr>
      <w:tr>
        <w:trPr>
          <w:trHeight w:val="23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investments owned</w:t>
            </w: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218,253</w:t>
            </w:r>
          </w:p>
        </w:tc>
        <w:tc>
          <w:tcPr>
            <w:tcW w:w="6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116,049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381,840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278,172</w:t>
            </w:r>
          </w:p>
        </w:tc>
        <w:tc>
          <w:tcPr>
            <w:tcW w:w="120" w:type="dxa"/>
            <w:vAlign w:val="bottom"/>
            <w:shd w:val="clear" w:color="auto" w:fill="CCEEFF"/>
          </w:tcPr>
          <w:p>
            <w:pPr>
              <w:spacing w:after="0"/>
              <w:rPr>
                <w:sz w:val="18"/>
                <w:szCs w:val="18"/>
                <w:color w:val="auto"/>
              </w:rPr>
            </w:pPr>
          </w:p>
        </w:tc>
      </w:tr>
      <w:tr>
        <w:trPr>
          <w:trHeight w:val="222"/>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w:t>
            </w:r>
          </w:p>
        </w:tc>
        <w:tc>
          <w:tcPr>
            <w:tcW w:w="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method (d)</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Private equity consolidated, not owned (e)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LFI (f)</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169,095</w:t>
            </w:r>
          </w:p>
        </w:tc>
        <w:tc>
          <w:tcPr>
            <w:tcW w:w="120" w:type="dxa"/>
            <w:vAlign w:val="bottom"/>
            <w:shd w:val="clear" w:color="auto" w:fill="CCEEFF"/>
          </w:tcPr>
          <w:p>
            <w:pPr>
              <w:spacing w:after="0"/>
              <w:rPr>
                <w:sz w:val="18"/>
                <w:szCs w:val="18"/>
                <w:color w:val="auto"/>
              </w:rPr>
            </w:pPr>
          </w:p>
        </w:tc>
      </w:tr>
      <w:tr>
        <w:trPr>
          <w:trHeight w:val="22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$ 609,226</w:t>
            </w:r>
          </w:p>
        </w:tc>
        <w:tc>
          <w:tcPr>
            <w:tcW w:w="6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$ 466,542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1"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2014 and 2013, seed investments in directly owned equity securities were invested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8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6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9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196"/>
        </w:trPr>
        <w:tc>
          <w:tcPr>
            <w:tcW w:w="8600" w:type="dxa"/>
            <w:vAlign w:val="bottom"/>
            <w:shd w:val="clear" w:color="auto" w:fill="CCEEFF"/>
          </w:tcPr>
          <w:p>
            <w:pPr>
              <w:ind w:left="1040"/>
              <w:spacing w:after="0" w:line="196" w:lineRule="exact"/>
              <w:rPr>
                <w:sz w:val="20"/>
                <w:szCs w:val="20"/>
                <w:color w:val="auto"/>
              </w:rPr>
            </w:pPr>
            <w:r>
              <w:rPr>
                <w:rFonts w:ascii="Times New Roman" w:cs="Times New Roman" w:eastAsia="Times New Roman" w:hAnsi="Times New Roman"/>
                <w:sz w:val="18"/>
                <w:szCs w:val="18"/>
                <w:color w:val="auto"/>
              </w:rPr>
              <w:t>Percentage invested in:</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Financials</w:t>
            </w:r>
          </w:p>
        </w:tc>
        <w:tc>
          <w:tcPr>
            <w:tcW w:w="1300" w:type="dxa"/>
            <w:vAlign w:val="bottom"/>
            <w:gridSpan w:val="2"/>
          </w:tcPr>
          <w:p>
            <w:pPr>
              <w:jc w:val="right"/>
              <w:ind w:right="692"/>
              <w:spacing w:after="0"/>
              <w:rPr>
                <w:sz w:val="20"/>
                <w:szCs w:val="20"/>
                <w:color w:val="auto"/>
              </w:rPr>
            </w:pPr>
            <w:r>
              <w:rPr>
                <w:rFonts w:ascii="Times New Roman" w:cs="Times New Roman" w:eastAsia="Times New Roman" w:hAnsi="Times New Roman"/>
                <w:sz w:val="18"/>
                <w:szCs w:val="18"/>
                <w:color w:val="auto"/>
              </w:rPr>
              <w:t>33%</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Consumer</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Industrial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Technology</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6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Energy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r>
      <w:tr>
        <w:trPr>
          <w:trHeight w:val="216"/>
        </w:trPr>
        <w:tc>
          <w:tcPr>
            <w:tcW w:w="860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r>
      <w:tr>
        <w:trPr>
          <w:trHeight w:val="223"/>
        </w:trPr>
        <w:tc>
          <w:tcPr>
            <w:tcW w:w="8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gridSpan w:val="2"/>
          </w:tcPr>
          <w:p>
            <w:pPr>
              <w:jc w:val="right"/>
              <w:ind w:right="692"/>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8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ind w:left="460" w:right="460" w:hanging="452"/>
        <w:spacing w:after="0" w:line="274"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investments include investments related to certain legacy businesses and co-investments in private equity funds managed by our Asset Management business. Co-investments owned were $25 million and $18 million as of December 31, 2014 and 2013, respectively.</w:t>
      </w:r>
    </w:p>
    <w:p>
      <w:pPr>
        <w:spacing w:after="0" w:line="39" w:lineRule="exact"/>
        <w:rPr>
          <w:rFonts w:ascii="Times New Roman" w:cs="Times New Roman" w:eastAsia="Times New Roman" w:hAnsi="Times New Roman"/>
          <w:sz w:val="18"/>
          <w:szCs w:val="18"/>
          <w:color w:val="auto"/>
        </w:rPr>
      </w:pPr>
    </w:p>
    <w:p>
      <w:pPr>
        <w:ind w:left="460" w:hanging="452"/>
        <w:spacing w:after="0" w:line="256"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2014, interest-bearing deposits increased to $84,575 compared to $516 as of December 31, 2013. Short to medium term interest rates generally turned negative in Europe during 2014 and remain very low in many other countries and regions throughout the world. In the normal course of asset and liability management activities, both from a corporate treasury and LFB perspective,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5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investments accounted for under the equity method of accounting.</w:t>
      </w:r>
    </w:p>
    <w:p>
      <w:pPr>
        <w:spacing w:after="0" w:line="90" w:lineRule="exact"/>
        <w:rPr>
          <w:rFonts w:ascii="Times New Roman" w:cs="Times New Roman" w:eastAsia="Times New Roman" w:hAnsi="Times New Roman"/>
          <w:sz w:val="18"/>
          <w:szCs w:val="18"/>
          <w:color w:val="auto"/>
        </w:rPr>
      </w:pPr>
    </w:p>
    <w:p>
      <w:pPr>
        <w:ind w:left="460" w:right="120" w:hanging="452"/>
        <w:spacing w:after="0" w:line="339" w:lineRule="auto"/>
        <w:tabs>
          <w:tab w:leader="none" w:pos="4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private equity investments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455" w:right="2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100" w:hanging="452"/>
        <w:spacing w:after="0" w:line="258"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36"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At December 31, 2014 and 2013, total investments with a fair value of $517 million and $457 million, respectively, included $116 million and $116 million, respectively, or 22% and 25%, respectively, of investments that were classified as Level 3 investments. Substantially all of our Level 3 investments at both dates are priced based on a NAV. During the years ended December 31, 2014 and 2013, gains of approximately $8 million and $13 million, respectively, were recognized in “revenue-other” on the consolidated statement of operations pertaining to Level 3 investments. See Notes 5 and 6 of Notes to Consolidated Financial Statements for additional information regarding investments measured at fair value, including the levels of fair value within which such measurements of fair value fall.</w:t>
      </w:r>
    </w:p>
    <w:p>
      <w:pPr>
        <w:spacing w:after="0" w:line="13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2014 and December 31, 2013, the Company held seed investments of approximately $164 million and $162 million, respectively. Seed investments held in entities in which the Company maintained a controlling interest were $42 million in seven entities as of December 31, 2014, as compared to $46 million in eight entities as of December 31, 2013.</w:t>
      </w:r>
    </w:p>
    <w:p>
      <w:pPr>
        <w:spacing w:after="0" w:line="132"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2014, the Company did not consolidate or deconsolidate any seed investment entities. As such, 100% of the recorded balance of seed investments as of December 31, 2014 represented the Company’s economic interest in the seed investments. See “—Consolidation of Variable Interest Entities” below for more information on the Company’s policy regarding the consolidation of seed investment entities.</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3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accordance with current accounting guidance, goodwill has an indefinite life and is tested for impairment annually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During the fourth quarter of 2013, the Company changed the date of its annual impairment testing from December 31 to November 1. See Note 9 of Notes to Consolidated Financial Statements for additional information regarding goodwill.</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Variable Interest Entities</w:t>
      </w:r>
    </w:p>
    <w:p>
      <w:pPr>
        <w:spacing w:after="0" w:line="9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1" w:lineRule="exact"/>
        <w:rPr>
          <w:sz w:val="20"/>
          <w:szCs w:val="20"/>
          <w:color w:val="auto"/>
        </w:rPr>
      </w:pPr>
    </w:p>
    <w:p>
      <w:pPr>
        <w:ind w:left="900" w:right="140" w:hanging="325"/>
        <w:spacing w:after="0" w:line="258"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55"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32"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36"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Lazard makes seed investments in certain entities that are considered VOEs and often require consolidation as a result of our investment. The impact of seed investment entities that require consolidation on the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03" w:lineRule="exact"/>
        <w:rPr>
          <w:sz w:val="20"/>
          <w:szCs w:val="20"/>
          <w:color w:val="auto"/>
        </w:rPr>
      </w:pPr>
    </w:p>
    <w:p>
      <w:pPr>
        <w:jc w:val="both"/>
        <w:ind w:right="260" w:firstLine="456"/>
        <w:spacing w:after="0" w:line="258" w:lineRule="auto"/>
        <w:rPr>
          <w:sz w:val="20"/>
          <w:szCs w:val="20"/>
          <w:color w:val="auto"/>
        </w:rPr>
      </w:pPr>
      <w:r>
        <w:rPr>
          <w:rFonts w:ascii="Times New Roman" w:cs="Times New Roman" w:eastAsia="Times New Roman" w:hAnsi="Times New Roman"/>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and (ii) investments in funds owned entirely by the noncontrolling interest holders of certain acquired entities.</w:t>
      </w:r>
    </w:p>
    <w:p>
      <w:pPr>
        <w:spacing w:after="0" w:line="13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time and may not be representative of future results. Risk exposures may change as a result of ongoing portfolio activities and changing market conditions, among other things.</w:t>
      </w:r>
    </w:p>
    <w:p>
      <w:pPr>
        <w:spacing w:after="0" w:line="12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Equity Market Price Risk—At December 31, 2014 and 2013, the Company’s exposure to equity market price risk in its investment portfolio, which primarily relates to investments in equity securities, equity funds and hedge funds, was approximately $131 million and $134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$2.0 million and $1.7 million in the carrying value of such investments as of December 31, 2014 and 2013, respectively, including the effect of the hedging transactions.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Interest Rate/Credit Spread Risk—At December 31, 2014 and 2013, the Company’s exposure to interest rate and credit spread risk in its investment portfolio related to investments in debt securities or funds which invest primarily in debt securities was $43 million and $37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$0.2 million and $0.2 million in the carrying value of such investments as of December 31, 2014 and 2013, respectively, including the effect of the hedging transactions.</w:t>
      </w:r>
    </w:p>
    <w:p>
      <w:pPr>
        <w:spacing w:after="0" w:line="139" w:lineRule="exact"/>
        <w:rPr>
          <w:sz w:val="20"/>
          <w:szCs w:val="20"/>
          <w:color w:val="auto"/>
        </w:rPr>
      </w:pPr>
    </w:p>
    <w:p>
      <w:pPr>
        <w:ind w:right="160" w:firstLine="456"/>
        <w:spacing w:after="0" w:line="296" w:lineRule="auto"/>
        <w:rPr>
          <w:sz w:val="20"/>
          <w:szCs w:val="20"/>
          <w:color w:val="auto"/>
        </w:rPr>
      </w:pPr>
      <w:r>
        <w:rPr>
          <w:rFonts w:ascii="Times New Roman" w:cs="Times New Roman" w:eastAsia="Times New Roman" w:hAnsi="Times New Roman"/>
          <w:sz w:val="16"/>
          <w:szCs w:val="16"/>
          <w:color w:val="auto"/>
        </w:rPr>
        <w:t>Foreign Exchange Rate Risk—At December 31, 2014 and 2013, the Company’s exposure to foreign exchange rate risk in its investment portfolio, which primarily relates to investments in foreign currency denominated equity and debt securities, was $68 million and $85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$0.6 million and $1.4 million in the carrying value of such investments as of December 31, 2014 and 2013, respectively, including the effect of the hedging transactions.</w:t>
      </w:r>
    </w:p>
    <w:p>
      <w:pPr>
        <w:spacing w:after="0" w:line="10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Private Equity—The Company invests in private equity primarily as a part of its co-investment activities and in connection with certain legacy businesses. At December 31, 2014 and 2013, the Company’s exposure to changes in fair value of such investments was approximately $108 million and $104 million, respectively. The Company estimates that a hypothetical 10% adverse change in fair value would result in a decrease of approximately $10.8 million and $10.4 million in the carrying value of such investments as of December 31, 2014 and 2013, respectively.</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Receivables</w:t>
      </w:r>
    </w:p>
    <w:p>
      <w:pPr>
        <w:spacing w:after="0" w:line="94" w:lineRule="exact"/>
        <w:rPr>
          <w:sz w:val="20"/>
          <w:szCs w:val="20"/>
          <w:color w:val="auto"/>
        </w:rPr>
      </w:pPr>
    </w:p>
    <w:p>
      <w:pPr>
        <w:ind w:right="20" w:firstLine="456"/>
        <w:spacing w:after="0" w:line="287" w:lineRule="auto"/>
        <w:rPr>
          <w:sz w:val="20"/>
          <w:szCs w:val="20"/>
          <w:color w:val="auto"/>
        </w:rPr>
      </w:pPr>
      <w:r>
        <w:rPr>
          <w:rFonts w:ascii="Times New Roman" w:cs="Times New Roman" w:eastAsia="Times New Roman" w:hAnsi="Times New Roman"/>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December 31, 2014, total receivables amounted to $558 million, net of an allowance for doubtful accounts of</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$24 million. As of that date, Financial Advisory and Asset Management fees, and customer receivables comprised 87% and 13% of total receivables, respectively. At December 31, 2013, total receivables amounted to $623 million, net of an allowance for doubtful accounts of $29 million. As of that date, Financial Advisory and Asset Management fees, and customer and related party receivables comprised 73%, 8% and 19% of total receivables, respectively. At December 31, 2014 and 2013, the Company had receivables past due or deemed uncollectible of approximately $25 million and $39 million, respectively. See also “Critical Accounting Policies and Estimates—Revenue Recognition” above and Note 4 of Notes to Consolidated Financial Statements for additional information regarding receivables.</w:t>
      </w:r>
    </w:p>
    <w:p>
      <w:pPr>
        <w:spacing w:after="0" w:line="142"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LFB engages in lending activities, including commitments to extend credit. At December 31, 2014 and 2013, customer receivables included $35 million and $15 million of LFB loans, respectively. Such loans are closely monitored for counterparty creditworthiness to help minimize exposure. In addition, as of December 31,</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2014, LFB’s commitments to lend, which are fully collateralized and generally contain requirements for the counterparty to maintain a minimum collateral level, were not significant.</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Credit Concentrations</w:t>
      </w:r>
    </w:p>
    <w:p>
      <w:pPr>
        <w:spacing w:after="0" w:line="94"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To reduce the exposure to concentrations of credit, the Company monitors large exposures to individual counterparties. As of December 31, 2014, the Company’s largest individual counterparty exposure was a Financial Advisory fee receivable of $22 million.</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Derivatives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Lazard enters into interest rate swaps and forward foreign currency exchange contracts to hedge exposures to interest rates and currency exchange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$2 million and $1 million at December 31, 2014 and 2013, respectively, and derivative liabilities, excluding the derivative liability arising from the Company’s obligation pertaining to LFI and other similar deferred compensation arrangements, amounted to $0.8 million and $2 million at such respective dates.</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$207 million and $162 million at December 31, 2014 and 2013, respectively.</w:t>
      </w:r>
    </w:p>
    <w:p>
      <w:pPr>
        <w:spacing w:after="0" w:line="136"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LFB enters into interest rate swaps, forward foreign currency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December 31, 2014, we do not believe that the impact of potential significant movements in either the currency or interest rate markets on LFB’s positions would materially affect the Company’s annual operating income.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Cash and Cash Equivalents and Corporate Indebtedness</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 significant portion of the Company’s indebtedness has fixed interest rates, while its cash and cash equivalents generally have market interest rates. Based on account balances as of December 31, 2014, Lazard estimates that its annual operating income relating to cash and cash equivalents would increase by approximately $9 million in the event interest rates were to increase by 1% and decrease by approximately $9 million if rates were to decrease by 1%.</w:t>
      </w:r>
    </w:p>
    <w:p>
      <w:pPr>
        <w:spacing w:after="0" w:line="1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As of December 31, 2014, the Company’s cash and cash equivalents totaled approximately $917 million. Substantially all of the Company’s cash and cash equivalents were invested in highly liquid institutional money market funds (a significant majority of which were invested solely in U.S. Government or agency money market funds), in short-term interest bearing and non-interest bearing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92"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Operational risk is inherent in all our business and may, for example, manifest itself in the form of errors, breaches in the system of internal controls, employee misconduct, business interruptions, fraud, including fraud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 See Item 1A, “Risk Factors” above for more information regarding operational risk in our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included under the caption “Management’s Discussion and Analysis of Financial Condition and Results of Operations—Risk Management.”</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80"/>
          </w:cols>
          <w:pgMar w:left="240" w:top="455" w:right="2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040" w:type="dxa"/>
            <w:vAlign w:val="bottom"/>
            <w:gridSpan w:val="16"/>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1"/>
        </w:trPr>
        <w:tc>
          <w:tcPr>
            <w:tcW w:w="108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6"/>
        </w:trPr>
        <w:tc>
          <w:tcPr>
            <w:tcW w:w="440" w:type="dxa"/>
            <w:vAlign w:val="bottom"/>
          </w:tcPr>
          <w:p>
            <w:pPr>
              <w:spacing w:after="0"/>
              <w:rPr>
                <w:sz w:val="13"/>
                <w:szCs w:val="13"/>
                <w:color w:val="auto"/>
              </w:rPr>
            </w:pPr>
          </w:p>
        </w:tc>
        <w:tc>
          <w:tcPr>
            <w:tcW w:w="10380" w:type="dxa"/>
            <w:vAlign w:val="bottom"/>
            <w:gridSpan w:val="17"/>
          </w:tcPr>
          <w:p>
            <w:pPr>
              <w:spacing w:after="0" w:line="136" w:lineRule="exact"/>
              <w:rPr>
                <w:rFonts w:ascii="Times New Roman" w:cs="Times New Roman" w:eastAsia="Times New Roman" w:hAnsi="Times New Roman"/>
                <w:sz w:val="15"/>
                <w:szCs w:val="15"/>
                <w:color w:val="0000EE"/>
              </w:rPr>
            </w:pPr>
            <w:hyperlink w:anchor="page72">
              <w:r>
                <w:rPr>
                  <w:rFonts w:ascii="Times New Roman" w:cs="Times New Roman" w:eastAsia="Times New Roman" w:hAnsi="Times New Roman"/>
                  <w:sz w:val="15"/>
                  <w:szCs w:val="15"/>
                  <w:color w:val="0000EE"/>
                </w:rPr>
                <w:t>Management’s Report On Internal Control Over Financial Reporting</w:t>
              </w:r>
            </w:hyperlink>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70</w:t>
            </w:r>
          </w:p>
        </w:tc>
        <w:tc>
          <w:tcPr>
            <w:tcW w:w="20" w:type="dxa"/>
            <w:vAlign w:val="bottom"/>
          </w:tcPr>
          <w:p>
            <w:pPr>
              <w:spacing w:after="0"/>
              <w:rPr>
                <w:sz w:val="13"/>
                <w:szCs w:val="13"/>
                <w:color w:val="auto"/>
              </w:rPr>
            </w:pPr>
          </w:p>
        </w:tc>
      </w:tr>
      <w:tr>
        <w:trPr>
          <w:trHeight w:val="318"/>
        </w:trPr>
        <w:tc>
          <w:tcPr>
            <w:tcW w:w="440" w:type="dxa"/>
            <w:vAlign w:val="bottom"/>
          </w:tcPr>
          <w:p>
            <w:pPr>
              <w:spacing w:after="0"/>
              <w:rPr>
                <w:sz w:val="24"/>
                <w:szCs w:val="24"/>
                <w:color w:val="auto"/>
              </w:rPr>
            </w:pPr>
          </w:p>
        </w:tc>
        <w:tc>
          <w:tcPr>
            <w:tcW w:w="48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Reports of Independent Registered Public Accounting Firm</w:t>
              </w:r>
            </w:hyperlink>
          </w:p>
        </w:tc>
        <w:tc>
          <w:tcPr>
            <w:tcW w:w="5560" w:type="dxa"/>
            <w:vAlign w:val="bottom"/>
            <w:gridSpan w:val="10"/>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71-72</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75">
              <w:r>
                <w:rPr>
                  <w:rFonts w:ascii="Times New Roman" w:cs="Times New Roman" w:eastAsia="Times New Roman" w:hAnsi="Times New Roman"/>
                  <w:sz w:val="18"/>
                  <w:szCs w:val="18"/>
                  <w:color w:val="0000EE"/>
                  <w:w w:val="97"/>
                </w:rPr>
                <w:t>Consolidated Statements of Financial Condition as of December 31, 2014 and 2013</w:t>
              </w:r>
            </w:hyperlink>
          </w:p>
        </w:tc>
        <w:tc>
          <w:tcPr>
            <w:tcW w:w="4500" w:type="dxa"/>
            <w:vAlign w:val="bottom"/>
            <w:gridSpan w:val="8"/>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Consolidated Statements of Operations for the years ended December 31, 2014, 2013 and 2012</w:t>
              </w:r>
            </w:hyperlink>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Consolidated Statements of Comprehensive Income for the years ended December 31, 2014, 2013 and 2012</w:t>
              </w:r>
            </w:hyperlink>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304"/>
        </w:trPr>
        <w:tc>
          <w:tcPr>
            <w:tcW w:w="44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79">
              <w:r>
                <w:rPr>
                  <w:rFonts w:ascii="Times New Roman" w:cs="Times New Roman" w:eastAsia="Times New Roman" w:hAnsi="Times New Roman"/>
                  <w:sz w:val="18"/>
                  <w:szCs w:val="18"/>
                  <w:color w:val="0000EE"/>
                  <w:w w:val="97"/>
                </w:rPr>
                <w:t>Consolidated Statements of Cash Flows for the years ended December 31, 2014, 2013 and 2012</w:t>
              </w:r>
            </w:hyperlink>
          </w:p>
        </w:tc>
        <w:tc>
          <w:tcPr>
            <w:tcW w:w="840" w:type="dxa"/>
            <w:vAlign w:val="bottom"/>
            <w:tcBorders>
              <w:top w:val="single" w:sz="8" w:color="0000EE"/>
            </w:tcBorders>
            <w:gridSpan w:val="2"/>
          </w:tcPr>
          <w:p>
            <w:pPr>
              <w:spacing w:after="0"/>
              <w:rPr>
                <w:sz w:val="24"/>
                <w:szCs w:val="24"/>
                <w:color w:val="auto"/>
              </w:rPr>
            </w:pPr>
          </w:p>
        </w:tc>
        <w:tc>
          <w:tcPr>
            <w:tcW w:w="2800" w:type="dxa"/>
            <w:vAlign w:val="bottom"/>
            <w:gridSpan w:val="2"/>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Consolidated Statements of Changes in Members’ Equity for the years ended December 31, 2014, 2013 and 2012</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304"/>
        </w:trPr>
        <w:tc>
          <w:tcPr>
            <w:tcW w:w="44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83">
              <w:r>
                <w:rPr>
                  <w:rFonts w:ascii="Times New Roman" w:cs="Times New Roman" w:eastAsia="Times New Roman" w:hAnsi="Times New Roman"/>
                  <w:sz w:val="18"/>
                  <w:szCs w:val="18"/>
                  <w:color w:val="0000EE"/>
                  <w:w w:val="97"/>
                </w:rPr>
                <w:t>Notes to Consolidated Financial Statements</w:t>
              </w:r>
            </w:hyperlink>
          </w:p>
        </w:tc>
        <w:tc>
          <w:tcPr>
            <w:tcW w:w="4940" w:type="dxa"/>
            <w:vAlign w:val="bottom"/>
            <w:tcBorders>
              <w:top w:val="single" w:sz="8" w:color="0000EE"/>
            </w:tcBorders>
            <w:gridSpan w:val="11"/>
          </w:tcPr>
          <w:p>
            <w:pPr>
              <w:spacing w:after="0"/>
              <w:rPr>
                <w:sz w:val="24"/>
                <w:szCs w:val="24"/>
                <w:color w:val="auto"/>
              </w:rPr>
            </w:pPr>
          </w:p>
        </w:tc>
        <w:tc>
          <w:tcPr>
            <w:tcW w:w="236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64"/>
        </w:trPr>
        <w:tc>
          <w:tcPr>
            <w:tcW w:w="10820" w:type="dxa"/>
            <w:vAlign w:val="bottom"/>
            <w:gridSpan w:val="18"/>
          </w:tcPr>
          <w:p>
            <w:pPr>
              <w:spacing w:after="0"/>
              <w:rPr>
                <w:rFonts w:ascii="Times New Roman" w:cs="Times New Roman" w:eastAsia="Times New Roman" w:hAnsi="Times New Roman"/>
                <w:sz w:val="18"/>
                <w:szCs w:val="18"/>
                <w:b w:val="1"/>
                <w:bCs w:val="1"/>
                <w:color w:val="0000EE"/>
              </w:rPr>
            </w:pPr>
            <w:hyperlink w:anchor="page130">
              <w:r>
                <w:rPr>
                  <w:rFonts w:ascii="Times New Roman" w:cs="Times New Roman" w:eastAsia="Times New Roman" w:hAnsi="Times New Roman"/>
                  <w:sz w:val="18"/>
                  <w:szCs w:val="18"/>
                  <w:b w:val="1"/>
                  <w:bCs w:val="1"/>
                  <w:color w:val="0000EE"/>
                </w:rPr>
                <w:t>Supplemental Financial Information</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130">
              <w:r>
                <w:rPr>
                  <w:rFonts w:ascii="Times New Roman" w:cs="Times New Roman" w:eastAsia="Times New Roman" w:hAnsi="Times New Roman"/>
                  <w:sz w:val="18"/>
                  <w:szCs w:val="18"/>
                  <w:color w:val="0000EE"/>
                  <w:w w:val="96"/>
                </w:rPr>
                <w:t>Quarterly Results</w:t>
              </w:r>
            </w:hyperlink>
          </w:p>
        </w:tc>
        <w:tc>
          <w:tcPr>
            <w:tcW w:w="1060" w:type="dxa"/>
            <w:vAlign w:val="bottom"/>
            <w:tcBorders>
              <w:top w:val="single" w:sz="8" w:color="0000EE"/>
            </w:tcBorders>
          </w:tcPr>
          <w:p>
            <w:pPr>
              <w:spacing w:after="0"/>
              <w:rPr>
                <w:sz w:val="24"/>
                <w:szCs w:val="24"/>
                <w:color w:val="auto"/>
              </w:rPr>
            </w:pPr>
          </w:p>
        </w:tc>
        <w:tc>
          <w:tcPr>
            <w:tcW w:w="8080" w:type="dxa"/>
            <w:vAlign w:val="bottom"/>
            <w:gridSpan w:val="14"/>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r>
      <w:tr>
        <w:trPr>
          <w:trHeight w:val="302"/>
        </w:trPr>
        <w:tc>
          <w:tcPr>
            <w:tcW w:w="108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108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Condensed Statements of Financial Condition as of December 31, 2014 and 2013</w:t>
              </w:r>
            </w:hyperlink>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5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141">
              <w:r>
                <w:rPr>
                  <w:rFonts w:ascii="Times New Roman" w:cs="Times New Roman" w:eastAsia="Times New Roman" w:hAnsi="Times New Roman"/>
                  <w:sz w:val="18"/>
                  <w:szCs w:val="18"/>
                  <w:color w:val="0000EE"/>
                  <w:w w:val="97"/>
                </w:rPr>
                <w:t>Condensed Statements of Operations for the years ended December 31, 2014, 2013 and 2012</w:t>
              </w:r>
            </w:hyperlink>
          </w:p>
        </w:tc>
        <w:tc>
          <w:tcPr>
            <w:tcW w:w="3840" w:type="dxa"/>
            <w:vAlign w:val="bottom"/>
            <w:gridSpan w:val="7"/>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F-3</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Condensed Statements of Comprehensive Income for the years ended December 31, 2014, 2013 and 2012</w:t>
              </w:r>
            </w:hyperlink>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F-4</w:t>
            </w:r>
          </w:p>
        </w:tc>
      </w:tr>
      <w:tr>
        <w:trPr>
          <w:trHeight w:val="304"/>
        </w:trPr>
        <w:tc>
          <w:tcPr>
            <w:tcW w:w="440" w:type="dxa"/>
            <w:vAlign w:val="bottom"/>
          </w:tcPr>
          <w:p>
            <w:pPr>
              <w:spacing w:after="0"/>
              <w:rPr>
                <w:sz w:val="24"/>
                <w:szCs w:val="24"/>
                <w:color w:val="auto"/>
              </w:rPr>
            </w:pPr>
          </w:p>
        </w:tc>
        <w:tc>
          <w:tcPr>
            <w:tcW w:w="660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143">
              <w:r>
                <w:rPr>
                  <w:rFonts w:ascii="Times New Roman" w:cs="Times New Roman" w:eastAsia="Times New Roman" w:hAnsi="Times New Roman"/>
                  <w:sz w:val="18"/>
                  <w:szCs w:val="18"/>
                  <w:color w:val="0000EE"/>
                  <w:w w:val="97"/>
                </w:rPr>
                <w:t>Condensed Statements of Cash Flows for the years ended December 31, 2014, 2013 and 2012</w:t>
              </w:r>
            </w:hyperlink>
          </w:p>
        </w:tc>
        <w:tc>
          <w:tcPr>
            <w:tcW w:w="840" w:type="dxa"/>
            <w:vAlign w:val="bottom"/>
            <w:tcBorders>
              <w:top w:val="single" w:sz="8" w:color="0000EE"/>
            </w:tcBorders>
            <w:gridSpan w:val="3"/>
          </w:tcPr>
          <w:p>
            <w:pPr>
              <w:spacing w:after="0"/>
              <w:rPr>
                <w:sz w:val="24"/>
                <w:szCs w:val="24"/>
                <w:color w:val="auto"/>
              </w:rPr>
            </w:pPr>
          </w:p>
        </w:tc>
        <w:tc>
          <w:tcPr>
            <w:tcW w:w="2940" w:type="dxa"/>
            <w:vAlign w:val="bottom"/>
            <w:gridSpan w:val="3"/>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F-5</w:t>
            </w:r>
          </w:p>
        </w:tc>
      </w:tr>
      <w:tr>
        <w:trPr>
          <w:trHeight w:val="304"/>
        </w:trPr>
        <w:tc>
          <w:tcPr>
            <w:tcW w:w="44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Notes to Condensed Financial Statements</w:t>
              </w:r>
            </w:hyperlink>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F-6</w:t>
            </w: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3"/>
          </w:tcPr>
          <w:p>
            <w:pPr>
              <w:spacing w:after="0"/>
              <w:rPr>
                <w:sz w:val="24"/>
                <w:szCs w:val="24"/>
                <w:color w:val="auto"/>
              </w:rPr>
            </w:pPr>
          </w:p>
        </w:tc>
        <w:tc>
          <w:tcPr>
            <w:tcW w:w="28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3"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Management of Lazard Group LLC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90" w:lineRule="exact"/>
        <w:rPr>
          <w:sz w:val="20"/>
          <w:szCs w:val="20"/>
          <w:color w:val="auto"/>
        </w:rPr>
      </w:pPr>
    </w:p>
    <w:p>
      <w:pPr>
        <w:ind w:left="900" w:right="440" w:hanging="325"/>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38" w:lineRule="exact"/>
        <w:rPr>
          <w:rFonts w:ascii="Times New Roman" w:cs="Times New Roman" w:eastAsia="Times New Roman" w:hAnsi="Times New Roman"/>
          <w:sz w:val="18"/>
          <w:szCs w:val="18"/>
          <w:color w:val="auto"/>
        </w:rPr>
      </w:pPr>
    </w:p>
    <w:p>
      <w:pPr>
        <w:jc w:val="both"/>
        <w:ind w:left="900" w:right="540" w:hanging="325"/>
        <w:spacing w:after="0" w:line="26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the Company’s management and directors; and</w:t>
      </w:r>
    </w:p>
    <w:p>
      <w:pPr>
        <w:spacing w:after="0" w:line="51"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20"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2014.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Based on management’s assessment and those criteria, management believes that the Company maintained effective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of December 31, 2014.</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Deloitte &amp; Touche LLP, audited the Company’s internal control over financial reporting as of December 31, 2014, as stated in their report which appears under “Report of Independent Registered Public Accounting Firm.”</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700" w:firstLine="270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Members of Lazard Group LLC:</w:t>
      </w:r>
    </w:p>
    <w:p>
      <w:pPr>
        <w:spacing w:after="0" w:line="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Lazard Group LLC and subsidiaries (the “Company”) as of December 31, 2014,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3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6" w:lineRule="exact"/>
        <w:rPr>
          <w:sz w:val="20"/>
          <w:szCs w:val="20"/>
          <w:color w:val="auto"/>
        </w:rPr>
      </w:pPr>
    </w:p>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t xml:space="preserve">In our opinion, the Company maintained, in all material respects, effective internal control over financial reporting as of December 31, 2014, based on the criteria established in </w:t>
      </w:r>
      <w:r>
        <w:rPr>
          <w:rFonts w:ascii="Times New Roman" w:cs="Times New Roman" w:eastAsia="Times New Roman" w:hAnsi="Times New Roman"/>
          <w:sz w:val="16"/>
          <w:szCs w:val="16"/>
          <w:i w:val="1"/>
          <w:iCs w:val="1"/>
          <w:color w:val="auto"/>
        </w:rPr>
        <w:t>Internal Control—Integrated Framework (2013)</w:t>
      </w:r>
      <w:r>
        <w:rPr>
          <w:rFonts w:ascii="Times New Roman" w:cs="Times New Roman" w:eastAsia="Times New Roman" w:hAnsi="Times New Roman"/>
          <w:sz w:val="16"/>
          <w:szCs w:val="16"/>
          <w:color w:val="auto"/>
        </w:rPr>
        <w:t xml:space="preserve"> issued by the Committee of Sponsoring Organizations of the Treadway Commission.</w:t>
      </w:r>
    </w:p>
    <w:p>
      <w:pPr>
        <w:spacing w:after="0" w:line="7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and financial statement schedule as listed in the Index at Item 8 as of and for the year ended December 31, 2014 of the Company, and our report dated February 26, 2015, expressed an unqualified opinion on those consolidated financial statements and financial statement schedule.</w:t>
      </w:r>
    </w:p>
    <w:p>
      <w:pPr>
        <w:spacing w:after="0" w:line="13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2015</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680" w:firstLine="270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Members of Lazard Group LLC:</w:t>
      </w:r>
    </w:p>
    <w:p>
      <w:pPr>
        <w:spacing w:after="0" w:line="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Lazard Group LLC and subsidiaries (the “Company”) as of December 31, 2014 and 2013, and the related consolidated statements of operations, comprehensive income, cash flows, and changes in members’ equity for each of the three years in the period ended December 31, 2014.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In our opinion, such consolidated financial statements present fairly, in all material respects, the financial position of Lazard Group LLC and subsidiaries at December 31, 2014 and 2013, and the results of their operations and their cash flows for each of the three years in the period ended December 31, 2014,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03" w:lineRule="exact"/>
        <w:rPr>
          <w:sz w:val="20"/>
          <w:szCs w:val="20"/>
          <w:color w:val="auto"/>
        </w:rPr>
      </w:pPr>
    </w:p>
    <w:p>
      <w:pPr>
        <w:ind w:right="4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Company’s internal control over financial reporting as of December 31, 2014, based on the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26, 2015, expressed an unqualified opinion on the Company’s internal control over financial reporting.</w:t>
      </w:r>
    </w:p>
    <w:p>
      <w:pPr>
        <w:spacing w:after="0" w:line="13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2015</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 and 2013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917,212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with banks and short-term investments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207,760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244,879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with clearing organizations and other segregated cash</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62,046</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8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 of allowance for doubtful accounts of $23,540 and $28,777 at December 31, 2014 and 2013, respectively):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483,681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Customers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Related parties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557,928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609,226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466,542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Property (net of accumulated amortization and depreciation of $256,285 and $253,930 at December 31, 2014 and 2013,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222,569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248,795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Goodwill and other intangible assets (net of accumulated amortization of $51,754 and $45,379 at December 31, 2014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2013, respectively)</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347,438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265,257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3,170,680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3,093,988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 and 2013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Deposits and other customer payables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314,284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606,290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Senior debt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1,048,350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1,048,350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Related party payables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2,676,541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2,557,862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8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Members’ equity (net of 5,663,243 and 5,744,856 shares of Lazard Ltd Class A common stock, at a cost of $246,032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and $194,873 at December 31, 2014 and 2013, respectively)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594,834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(163,288)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Lazard Group LLC Members’ Equity</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Members’ Equity</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494,139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3,170,680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3,093,988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6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1200" w:type="dxa"/>
            <w:vAlign w:val="bottom"/>
            <w:gridSpan w:val="2"/>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740" w:type="dxa"/>
            <w:vAlign w:val="bottom"/>
            <w:gridSpan w:val="2"/>
            <w:vMerge w:val="continue"/>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 banking and other advisory fees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$1,201,424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$ 972,533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$ 1,039,188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Asset management fees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1,080,842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994,707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11,108</w:t>
            </w: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11,076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92,797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2,368,941</w:t>
            </w: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2,071,113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1,999,489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87,039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2,300,736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1,313,550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Occupancy and equipment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111,522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Marketing and business development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88,029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Technology and information services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91,119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Professional services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44,495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Fund administration and outsourced services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65,457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6,387</w:t>
            </w:r>
          </w:p>
        </w:tc>
        <w:tc>
          <w:tcPr>
            <w:tcW w:w="15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10,114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80,114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1,765,065</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540,975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77,815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463,160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186,767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 NET INCOME ATTRIBUTABLE TO NONCONTROLLING INTERESTS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LAZARD GROUP LLC</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$ 457,004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$ 183,063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$ 87,609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463,160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186,767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$ 90,971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(43,861)</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(3,421)</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interest rate hedge</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2,502</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Employee benefit plans: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Actuarial loss (net of tax benefit of $9,045, $6,388 and $12,950 for the years ended December 31, 2014,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2013 and 2012, respectively)</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(21,983)</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(13,500)</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40" w:type="dxa"/>
            <w:vAlign w:val="bottom"/>
            <w:shd w:val="clear" w:color="auto" w:fill="CCEEFF"/>
          </w:tcPr>
          <w:p>
            <w:pPr>
              <w:ind w:left="860"/>
              <w:spacing w:after="0" w:line="203" w:lineRule="exact"/>
              <w:rPr>
                <w:sz w:val="20"/>
                <w:szCs w:val="20"/>
                <w:color w:val="auto"/>
              </w:rPr>
            </w:pPr>
            <w:r>
              <w:rPr>
                <w:rFonts w:ascii="Times New Roman" w:cs="Times New Roman" w:eastAsia="Times New Roman" w:hAnsi="Times New Roman"/>
                <w:sz w:val="18"/>
                <w:szCs w:val="18"/>
                <w:color w:val="auto"/>
                <w:w w:val="98"/>
              </w:rPr>
              <w:t>Adjustment for items reclassified to earnings (net of tax expense of $1,923, $1,929 and $1,145 for the years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ended December 31, 2014, 2013 and 2012, respectively)</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4,749</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4,605</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4,399</w:t>
            </w:r>
          </w:p>
        </w:tc>
        <w:tc>
          <w:tcPr>
            <w:tcW w:w="0" w:type="dxa"/>
            <w:vAlign w:val="bottom"/>
          </w:tcPr>
          <w:p>
            <w:pPr>
              <w:spacing w:after="0"/>
              <w:rPr>
                <w:sz w:val="1"/>
                <w:szCs w:val="1"/>
                <w:color w:val="auto"/>
              </w:rPr>
            </w:pPr>
          </w:p>
        </w:tc>
      </w:tr>
      <w:tr>
        <w:trPr>
          <w:trHeight w:val="23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402,065</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176,953</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 COMPREHENSIVE INCOME ATTRIBUTABLE TO NONCONTROLLING INTERESTS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6,153</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3,625</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LAZARD GROUP LLC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395,912</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173,328</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$ 74,468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6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463,160</w:t>
            </w: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186,767</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Depreciation and amortization of property</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34,463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34,750</w:t>
            </w:r>
          </w:p>
        </w:tc>
        <w:tc>
          <w:tcPr>
            <w:tcW w:w="2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Amortization of deferred expenses, share-based incentive compensation and interest rate hedge</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294,960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309,229</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359,983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 related to acquisitions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6,387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10,114</w:t>
            </w:r>
          </w:p>
        </w:tc>
        <w:tc>
          <w:tcPr>
            <w:tcW w:w="2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Deferred tax provision (benefit)</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12,733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(3,275)</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50,757</w:t>
            </w:r>
          </w:p>
        </w:tc>
        <w:tc>
          <w:tcPr>
            <w:tcW w:w="2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Loss on sale of intercompany receivable</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decrease in operating assets: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Deposits with banks and short-term investments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8,544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58,570</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Cash deposited with clearing organizations and other segregated cash</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15,656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4,811</w:t>
            </w:r>
          </w:p>
        </w:tc>
        <w:tc>
          <w:tcPr>
            <w:tcW w:w="2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Receivables-net</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(57,618)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(35,481)</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112,809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(159,544)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(62,098)</w:t>
            </w:r>
          </w:p>
        </w:tc>
        <w:tc>
          <w:tcPr>
            <w:tcW w:w="2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(113,622)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(62,463)</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(decrease) in operating liabilities: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Deposits and other payables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32,541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(11,223)</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(30,927)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 and other liabilities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184,704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47,193</w:t>
            </w:r>
          </w:p>
        </w:tc>
        <w:tc>
          <w:tcPr>
            <w:tcW w:w="2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72,992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1280"/>
              <w:spacing w:after="0" w:line="14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722,364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527,651</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561,446</w:t>
            </w:r>
          </w:p>
        </w:tc>
        <w:tc>
          <w:tcPr>
            <w:tcW w:w="0" w:type="dxa"/>
            <w:vAlign w:val="bottom"/>
          </w:tcPr>
          <w:p>
            <w:pPr>
              <w:spacing w:after="0"/>
              <w:rPr>
                <w:sz w:val="1"/>
                <w:szCs w:val="1"/>
                <w:color w:val="auto"/>
              </w:rPr>
            </w:pPr>
          </w:p>
        </w:tc>
      </w:tr>
      <w:tr>
        <w:trPr>
          <w:trHeight w:val="156"/>
        </w:trPr>
        <w:tc>
          <w:tcPr>
            <w:tcW w:w="74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Additions to property</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(22,184)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(60,964)</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Disposals of property</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2,085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6,411</w:t>
            </w:r>
          </w:p>
        </w:tc>
        <w:tc>
          <w:tcPr>
            <w:tcW w:w="2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1280"/>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(20,099)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(54,553)</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(84,932)</w:t>
            </w:r>
          </w:p>
        </w:tc>
        <w:tc>
          <w:tcPr>
            <w:tcW w:w="0" w:type="dxa"/>
            <w:vAlign w:val="bottom"/>
          </w:tcPr>
          <w:p>
            <w:pPr>
              <w:spacing w:after="0"/>
              <w:rPr>
                <w:sz w:val="1"/>
                <w:szCs w:val="1"/>
                <w:color w:val="auto"/>
              </w:rPr>
            </w:pPr>
          </w:p>
        </w:tc>
      </w:tr>
      <w:tr>
        <w:trPr>
          <w:trHeight w:val="156"/>
        </w:trPr>
        <w:tc>
          <w:tcPr>
            <w:tcW w:w="74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832</w:t>
            </w:r>
          </w:p>
        </w:tc>
        <w:tc>
          <w:tcPr>
            <w:tcW w:w="2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Issuance of senior debt, net of expenses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493,398</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Excess tax benefits from share-based incentive compensation</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5,149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1,108</w:t>
            </w:r>
          </w:p>
        </w:tc>
        <w:tc>
          <w:tcPr>
            <w:tcW w:w="2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Sale of intercompany receivable</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financing activities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Payments for:</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Senior debt</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(578,464)</w:t>
            </w:r>
          </w:p>
        </w:tc>
        <w:tc>
          <w:tcPr>
            <w:tcW w:w="2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Capital lease obligations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(2,659)</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(11,546)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(13,367)</w:t>
            </w:r>
          </w:p>
        </w:tc>
        <w:tc>
          <w:tcPr>
            <w:tcW w:w="2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Purchase of Lazard Ltd Class A common stock</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(141,192)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(132,477)</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8"/>
              </w:rPr>
              <w:t>(332,095)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Distribution to members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(322,369)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(125,516)</w:t>
            </w:r>
          </w:p>
        </w:tc>
        <w:tc>
          <w:tcPr>
            <w:tcW w:w="2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8"/>
              </w:rPr>
              <w:t>(140,278)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Settlement of vested share-based incentive compensation</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(85,442)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(132,533)</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rPr>
              <w:t>Other financing activities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(5,840)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(2,866)</w:t>
            </w:r>
          </w:p>
        </w:tc>
        <w:tc>
          <w:tcPr>
            <w:tcW w:w="2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1280"/>
              <w:spacing w:after="0" w:line="149"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(561,879)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(492,544)</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8"/>
              </w:rPr>
              <w:t>(464,639)</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w:t>
            </w: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gridSpan w:val="2"/>
            <w:vMerge w:val="continue"/>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(55,451)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6,220</w:t>
            </w:r>
          </w:p>
        </w:tc>
        <w:tc>
          <w:tcPr>
            <w:tcW w:w="200" w:type="dxa"/>
            <w:vAlign w:val="bottom"/>
          </w:tcPr>
          <w:p>
            <w:pPr>
              <w:spacing w:after="0"/>
              <w:rPr>
                <w:sz w:val="13"/>
                <w:szCs w:val="13"/>
                <w:color w:val="auto"/>
              </w:rPr>
            </w:pPr>
          </w:p>
        </w:tc>
        <w:tc>
          <w:tcPr>
            <w:tcW w:w="62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12,644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84,935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(13,226)</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EQUIVALENTS—January 1</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832,277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845,503</w:t>
            </w:r>
          </w:p>
        </w:tc>
        <w:tc>
          <w:tcPr>
            <w:tcW w:w="2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820,984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EQUIVALENTS—December 31</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917,212</w:t>
            </w:r>
          </w:p>
        </w:tc>
        <w:tc>
          <w:tcPr>
            <w:tcW w:w="2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832,277</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845,503</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0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paid during the year for:</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66,049</w:t>
            </w:r>
          </w:p>
        </w:tc>
        <w:tc>
          <w:tcPr>
            <w:tcW w:w="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86,329</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3" w:lineRule="exact"/>
              <w:rPr>
                <w:sz w:val="20"/>
                <w:szCs w:val="20"/>
                <w:color w:val="auto"/>
              </w:rPr>
            </w:pPr>
            <w:r>
              <w:rPr>
                <w:rFonts w:ascii="Times New Roman" w:cs="Times New Roman" w:eastAsia="Times New Roman" w:hAnsi="Times New Roman"/>
                <w:sz w:val="14"/>
                <w:szCs w:val="14"/>
                <w:color w:val="auto"/>
              </w:rPr>
              <w:t>Income taxes, net of refunds</w:t>
            </w:r>
          </w:p>
        </w:tc>
        <w:tc>
          <w:tcPr>
            <w:tcW w:w="152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48,722</w:t>
            </w:r>
          </w:p>
        </w:tc>
        <w:tc>
          <w:tcPr>
            <w:tcW w:w="220" w:type="dxa"/>
            <w:vAlign w:val="bottom"/>
            <w:gridSpan w:val="2"/>
            <w:shd w:val="clear" w:color="auto" w:fill="CCEEFF"/>
          </w:tcPr>
          <w:p>
            <w:pPr>
              <w:jc w:val="right"/>
              <w:ind w:right="80"/>
              <w:spacing w:after="0" w:line="143"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21,853</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22,314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220" w:type="dxa"/>
            <w:vAlign w:val="bottom"/>
          </w:tcPr>
          <w:p>
            <w:pPr>
              <w:spacing w:after="0"/>
              <w:rPr>
                <w:sz w:val="12"/>
                <w:szCs w:val="12"/>
                <w:color w:val="auto"/>
              </w:rPr>
            </w:pPr>
          </w:p>
        </w:tc>
        <w:tc>
          <w:tcPr>
            <w:tcW w:w="136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Lazard Group</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22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Income (Loss),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Members’</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Members’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Net of Tax</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2012</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$ 693,596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w w:val="84"/>
              </w:rPr>
              <w:t>(79,252)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614,344</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103,923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$ 718,267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87,609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comprehensive loss – net of tax</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(13,141)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(13,141)</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310,348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310,348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 and noncontrolling interests, net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(140,278)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(140,278)</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(20,766)</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Deconsolidation of investment companies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(10,607)</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Lazard Ltd Class A common stock</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(332,095)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(332,095)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(332,095)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Delivery of Lazard Ltd Class A common stock in connection with</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incentive compensation and related tax expense of</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$972</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(45,855)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(45,855)</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(45,855)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Modification of equity incentive compensation award</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(26,922)</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(26,922)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acquisitions and related equity transactions: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Delivery of Lazard Ltd Class A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Lazard Ltd Class A common stock issuable (including</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related amortization)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(5,195)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2012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$ 545,572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(92,393)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453,179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75,908</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$ 529,087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143"/>
        </w:trPr>
        <w:tc>
          <w:tcPr>
            <w:tcW w:w="5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418"/>
              <w:spacing w:after="0" w:line="143"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558"/>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438"/>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36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Lazard Group</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49"/>
        </w:trPr>
        <w:tc>
          <w:tcPr>
            <w:tcW w:w="518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220" w:type="dxa"/>
            <w:vAlign w:val="bottom"/>
          </w:tcPr>
          <w:p>
            <w:pPr>
              <w:spacing w:after="0"/>
              <w:rPr>
                <w:sz w:val="12"/>
                <w:szCs w:val="12"/>
                <w:color w:val="auto"/>
              </w:rPr>
            </w:pPr>
          </w:p>
        </w:tc>
        <w:tc>
          <w:tcPr>
            <w:tcW w:w="1420" w:type="dxa"/>
            <w:vAlign w:val="bottom"/>
            <w:gridSpan w:val="3"/>
          </w:tcPr>
          <w:p>
            <w:pPr>
              <w:jc w:val="center"/>
              <w:ind w:right="418"/>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Income (Loss),</w:t>
            </w: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Members’</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Members’</w:t>
            </w:r>
          </w:p>
        </w:tc>
      </w:tr>
      <w:tr>
        <w:trPr>
          <w:trHeight w:val="165"/>
        </w:trPr>
        <w:tc>
          <w:tcPr>
            <w:tcW w:w="518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538"/>
              <w:spacing w:after="0"/>
              <w:rPr>
                <w:sz w:val="20"/>
                <w:szCs w:val="20"/>
                <w:color w:val="auto"/>
              </w:rPr>
            </w:pPr>
            <w:r>
              <w:rPr>
                <w:rFonts w:ascii="Times New Roman" w:cs="Times New Roman" w:eastAsia="Times New Roman" w:hAnsi="Times New Roman"/>
                <w:sz w:val="14"/>
                <w:szCs w:val="14"/>
                <w:b w:val="1"/>
                <w:bCs w:val="1"/>
                <w:color w:val="auto"/>
                <w:w w:val="95"/>
              </w:rPr>
              <w:t>Net of Tax</w:t>
            </w:r>
          </w:p>
        </w:tc>
        <w:tc>
          <w:tcPr>
            <w:tcW w:w="1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Equity</w:t>
            </w: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2013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$ 545,572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(92,393)</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453,179</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75,908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$ 529,087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183,063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183,063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186,767</w:t>
            </w:r>
          </w:p>
        </w:tc>
      </w:tr>
      <w:tr>
        <w:trPr>
          <w:trHeight w:val="216"/>
        </w:trPr>
        <w:tc>
          <w:tcPr>
            <w:tcW w:w="5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loss – net of tax</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78"/>
              <w:spacing w:after="0"/>
              <w:rPr>
                <w:sz w:val="20"/>
                <w:szCs w:val="20"/>
                <w:color w:val="auto"/>
              </w:rPr>
            </w:pPr>
            <w:r>
              <w:rPr>
                <w:rFonts w:ascii="Times New Roman" w:cs="Times New Roman" w:eastAsia="Times New Roman" w:hAnsi="Times New Roman"/>
                <w:sz w:val="18"/>
                <w:szCs w:val="18"/>
                <w:color w:val="auto"/>
              </w:rPr>
              <w:t>(9,735)</w:t>
            </w: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(9,735)</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(9,814)</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235,898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235,898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235,898</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members and noncontrolling interests, net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(125,516)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(125,516)</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(12,535)</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(138,051)</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Lazard Ltd Class A common stock</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(132,477)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(132,477)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(132,477)</w:t>
            </w:r>
          </w:p>
        </w:tc>
      </w:tr>
      <w:tr>
        <w:trPr>
          <w:trHeight w:val="202"/>
        </w:trPr>
        <w:tc>
          <w:tcPr>
            <w:tcW w:w="5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Delivery of Lazard Ltd Class A common stock in connection with</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incentive compensation and related tax benefit of</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(132,493)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(132,493)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(132,493)</w:t>
            </w:r>
          </w:p>
        </w:tc>
      </w:tr>
      <w:tr>
        <w:trPr>
          <w:trHeight w:val="218"/>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acquisitions and related equity transactions: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Delivery of Lazard Ltd Class A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r>
      <w:tr>
        <w:trPr>
          <w:trHeight w:val="202"/>
        </w:trPr>
        <w:tc>
          <w:tcPr>
            <w:tcW w:w="518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Lazard Ltd Class A common stock issuable (including</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related amortization)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Adjustment related to noncontrolling interests</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78"/>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(344)</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(2,866)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(2,866)</w:t>
            </w: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2013 (*)</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$ 571,668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(102,196</w:t>
            </w:r>
          </w:p>
        </w:tc>
        <w:tc>
          <w:tcPr>
            <w:tcW w:w="520" w:type="dxa"/>
            <w:vAlign w:val="bottom"/>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469,472</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66,654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$ 536,126</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5180" w:type="dxa"/>
            <w:vAlign w:val="bottom"/>
          </w:tcPr>
          <w:p>
            <w:pPr>
              <w:spacing w:after="0"/>
              <w:rPr>
                <w:sz w:val="24"/>
                <w:szCs w:val="24"/>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220" w:type="dxa"/>
            <w:vAlign w:val="bottom"/>
          </w:tcPr>
          <w:p>
            <w:pPr>
              <w:spacing w:after="0"/>
              <w:rPr>
                <w:sz w:val="12"/>
                <w:szCs w:val="12"/>
                <w:color w:val="auto"/>
              </w:rPr>
            </w:pPr>
          </w:p>
        </w:tc>
        <w:tc>
          <w:tcPr>
            <w:tcW w:w="136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Lazard Group</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Members’</w:t>
            </w:r>
          </w:p>
        </w:tc>
        <w:tc>
          <w:tcPr>
            <w:tcW w:w="22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Income (Loss),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Members’</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Members’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Net of Tax</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2014</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$ 571,668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(102,196)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469,472</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66,654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$ 536,126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457,004</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457,004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463,160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comprehensive loss – net of tax</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(61,092)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(61,092)</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(61,095)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206,195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to members and noncontrolling interests, net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(322,369)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(322,369)</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(10,214)</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(332,583)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Lazard Ltd Class A common stock</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(232,220)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(232,220)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(232,220)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Delivery of Lazard Ltd Class A common stock in connection with</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shared-based incentive compensation awards and related tax</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benefit of $4,783</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(80,659)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(80,659)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(80,659)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acquisitions and related equity transactions:</w:t>
            </w: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Delivery of Lazard Ltd Class A common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2"/>
            <w:shd w:val="clear" w:color="auto" w:fill="CCEEFF"/>
          </w:tcPr>
          <w:p>
            <w:pPr>
              <w:ind w:left="420"/>
              <w:spacing w:after="0" w:line="202" w:lineRule="exact"/>
              <w:rPr>
                <w:sz w:val="20"/>
                <w:szCs w:val="20"/>
                <w:color w:val="auto"/>
              </w:rPr>
            </w:pPr>
            <w:r>
              <w:rPr>
                <w:rFonts w:ascii="Times New Roman" w:cs="Times New Roman" w:eastAsia="Times New Roman" w:hAnsi="Times New Roman"/>
                <w:sz w:val="18"/>
                <w:szCs w:val="18"/>
                <w:color w:val="auto"/>
              </w:rPr>
              <w:t>Lazard Ltd Class A common stock issuable (including</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related amortization)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(5,640)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2014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$ 594,834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(163,288)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431,546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62,593</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$ 494,139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400" w:hanging="452"/>
        <w:spacing w:after="0" w:line="275"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129,766,090 common membership interests issued at December 31, 2012, 2013 and 2014. Also includes profit participation interests and two managing member interests issued at each such date.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95" w:lineRule="exact"/>
        <w:rPr>
          <w:sz w:val="20"/>
          <w:szCs w:val="20"/>
          <w:color w:val="auto"/>
        </w:rPr>
      </w:pPr>
    </w:p>
    <w:p>
      <w:pPr>
        <w:ind w:right="7040" w:firstLine="8"/>
        <w:spacing w:after="0" w:line="346" w:lineRule="auto"/>
        <w:tabs>
          <w:tab w:leader="none" w:pos="446"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ORGANIZATION AND BASIS OF PRESENTATION Organization</w:t>
      </w:r>
    </w:p>
    <w:p>
      <w:pPr>
        <w:spacing w:after="0" w:line="1"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3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Lazard Ltd, a Bermuda holding company, and its subsidiaries (collectively referred to as “Lazard Ltd”), including its indirect investment in Lazard Group LLC,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3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Lazard Ltd indirectly held 100% and approximately 99.5% of all outstanding Lazard Group common membership interests as of December 31, 2014 and 2013, respectively. Lazard Ltd, through its control of the managing members of Lazard Group, controls Lazard Group. LAZ-MD Holdings LLC (“LAZ-MD Holdings”), an entity formerly owned by Lazard Group’s current and former managing directors, held approximately 0.5% of the outstanding Lazard Group common membership interests as of December 31, 2013. As of December 31, 2013, LAZ-MD Holdings was also the sole owner of the one issued and outstanding share of Lazard Ltd’s Class B common stock (the “Class B common stock”), which provided LAZ-MD Holdings with approximately 0.6% of the voting power, but no economic rights, in Lazard Ltd as of December 31, 2013. In May 2014, the remaining outstanding Lazard Group common membership interests held by LAZ-MD Holdings were exchanged for shares of Lazard Ltd’s Class A common stock, par value $0.01 per share (“Class A common stock”), and the sole issued and outstanding share of Lazard Ltd’s Class B common stock was automatically converted into one share of Lazard Ltd’s Class A common stock pursuant to the provisions of Lazard Ltd’s bye-laws, resulting in only one outstanding class of common stock (the “Final Exchange of LAZ-MD Interests”). Following the Final Exchange of LAZ-MD Interests, Lazard Group became a wholly-owned indirect subsidiary of Lazard Ltd.</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60" w:hanging="325"/>
        <w:spacing w:after="0" w:line="26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1" w:lineRule="exact"/>
        <w:rPr>
          <w:rFonts w:ascii="Times New Roman" w:cs="Times New Roman" w:eastAsia="Times New Roman" w:hAnsi="Times New Roman"/>
          <w:sz w:val="18"/>
          <w:szCs w:val="18"/>
          <w:color w:val="auto"/>
        </w:rPr>
      </w:pPr>
    </w:p>
    <w:p>
      <w:pPr>
        <w:jc w:val="both"/>
        <w:ind w:left="900" w:right="420" w:hanging="325"/>
        <w:spacing w:after="0" w:line="26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are prepared in conformity with accounting principles generally accepted in the United States of America (“U.S. GAAP”). The Company’s policy is to consolidate entities in which it has a controlling financial interest. The Company consolidates (i) a voting interest entity (“VOE”) where the Company either holds a majority of the voting interest in such entity or is the general partner in such entity and the third-party investors do not have the right to replace the general partner and (ii) a variable interest entity (“VIE”) where the Company absorbs a majority of the expected losses, expected residual returns, or both, of such entity.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4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256"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accounting policies below relate to reported amounts and disclosures in the consolidated financial statements.</w:t>
      </w:r>
    </w:p>
    <w:p>
      <w:pPr>
        <w:spacing w:after="0" w:line="167"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Foreign Currency Translation—</w:t>
      </w:r>
      <w:r>
        <w:rPr>
          <w:rFonts w:ascii="Times New Roman" w:cs="Times New Roman" w:eastAsia="Times New Roman" w:hAnsi="Times New Roman"/>
          <w:sz w:val="16"/>
          <w:szCs w:val="16"/>
          <w:color w:val="auto"/>
        </w:rPr>
        <w:t>The consolidated financial statements are presented in U.S. Dollars. Many of the Company’s non-U.S. subsidiaries have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functional currency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Foreign currency remeasurement gains (losses), net of hedge transactions (see Note 7 of Notes to Consolidated Financial Statements) amounted to $296, $(2,564) and $(673), respectively, for the years ended December 31, 2014, 2013 and 2012, and are included in “revenue-other” on the respective consolidated statements of operations.</w:t>
      </w:r>
    </w:p>
    <w:p>
      <w:pPr>
        <w:spacing w:after="0" w:line="112" w:lineRule="exact"/>
        <w:rPr>
          <w:sz w:val="20"/>
          <w:szCs w:val="20"/>
          <w:color w:val="auto"/>
        </w:rPr>
      </w:pPr>
    </w:p>
    <w:p>
      <w:pPr>
        <w:ind w:right="3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The preparation of consolidated financial statements in conformity with U.S. GAAP requires the use of management’s estimates.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preparing the consolidated financial statements, management makes estimates and assumptions regarding:</w:t>
      </w:r>
    </w:p>
    <w:p>
      <w:pPr>
        <w:spacing w:after="0" w:line="34" w:lineRule="exact"/>
        <w:rPr>
          <w:sz w:val="20"/>
          <w:szCs w:val="20"/>
          <w:color w:val="auto"/>
        </w:rPr>
      </w:pPr>
    </w:p>
    <w:p>
      <w:pPr>
        <w:ind w:left="900" w:right="620" w:hanging="325"/>
        <w:spacing w:after="0" w:line="275"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allowance for doubtful accounts;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deferred taxes and adequacy of tax reserves for uncertain tax positions;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goodwill and other intangible assets;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period of intangible assets;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shares issued or issuable that contain transfer restrictions;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share-based and other deferred compensation plan awards;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that affect the reported amounts and disclosure of contingencies in the consolidated financial statements.</w:t>
      </w:r>
    </w:p>
    <w:p>
      <w:pPr>
        <w:spacing w:after="0" w:line="17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16" w:lineRule="exact"/>
        <w:rPr>
          <w:sz w:val="20"/>
          <w:szCs w:val="20"/>
          <w:color w:val="auto"/>
        </w:rPr>
      </w:pPr>
    </w:p>
    <w:p>
      <w:pPr>
        <w:ind w:right="14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color w:val="auto"/>
        </w:rPr>
        <w:t>The Company defines cash equivalents as short-term, highly liquid securities and cash deposits with original maturities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90 days or less when purchased.</w:t>
      </w:r>
    </w:p>
    <w:p>
      <w:pPr>
        <w:spacing w:after="0" w:line="111"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Deposits with Banks and Short-Term Investments</w:t>
      </w:r>
      <w:r>
        <w:rPr>
          <w:rFonts w:ascii="Times New Roman" w:cs="Times New Roman" w:eastAsia="Times New Roman" w:hAnsi="Times New Roman"/>
          <w:sz w:val="18"/>
          <w:szCs w:val="18"/>
          <w:color w:val="auto"/>
        </w:rPr>
        <w:t>—Represents LFB’s short-term deposits, including with the Banque de France and amounts placed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LFB in short-term, highly liquid securities, such as French government securities, with original maturities of 90 days or less when purchased. The level of these deposits and investments may be driven by the level of LFB customer and bank-related interest-bearing time and demand deposits (which can fluctuate significantly on a daily basis) and by changes in asset allocation. The carrying value of deposits with banks and short-term investments approximates fair value due to their short-term maturities.</w:t>
      </w:r>
    </w:p>
    <w:p>
      <w:pPr>
        <w:spacing w:after="0" w:line="134"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Cash Deposited with Clearing Organizations and Other Segregated Cash—</w:t>
      </w:r>
      <w:r>
        <w:rPr>
          <w:rFonts w:ascii="Times New Roman" w:cs="Times New Roman" w:eastAsia="Times New Roman" w:hAnsi="Times New Roman"/>
          <w:sz w:val="18"/>
          <w:szCs w:val="18"/>
          <w:color w:val="auto"/>
        </w:rPr>
        <w:t>Primarily represents restricted cash deposits made by the Company,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to satisfy the requirements of clearing organizations.</w:t>
      </w:r>
    </w:p>
    <w:p>
      <w:pPr>
        <w:spacing w:after="0" w:line="111" w:lineRule="exact"/>
        <w:rPr>
          <w:sz w:val="20"/>
          <w:szCs w:val="20"/>
          <w:color w:val="auto"/>
        </w:rPr>
      </w:pPr>
    </w:p>
    <w:p>
      <w:pPr>
        <w:ind w:right="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r>
        <w:rPr>
          <w:rFonts w:ascii="Times New Roman" w:cs="Times New Roman" w:eastAsia="Times New Roman" w:hAnsi="Times New Roman"/>
          <w:sz w:val="18"/>
          <w:szCs w:val="18"/>
          <w:color w:val="auto"/>
        </w:rPr>
        <w:t>We maintain an allowance for bad debts to provide for estimated losses relating to fees and customer receivables.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3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interest-bearing financing receivables)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4 of Notes to Consolidated Financial Statements for additional information regarding receivables.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60"/>
          </w:cols>
          <w:pgMar w:left="240" w:top="455" w:right="29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Investments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Investments in debt and marketable equity securities held either directly, or indirectly through asset management funds, at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broker-dealer subsidiaries are accounted for at fair value, with any increase or decrease in fair value recorded in earnings. Such amounts are reflected in “revenue-other” in the consolidated statements of operations.</w:t>
      </w:r>
    </w:p>
    <w:p>
      <w:pPr>
        <w:spacing w:after="0" w:line="129"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Investments in debt and marketable equity securities held at the Company’s non broker-dealer subsidiaries are considered “trading” securities and are accounted for at fair value, with any increase or decrease in fair value reflected in “revenue-other” in the consolidated statements of operations.</w:t>
      </w:r>
    </w:p>
    <w:p>
      <w:pPr>
        <w:spacing w:after="0" w:line="120"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Investments also include interests in alternative investment funds and private equity funds, each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97"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Notes 5 and 6 of Notes to Consolidated Financial Statements for additional information regarding the Company’s investments.</w:t>
      </w:r>
    </w:p>
    <w:p>
      <w:pPr>
        <w:spacing w:after="0" w:line="167"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Property-net—</w:t>
      </w:r>
      <w:r>
        <w:rPr>
          <w:rFonts w:ascii="Times New Roman" w:cs="Times New Roman" w:eastAsia="Times New Roman" w:hAnsi="Times New Roman"/>
          <w:sz w:val="18"/>
          <w:szCs w:val="18"/>
          <w:color w:val="auto"/>
        </w:rPr>
        <w:t>Property is stated at cost or, in the case of property under capital leases, the present value of the future minimum lease payments, 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accumulated depreciation and amortization. Buildings represent owned property and amounts recorded pursuant to capital leases (see Notes 8 and 12 of Notes to Consolidated Financial Statements),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$34,463, $34,750 and $30,855 for the years ended December 31, 2014, 2013 and 2012,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38" w:lineRule="exact"/>
        <w:rPr>
          <w:sz w:val="20"/>
          <w:szCs w:val="20"/>
          <w:color w:val="auto"/>
        </w:rPr>
      </w:pPr>
    </w:p>
    <w:p>
      <w:pPr>
        <w:ind w:right="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r>
        <w:rPr>
          <w:rFonts w:ascii="Times New Roman" w:cs="Times New Roman" w:eastAsia="Times New Roman" w:hAnsi="Times New Roman"/>
          <w:sz w:val="18"/>
          <w:szCs w:val="18"/>
          <w:color w:val="auto"/>
        </w:rPr>
        <w:t>As goodwill has an indefinite life, it is required to be tested for impairment annually or more frequently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w:t>
      </w:r>
    </w:p>
    <w:p>
      <w:pPr>
        <w:spacing w:after="0" w:line="129" w:lineRule="exact"/>
        <w:rPr>
          <w:sz w:val="20"/>
          <w:szCs w:val="20"/>
          <w:color w:val="auto"/>
        </w:rPr>
      </w:pPr>
    </w:p>
    <w:p>
      <w:pPr>
        <w:ind w:right="340" w:firstLine="456"/>
        <w:spacing w:after="0" w:line="255" w:lineRule="auto"/>
        <w:rPr>
          <w:sz w:val="20"/>
          <w:szCs w:val="20"/>
          <w:color w:val="auto"/>
        </w:rPr>
      </w:pPr>
      <w:r>
        <w:rPr>
          <w:rFonts w:ascii="Times New Roman" w:cs="Times New Roman" w:eastAsia="Times New Roman" w:hAnsi="Times New Roman"/>
          <w:sz w:val="18"/>
          <w:szCs w:val="18"/>
          <w:color w:val="auto"/>
        </w:rPr>
        <w:t>During the fourth quarter of 2013, the Company changed the date of its annual goodwill impairment testing from December 31 to November 1. This change was preferable because it provides the Company with additional time to complete the annual goodwill impairment test in advance of its year-end reporting. The Company will continue to perform interim impairment testing should circumstances or events require. This change did not result in a delay, acceleration, or avoidance of an impairment charge. This change was applied prospectively because it was impracticable to apply it retrospectively due to the difficulty in making estimates and assumptions without using hindsight. The Company completed its annual goodwill review as of November 1, 2014 and determined that no impairment existed.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The pattern of amortization reflects the timing of the realization of the economic benefits of such intangible assets. For acquired customer contracts, the period of realization is deemed to be the period when the related revenue is recognized.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9 of Notes to Consolidated Financial Statements with respect to goodwill and other intangible assets.</w:t>
      </w:r>
    </w:p>
    <w:p>
      <w:pPr>
        <w:spacing w:after="0" w:line="167" w:lineRule="exact"/>
        <w:rPr>
          <w:sz w:val="20"/>
          <w:szCs w:val="20"/>
          <w:color w:val="auto"/>
        </w:rPr>
      </w:pPr>
    </w:p>
    <w:p>
      <w:pPr>
        <w:ind w:right="1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Derivative Instruments—</w:t>
      </w:r>
      <w:r>
        <w:rPr>
          <w:rFonts w:ascii="Times New Roman" w:cs="Times New Roman" w:eastAsia="Times New Roman" w:hAnsi="Times New Roman"/>
          <w:sz w:val="18"/>
          <w:szCs w:val="18"/>
          <w:color w:val="auto"/>
        </w:rPr>
        <w:t>A derivative is typically defined as an instrument whose value is “derived” from underlying assets, indices or reference 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interest rate swaps or currency forwards) or to purchase or sell other financial instruments at specified terms on a specified date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options to buy or sell securities or currencies).</w:t>
      </w:r>
    </w:p>
    <w:p>
      <w:pPr>
        <w:spacing w:after="0" w:line="133"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“revenue-other”, depending on the nature of the underlying item, in the consolidated statements of operations.</w:t>
      </w:r>
    </w:p>
    <w:p>
      <w:pPr>
        <w:spacing w:after="0" w:line="14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addition to the derivative instruments described above, the Company records derivative liabilities relating to its obligations pertaining to Lazard Fund Interests (“LFI”)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consolidated statements of operations. For information regarding LFI and other similar deferred compensation arrangements, see Notes 5, 7 and 14 of Notes to Consolidated Financial Statements.</w:t>
      </w:r>
    </w:p>
    <w:p>
      <w:pPr>
        <w:spacing w:after="0" w:line="137" w:lineRule="exact"/>
        <w:rPr>
          <w:sz w:val="20"/>
          <w:szCs w:val="20"/>
          <w:color w:val="auto"/>
        </w:rPr>
      </w:pPr>
    </w:p>
    <w:p>
      <w:pPr>
        <w:ind w:right="3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Deposits and Other Customer Payables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Principally relates to LFB customer-related demand and time deposits, both interest-bearing and non-interest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bearing, short-term inter-bank borrowings.</w:t>
      </w:r>
    </w:p>
    <w:p>
      <w:pPr>
        <w:spacing w:after="0" w:line="111" w:lineRule="exact"/>
        <w:rPr>
          <w:sz w:val="20"/>
          <w:szCs w:val="20"/>
          <w:color w:val="auto"/>
        </w:rPr>
      </w:pPr>
    </w:p>
    <w:p>
      <w:pPr>
        <w:ind w:right="1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Securities Sold, Not Yet Purchased—</w:t>
      </w:r>
      <w:r>
        <w:rPr>
          <w:rFonts w:ascii="Times New Roman" w:cs="Times New Roman" w:eastAsia="Times New Roman" w:hAnsi="Times New Roman"/>
          <w:sz w:val="18"/>
          <w:szCs w:val="18"/>
          <w:color w:val="auto"/>
        </w:rPr>
        <w:t>Securities sold, not yet purchased represents liabilities for securities sold for which payment has been received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29" w:lineRule="exact"/>
        <w:rPr>
          <w:sz w:val="20"/>
          <w:szCs w:val="20"/>
          <w:color w:val="auto"/>
        </w:rPr>
      </w:pPr>
    </w:p>
    <w:p>
      <w:pPr>
        <w:ind w:right="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Fair Value of Financial Assets and Liabilities—</w:t>
      </w:r>
      <w:r>
        <w:rPr>
          <w:rFonts w:ascii="Times New Roman" w:cs="Times New Roman" w:eastAsia="Times New Roman" w:hAnsi="Times New Roman"/>
          <w:sz w:val="18"/>
          <w:szCs w:val="18"/>
          <w:color w:val="auto"/>
        </w:rPr>
        <w:t>The majority of the Company’s financial assets and liabilities are recorded at fair value or at amounts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 fair value. Such assets and liabilities include cash and cash</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equivalents, deposits with banks and short-term investments, cash deposited with clearing organizations and other segregated cash, receivables, investments (excluding investments accounted for at amortized cost, interest-bearing deposits or using the equity method of accounting), derivative instruments, deposits and other customer payables.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0"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Investment Banking and Other Advisory Fees—</w:t>
      </w:r>
      <w:r>
        <w:rPr>
          <w:rFonts w:ascii="Times New Roman" w:cs="Times New Roman" w:eastAsia="Times New Roman" w:hAnsi="Times New Roman"/>
          <w:sz w:val="18"/>
          <w:szCs w:val="18"/>
          <w:color w:val="auto"/>
        </w:rPr>
        <w:t>Fees for M&amp;A and Other Advisory services and Restructuring advisory services are recorded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earned, which is generally the date the related transactions are consummated.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2014, 2013 and 2012 are $20,407, $18,327 and $24,762, respectively.</w:t>
      </w:r>
    </w:p>
    <w:p>
      <w:pPr>
        <w:spacing w:after="0" w:line="134" w:lineRule="exact"/>
        <w:rPr>
          <w:sz w:val="20"/>
          <w:szCs w:val="20"/>
          <w:color w:val="auto"/>
        </w:rPr>
      </w:pPr>
    </w:p>
    <w:p>
      <w:pPr>
        <w:ind w:firstLine="456"/>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Asset Management Fees—</w:t>
      </w:r>
      <w:r>
        <w:rPr>
          <w:rFonts w:ascii="Times New Roman" w:cs="Times New Roman" w:eastAsia="Times New Roman" w:hAnsi="Times New Roman"/>
          <w:sz w:val="16"/>
          <w:szCs w:val="16"/>
          <w:color w:val="auto"/>
        </w:rPr>
        <w:t>Asset management fees are derived from fees for investment management and advisory services provided to clients. Revenue 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recorded on an accrual basis primarily based on a percentage of client assets managed. Fees vary with the type of assets managed, with higher fees earned on equity assets, alternative investment (such as hedge funds) and private equity funds, and lower fees earned on fixed income and money market products.</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2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Receivables relating to asset management and incentive fees are reported in “fees receivable” on the consolidated statements of financial condition.</w:t>
      </w:r>
    </w:p>
    <w:p>
      <w:pPr>
        <w:spacing w:after="0" w:line="167" w:lineRule="exact"/>
        <w:rPr>
          <w:sz w:val="20"/>
          <w:szCs w:val="20"/>
          <w:color w:val="auto"/>
        </w:rPr>
      </w:pPr>
    </w:p>
    <w:p>
      <w:pPr>
        <w:ind w:right="80" w:firstLine="456"/>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Soft Dollar Arrangements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The Company’s Asset Management business obtains research and other services through “soft dollar” arrangements.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 obtained by the Asset Management business pursuant to such soft dollar arrangements. For the year ended December 31, 2014, the Company obtained research and other services through soft dollar arrangements valued at approximately $23,000. If the use of soft dollars is limited or prohibited in the future by regulation, we may have to bear the costs of such research and other services.</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80"/>
          </w:cols>
          <w:pgMar w:left="240" w:top="455" w:right="2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Equity-Based Incentive Compensation Awards—</w:t>
      </w:r>
      <w:r>
        <w:rPr>
          <w:rFonts w:ascii="Times New Roman" w:cs="Times New Roman" w:eastAsia="Times New Roman" w:hAnsi="Times New Roman"/>
          <w:sz w:val="18"/>
          <w:szCs w:val="18"/>
          <w:color w:val="auto"/>
        </w:rPr>
        <w:t>Equity-based incentive compensation awards that do not require future service are expensed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immediately. Equity-based compensation awards that require future service are amortized over the applicable vesting period, or requisite service period, based on the fair value of Lazard Ltd’s Class A common stock on the date of grant. Compensation expense recognized for equity-based incentive compensation is determined based on the number of awards that in the Company’s estimate are considered probable of vesting. Equity-based incentive compensation is recognized in “compensation and benefits” expense.</w:t>
      </w:r>
    </w:p>
    <w:p>
      <w:pPr>
        <w:spacing w:after="0" w:line="134" w:lineRule="exact"/>
        <w:rPr>
          <w:sz w:val="20"/>
          <w:szCs w:val="20"/>
          <w:color w:val="auto"/>
        </w:rPr>
      </w:pPr>
    </w:p>
    <w:p>
      <w:pPr>
        <w:ind w:right="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Cost Saving Initiatives and Staff Reductions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Charges associated with management-approved cost saving plans or staff reductions can include severance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charges to vacate facilities and contract cancellation costs. Severance costs are generally accrued on the date that employees are notified of their benefits and other costs are generally accrued as the Company ceases to use facilities or cancels contracts. The Company records severance-related liabilities in “accrued compensation and benefits” and other types of liabilities in “other liabilities” in the consolidated statements of financial condition.</w:t>
      </w:r>
    </w:p>
    <w:p>
      <w:pPr>
        <w:spacing w:after="0" w:line="129"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Although a portion of Lazard Group’s income is subject to U.S. federal income taxes, Lazard Group primarily operates in the U.S.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17 of Notes to Consolidated Financial Statements for additional information).</w:t>
      </w:r>
    </w:p>
    <w:p>
      <w:pPr>
        <w:spacing w:after="0" w:line="138"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Substantially all of Lazard’s operations outside the U.S. are conducted in “pass-through” entities for U.S. income tax purposes. The Company provides for U.S. income taxes on a current basis for the relevant portion of those earnings. The repatriation of prior year earnings attributable to “non-pass-through” entities would not result in the recognition of a material amount of additional U.S. income taxes.</w:t>
      </w:r>
    </w:p>
    <w:p>
      <w:pPr>
        <w:spacing w:after="0" w:line="132"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liabilities and are included in “other assets” and “other liabilities”, respectively, on the consolidated statements of financial condition. A deferred tax asset is recognized if it is more likely than not (defined as a likelihood of greater than 50%) that a tax benefit will be accepted by a taxing authority.</w:t>
      </w:r>
    </w:p>
    <w:p>
      <w:pPr>
        <w:spacing w:after="0" w:line="103"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177" w:lineRule="exact"/>
        <w:rPr>
          <w:sz w:val="20"/>
          <w:szCs w:val="20"/>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w:t>
      </w:r>
    </w:p>
    <w:p>
      <w:pPr>
        <w:spacing w:after="0" w:line="171"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assessment regarding whether a valuation allowance is required or should be adjusted also considers all available positive and negative evidence, including, but not limited to, the following:</w:t>
      </w:r>
    </w:p>
    <w:p>
      <w:pPr>
        <w:spacing w:after="0" w:line="39" w:lineRule="exact"/>
        <w:rPr>
          <w:sz w:val="20"/>
          <w:szCs w:val="20"/>
          <w:color w:val="auto"/>
        </w:rPr>
      </w:pPr>
    </w:p>
    <w:p>
      <w:pPr>
        <w:ind w:left="5620" w:right="4000" w:hanging="5045"/>
        <w:spacing w:after="0" w:line="447" w:lineRule="auto"/>
        <w:tabs>
          <w:tab w:leader="none" w:pos="8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magnitude and duration of any recent losses and current operating results; 87</w:t>
      </w:r>
    </w:p>
    <w:p>
      <w:pPr>
        <w:sectPr>
          <w:pgSz w:w="11900" w:h="16838" w:orient="portrait"/>
          <w:cols w:equalWidth="0" w:num="1">
            <w:col w:w="11400"/>
          </w:cols>
          <w:pgMar w:left="240" w:top="455" w:right="2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periods;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near-term and medium-term financial outlook.</w:t>
      </w:r>
    </w:p>
    <w:p>
      <w:pPr>
        <w:spacing w:after="0" w:line="171" w:lineRule="exact"/>
        <w:rPr>
          <w:sz w:val="20"/>
          <w:szCs w:val="20"/>
          <w:color w:val="auto"/>
        </w:rPr>
      </w:pPr>
    </w:p>
    <w:p>
      <w:pPr>
        <w:ind w:right="280" w:firstLine="456"/>
        <w:spacing w:after="0" w:line="310" w:lineRule="auto"/>
        <w:rPr>
          <w:sz w:val="20"/>
          <w:szCs w:val="20"/>
          <w:color w:val="auto"/>
        </w:rPr>
      </w:pPr>
      <w:r>
        <w:rPr>
          <w:rFonts w:ascii="Times New Roman" w:cs="Times New Roman" w:eastAsia="Times New Roman" w:hAnsi="Times New Roman"/>
          <w:sz w:val="16"/>
          <w:szCs w:val="16"/>
          <w:color w:val="auto"/>
        </w:rPr>
        <w:t>The Company records tax positions taken or expected to be taken in a tax return based upon the Company’s estimates regarding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w:t>
      </w:r>
    </w:p>
    <w:p>
      <w:pPr>
        <w:spacing w:after="0" w:line="97"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The Company recognizes interest and/or penalties related to unrecognized tax benefits in “income tax expense”. See Note 17 of Notes to Consolidated Financial Statements for additional information relating to income taxes.</w:t>
      </w:r>
    </w:p>
    <w:p>
      <w:pPr>
        <w:spacing w:after="0" w:line="237"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Presentation of Unrecognized Tax Benefits</w:t>
      </w:r>
      <w:r>
        <w:rPr>
          <w:rFonts w:ascii="Times New Roman" w:cs="Times New Roman" w:eastAsia="Times New Roman" w:hAnsi="Times New Roman"/>
          <w:sz w:val="18"/>
          <w:szCs w:val="18"/>
          <w:color w:val="auto"/>
        </w:rPr>
        <w:t>—In July 2013, the Financial Accounting Standards Board (the “FASB”) issued guidance on the presentation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unrecognized tax benefits when net operating losses or tax credit carryforwards exist. The guidance requires that the unrecognized tax benefit, or a portion of such unrecognized tax benefit, be presented in the financial statements as a reduction to a deferred tax asset for a net operating loss carryforward, a similar tax loss, or a tax credit carryforward, except in certain situations, as defined in the guidance. The new presentation requirements are effective prospectively for interim and annual reporting periods beginning after December 15, 2013, with early adoption permitted. The Company elected to adopt this guidance in the fourth quarter of 2013, the impact of which did not have a material impact on the Company’s consolidated financial statements.</w:t>
      </w:r>
    </w:p>
    <w:p>
      <w:pPr>
        <w:spacing w:after="0" w:line="13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—In May 2014, the FASB issued comprehensive new revenue recognition guidance. The guidance requires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recognize revenue when it transfers promised services to customers in an amount that reflects the consideration to which the company expects to be entitled in exchange for those services and requires enhanced disclosures to help users of financial statements better understand the nature, amount, timing, and uncertainty of revenue that is recognized. The new guidance is effective for annual and interim periods beginning after December 15, 2016 and early adoption is not permitted. The new guidance can be applied either retrospectively to each prior reporting period presented, or as a cumulative-effect adjustment as of the date of adoption. The Company is currently evaluating the new guidance.</w:t>
      </w:r>
    </w:p>
    <w:p>
      <w:pPr>
        <w:spacing w:after="0" w:line="259"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RECEIVABLES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receivables represent receivables from fees, customers and other and related parties.</w:t>
      </w:r>
    </w:p>
    <w:p>
      <w:pPr>
        <w:spacing w:after="0" w:line="171"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years ended December 31, 2014, 2013 and 2012 was as follows:</w:t>
      </w:r>
    </w:p>
    <w:p>
      <w:pPr>
        <w:spacing w:after="0" w:line="265"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4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80" w:type="dxa"/>
            <w:vAlign w:val="bottom"/>
            <w:tcBorders>
              <w:top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$ 28,777</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$23,017</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$19,450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Bad debt expense, net of recoveries</w:t>
            </w:r>
          </w:p>
        </w:tc>
        <w:tc>
          <w:tcPr>
            <w:tcW w:w="3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12,246</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6,579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Charge-offs, foreign currency translation and other adjustments</w:t>
            </w:r>
          </w:p>
        </w:tc>
        <w:tc>
          <w:tcPr>
            <w:tcW w:w="34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(17,483)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2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$ 23,540</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28,777</w:t>
            </w: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23,017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500" w:type="dxa"/>
            <w:vAlign w:val="bottom"/>
            <w:vMerge w:val="restart"/>
          </w:tcPr>
          <w:p>
            <w:pPr>
              <w:jc w:val="right"/>
              <w:ind w:right="2112"/>
              <w:spacing w:after="0"/>
              <w:rPr>
                <w:sz w:val="20"/>
                <w:szCs w:val="20"/>
                <w:color w:val="auto"/>
              </w:rPr>
            </w:pPr>
            <w:r>
              <w:rPr>
                <w:rFonts w:ascii="Times New Roman" w:cs="Times New Roman" w:eastAsia="Times New Roman" w:hAnsi="Times New Roman"/>
                <w:sz w:val="18"/>
                <w:szCs w:val="18"/>
                <w:color w:val="auto"/>
              </w:rPr>
              <w:t>88</w:t>
            </w: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Bad debt expense, net of recoveries is included in “investment banking and other advisory fees” on the consolidated statements of operations.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2014 and 2013, the Company had receivables past due or deemed uncollectible of $24,578 and $39,341, respectively.</w:t>
      </w:r>
    </w:p>
    <w:p>
      <w:pPr>
        <w:spacing w:after="0" w:line="17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Of the Company’s fee receivables at December 31, 2014 and 2013, $86,221 and $69,464, respectively, represented interest-bearing financing receivables. In addition, at December 31, 2013, the Company had interest-bearing related party receivables of $108,204. Based upon our historical loss experience, the credit quality of the counterparties, and the lack of past due or uncollectible amounts, there was no allowance for doubtful accounts required at those dates related to such receivables.</w:t>
      </w:r>
    </w:p>
    <w:p>
      <w:pPr>
        <w:spacing w:after="0" w:line="136" w:lineRule="exact"/>
        <w:rPr>
          <w:sz w:val="20"/>
          <w:szCs w:val="20"/>
          <w:color w:val="auto"/>
        </w:rPr>
      </w:pPr>
    </w:p>
    <w:p>
      <w:pPr>
        <w:ind w:right="860" w:firstLine="456"/>
        <w:spacing w:after="0" w:line="275" w:lineRule="auto"/>
        <w:rPr>
          <w:sz w:val="20"/>
          <w:szCs w:val="20"/>
          <w:color w:val="auto"/>
        </w:rPr>
      </w:pPr>
      <w:r>
        <w:rPr>
          <w:rFonts w:ascii="Times New Roman" w:cs="Times New Roman" w:eastAsia="Times New Roman" w:hAnsi="Times New Roman"/>
          <w:sz w:val="18"/>
          <w:szCs w:val="18"/>
          <w:color w:val="auto"/>
        </w:rPr>
        <w:t>The aggregate carrying amount of our non-interest bearing receivables of $471,707 and $444,949 at December 31, 2014 and 2013, respectively, approximates fair value.</w:t>
      </w:r>
    </w:p>
    <w:p>
      <w:pPr>
        <w:spacing w:after="0" w:line="237"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investments and securities sold, not yet purchased, consist of the following at December 31, 2014 and 2013: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84,575</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59,394</w:t>
            </w:r>
          </w:p>
        </w:tc>
        <w:tc>
          <w:tcPr>
            <w:tcW w:w="0" w:type="dxa"/>
            <w:vAlign w:val="bottom"/>
          </w:tcPr>
          <w:p>
            <w:pPr>
              <w:spacing w:after="0"/>
              <w:rPr>
                <w:sz w:val="1"/>
                <w:szCs w:val="1"/>
                <w:color w:val="auto"/>
              </w:rPr>
            </w:pPr>
          </w:p>
        </w:tc>
      </w:tr>
      <w:tr>
        <w:trPr>
          <w:trHeight w:val="222"/>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Alternative investments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Debt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228,209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190,702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Private equity</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114,470</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449,147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389,131</w:t>
            </w:r>
          </w:p>
        </w:tc>
        <w:tc>
          <w:tcPr>
            <w:tcW w:w="0" w:type="dxa"/>
            <w:vAlign w:val="bottom"/>
          </w:tcPr>
          <w:p>
            <w:pPr>
              <w:spacing w:after="0"/>
              <w:rPr>
                <w:sz w:val="1"/>
                <w:szCs w:val="1"/>
                <w:color w:val="auto"/>
              </w:rPr>
            </w:pPr>
          </w:p>
        </w:tc>
      </w:tr>
      <w:tr>
        <w:trPr>
          <w:trHeight w:val="230"/>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method</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609,226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Equity method</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516,875</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Securities sold, not yet purchased, at fair value (included in “other liabilities”)</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3"/>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0" w:hanging="452"/>
        <w:spacing w:after="0" w:line="301" w:lineRule="auto"/>
        <w:tabs>
          <w:tab w:leader="none" w:pos="4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Interests in alternative investment funds, debt funds and equity funds include investments with fair values of $8,321, $42,070 and $162,798, respectively, at December 31, 2014 and $7,099, $31,515 and $130,481, respectively, at December 31, 2013, held in order to satisfy the Company’s liability upon vesting of previously granted LFI and other similar deferred compensation arrangements. LFI represent grants by the Company to eligible employees of actual or notional interests in a number of Lazard-managed funds (see Notes 7 and 14 of Notes to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Debt securities primarily consist of seed investments invested in debt securities held within separately managed accounts related to our Asset Management business.</w:t>
      </w:r>
    </w:p>
    <w:p>
      <w:pPr>
        <w:spacing w:after="0" w:line="12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Alternative investment funds primarily consist of interests in various Lazard-managed hedge funds and funds of funds.</w:t>
      </w:r>
    </w:p>
    <w:p>
      <w:pPr>
        <w:spacing w:after="0" w:line="171"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Debt funds primarily consist of seed investments in funds related to our Asset Management business that invest in debt securities, amounts related to LFI discussed above and an investment in a debt fund held by the Company’s broker-dealer subsidiary.</w:t>
      </w:r>
    </w:p>
    <w:p>
      <w:pPr>
        <w:spacing w:after="0" w:line="120"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Equity funds primarily consist of seed investments in funds related to our Asset Management business that invest in equity securities, and amounts related to LFI discussed above.</w:t>
      </w:r>
    </w:p>
    <w:p>
      <w:pPr>
        <w:spacing w:after="0" w:line="120"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fund targeting significant noncontrolling-stake investments in established private companies, (iii) Edgewater Growth Capital Partners III, L.P. (“EGCP III”), a fund primarily making equity and buyout investments in middle market companies and (iv) Lazard Australia Corporate Opportunities Fund (“COF2”), a Lazard-managed Australian fund targeting Australian mid-market investments.</w:t>
      </w:r>
    </w:p>
    <w:p>
      <w:pPr>
        <w:spacing w:after="0" w:line="139" w:lineRule="exact"/>
        <w:rPr>
          <w:sz w:val="20"/>
          <w:szCs w:val="20"/>
          <w:color w:val="auto"/>
        </w:rPr>
      </w:pPr>
    </w:p>
    <w:p>
      <w:pPr>
        <w:ind w:right="540" w:firstLine="456"/>
        <w:spacing w:after="0" w:line="262" w:lineRule="auto"/>
        <w:rPr>
          <w:sz w:val="20"/>
          <w:szCs w:val="20"/>
          <w:color w:val="auto"/>
        </w:rPr>
      </w:pPr>
      <w:r>
        <w:rPr>
          <w:rFonts w:ascii="Times New Roman" w:cs="Times New Roman" w:eastAsia="Times New Roman" w:hAnsi="Times New Roman"/>
          <w:sz w:val="18"/>
          <w:szCs w:val="18"/>
          <w:color w:val="auto"/>
        </w:rPr>
        <w:t>Private equity investments consolidated but not owned by Lazard relate to the economic interests that are owned by the management team and other investors in the Edgewater Funds (“Edgewater”) which totaled $6,421 and $9,787 at December 31, 2014 and 2013, respectively (see Note 12 of Notes to Consolidated Financial Statements).</w:t>
      </w:r>
    </w:p>
    <w:p>
      <w:pPr>
        <w:spacing w:after="0" w:line="132"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During the years ended December 31, 2014, 2013 and 2012, the Company reported in “revenue-other” on its consolidated statements of operations net unrealized investment gains and losses pertaining to “trading” securities still held as of the reporting date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00" w:type="dxa"/>
            <w:vAlign w:val="bottom"/>
          </w:tcPr>
          <w:p>
            <w:pPr>
              <w:spacing w:after="0"/>
              <w:rPr>
                <w:sz w:val="14"/>
                <w:szCs w:val="14"/>
                <w:color w:val="auto"/>
              </w:rPr>
            </w:pPr>
          </w:p>
        </w:tc>
        <w:tc>
          <w:tcPr>
            <w:tcW w:w="27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r>
      <w:tr>
        <w:trPr>
          <w:trHeight w:val="142"/>
        </w:trPr>
        <w:tc>
          <w:tcPr>
            <w:tcW w:w="8700" w:type="dxa"/>
            <w:vAlign w:val="bottom"/>
          </w:tcPr>
          <w:p>
            <w:pPr>
              <w:spacing w:after="0"/>
              <w:rPr>
                <w:sz w:val="12"/>
                <w:szCs w:val="12"/>
                <w:color w:val="auto"/>
              </w:rPr>
            </w:pPr>
          </w:p>
        </w:tc>
        <w:tc>
          <w:tcPr>
            <w:tcW w:w="600" w:type="dxa"/>
            <w:vAlign w:val="bottom"/>
            <w:tcBorders>
              <w:top w:val="single" w:sz="8" w:color="auto"/>
            </w:tcBorders>
          </w:tcPr>
          <w:p>
            <w:pPr>
              <w:jc w:val="right"/>
              <w:ind w:right="8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20" w:type="dxa"/>
            <w:vAlign w:val="bottom"/>
            <w:tcBorders>
              <w:top w:val="single" w:sz="8" w:color="auto"/>
            </w:tcBorders>
            <w:gridSpan w:val="2"/>
          </w:tcPr>
          <w:p>
            <w:pPr>
              <w:jc w:val="center"/>
              <w:ind w:left="3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0" w:type="dxa"/>
            <w:vAlign w:val="bottom"/>
            <w:tcBorders>
              <w:top w:val="single" w:sz="8" w:color="auto"/>
            </w:tcBorders>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investment gains (losses)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$(8,946)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$16,877</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$20,275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65"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Lazard categorizes its investments and certain other assets and liabilities recorded at fair value into a three-level fair value hierarchy as follows:</w:t>
      </w:r>
    </w:p>
    <w:p>
      <w:pPr>
        <w:spacing w:after="0" w:line="88" w:lineRule="exact"/>
        <w:rPr>
          <w:sz w:val="20"/>
          <w:szCs w:val="20"/>
          <w:color w:val="auto"/>
        </w:rPr>
      </w:pPr>
    </w:p>
    <w:p>
      <w:pPr>
        <w:ind w:left="920" w:right="360" w:hanging="904"/>
        <w:spacing w:after="0" w:line="275"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Assets and liabilities whose values are based on unadjusted quoted prices for identical assets or liabilities in an active market that Lazard has the ability to access.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3" w:lineRule="exact"/>
        <w:rPr>
          <w:sz w:val="20"/>
          <w:szCs w:val="20"/>
          <w:color w:val="auto"/>
        </w:rPr>
      </w:pPr>
    </w:p>
    <w:p>
      <w:pPr>
        <w:ind w:left="920" w:hanging="904"/>
        <w:spacing w:after="0" w:line="258"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55" w:lineRule="exact"/>
        <w:rPr>
          <w:sz w:val="20"/>
          <w:szCs w:val="20"/>
          <w:color w:val="auto"/>
        </w:rPr>
      </w:pPr>
    </w:p>
    <w:p>
      <w:pPr>
        <w:ind w:left="920" w:right="20" w:hanging="904"/>
        <w:spacing w:after="0" w:line="296" w:lineRule="auto"/>
        <w:tabs>
          <w:tab w:leader="none" w:pos="90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6"/>
          <w:szCs w:val="16"/>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10"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Company’s investments in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32" w:lineRule="exact"/>
        <w:rPr>
          <w:sz w:val="20"/>
          <w:szCs w:val="20"/>
          <w:color w:val="auto"/>
        </w:rPr>
      </w:pPr>
    </w:p>
    <w:p>
      <w:pPr>
        <w:jc w:val="both"/>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investments in alternative investment funds is classified as Level 2 and is valued at NAV or its equivalent, which is primarily determined based on information provided by external fund administrators. Such investments are redeemable within the near term.</w:t>
      </w:r>
    </w:p>
    <w:p>
      <w:pPr>
        <w:spacing w:after="0" w:line="120"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investments in debt funds is classified as Level 1 when the fair values are primarily based on the publicly reported closing price for the fund, and classified as Level 2 when the fair values are primarily based on NAV or its equivalent and are redeemable within the near term.</w:t>
      </w:r>
    </w:p>
    <w:p>
      <w:pPr>
        <w:spacing w:after="0" w:line="120"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fair value of investments in equity funds is classified as Level 1 or 2 as follows: publicly traded asset management funds are classified as Level 1 and are valued based on the reported closing price for the fund; and investments in asset management funds redeemable in the near term are classified as Level 2 and are valued at NAV or its equivalent, which is primarily determined based on information provided by external fund administrators.</w:t>
      </w:r>
    </w:p>
    <w:p>
      <w:pPr>
        <w:spacing w:after="0" w:line="132"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investments in private equity funds is classified as Level 3, and is primarily based on NAV or its equivalent. Such investments are not redeemable within the near term.</w:t>
      </w:r>
    </w:p>
    <w:p>
      <w:pPr>
        <w:spacing w:after="0" w:line="120"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 of Notes to Consolidated Financial Statements.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the classification of investments and certain other assets and liabilities measured at fair value on a recurring basis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and 2013 within the fair value hierarchy: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4,886</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10,426</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57,302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Funds: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Alternative 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34,705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Debt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71,763</w:t>
            </w: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Equity</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228,166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228,209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Private equity</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114,470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114,470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361,452</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41,993</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115,785</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519,230</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208,093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208,093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208,093</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217,383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6,332</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8,013</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59,394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Funds: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Alternative investments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37,030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Debt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47,206</w:t>
            </w: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Equity</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190,660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190,702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Private equity</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114,193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114,193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297,597</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44,090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115,533</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457,220</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164,001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164,001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164,001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168,046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There were no transfers between any of the Level 1, 2 and 3 categories in the fair value measurement hierarchy during the years ended December 31, 2014 and 2013.</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The following tables provide a summary of changes in fair value of the Company’s Level 3 assets for the years ended December 31, 2014, 2013 and 2012:</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1"/>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4"/>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Realized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Included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Revenue-</w:t>
            </w:r>
          </w:p>
        </w:tc>
        <w:tc>
          <w:tcPr>
            <w:tcW w:w="560" w:type="dxa"/>
            <w:vAlign w:val="bottom"/>
          </w:tcPr>
          <w:p>
            <w:pPr>
              <w:spacing w:after="0"/>
              <w:rPr>
                <w:sz w:val="12"/>
                <w:szCs w:val="12"/>
                <w:color w:val="auto"/>
              </w:rPr>
            </w:pPr>
          </w:p>
        </w:tc>
        <w:tc>
          <w:tcPr>
            <w:tcW w:w="7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Purchases/</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518"/>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40" w:type="dxa"/>
            <w:vAlign w:val="bottom"/>
          </w:tcPr>
          <w:p>
            <w:pPr>
              <w:spacing w:after="0"/>
              <w:rPr>
                <w:sz w:val="12"/>
                <w:szCs w:val="12"/>
                <w:color w:val="auto"/>
              </w:rPr>
            </w:pPr>
          </w:p>
        </w:tc>
        <w:tc>
          <w:tcPr>
            <w:tcW w:w="96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Other (a)</w:t>
            </w:r>
          </w:p>
        </w:tc>
        <w:tc>
          <w:tcPr>
            <w:tcW w:w="5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38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10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1,340</w:t>
            </w:r>
          </w:p>
        </w:tc>
        <w:tc>
          <w:tcPr>
            <w:tcW w:w="20" w:type="dxa"/>
            <w:vAlign w:val="bottom"/>
          </w:tcPr>
          <w:p>
            <w:pPr>
              <w:spacing w:after="0"/>
              <w:rPr>
                <w:sz w:val="18"/>
                <w:szCs w:val="18"/>
                <w:color w:val="auto"/>
              </w:rPr>
            </w:pP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7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Private equity funds</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114,193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8,412</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97"/>
              </w:rPr>
              <w:t>(11,289)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114,470</w:t>
            </w:r>
          </w:p>
        </w:tc>
        <w:tc>
          <w:tcPr>
            <w:tcW w:w="100" w:type="dxa"/>
            <w:vAlign w:val="bottom"/>
            <w:shd w:val="clear" w:color="auto" w:fill="CCEEFF"/>
          </w:tcPr>
          <w:p>
            <w:pPr>
              <w:spacing w:after="0"/>
              <w:rPr>
                <w:sz w:val="18"/>
                <w:szCs w:val="18"/>
                <w:color w:val="auto"/>
              </w:rPr>
            </w:pPr>
          </w:p>
        </w:tc>
      </w:tr>
      <w:tr>
        <w:trPr>
          <w:trHeight w:val="223"/>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115,533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(11,290</w:t>
            </w:r>
          </w:p>
        </w:tc>
        <w:tc>
          <w:tcPr>
            <w:tcW w:w="420" w:type="dxa"/>
            <w:vAlign w:val="bottom"/>
            <w:gridSpan w:val="2"/>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115,785</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1"/>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4"/>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Net Unrealized/</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Realized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Included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In Revenue-</w:t>
            </w:r>
          </w:p>
        </w:tc>
        <w:tc>
          <w:tcPr>
            <w:tcW w:w="560" w:type="dxa"/>
            <w:vAlign w:val="bottom"/>
          </w:tcPr>
          <w:p>
            <w:pPr>
              <w:spacing w:after="0"/>
              <w:rPr>
                <w:sz w:val="12"/>
                <w:szCs w:val="12"/>
                <w:color w:val="auto"/>
              </w:rPr>
            </w:pPr>
          </w:p>
        </w:tc>
        <w:tc>
          <w:tcPr>
            <w:tcW w:w="7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Purchases/</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518"/>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40" w:type="dxa"/>
            <w:vAlign w:val="bottom"/>
          </w:tcPr>
          <w:p>
            <w:pPr>
              <w:spacing w:after="0"/>
              <w:rPr>
                <w:sz w:val="12"/>
                <w:szCs w:val="12"/>
                <w:color w:val="auto"/>
              </w:rPr>
            </w:pPr>
          </w:p>
        </w:tc>
        <w:tc>
          <w:tcPr>
            <w:tcW w:w="96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Other (a)</w:t>
            </w:r>
          </w:p>
        </w:tc>
        <w:tc>
          <w:tcPr>
            <w:tcW w:w="5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38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10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18"/>
                <w:szCs w:val="18"/>
                <w:color w:val="auto"/>
              </w:rPr>
            </w:pP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40" w:type="dxa"/>
            <w:vAlign w:val="bottom"/>
          </w:tcPr>
          <w:p>
            <w:pPr>
              <w:spacing w:after="0"/>
              <w:rPr>
                <w:sz w:val="18"/>
                <w:szCs w:val="18"/>
                <w:color w:val="auto"/>
              </w:rPr>
            </w:pPr>
          </w:p>
        </w:tc>
        <w:tc>
          <w:tcPr>
            <w:tcW w:w="5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(3,574)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Equity funds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78"/>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Private equity funds</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112,444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13,245</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97"/>
              </w:rPr>
              <w:t>(19,231)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114,193</w:t>
            </w:r>
          </w:p>
        </w:tc>
        <w:tc>
          <w:tcPr>
            <w:tcW w:w="100" w:type="dxa"/>
            <w:vAlign w:val="bottom"/>
            <w:shd w:val="clear" w:color="auto" w:fill="CCEEFF"/>
          </w:tcPr>
          <w:p>
            <w:pPr>
              <w:spacing w:after="0"/>
              <w:rPr>
                <w:sz w:val="18"/>
                <w:szCs w:val="18"/>
                <w:color w:val="auto"/>
              </w:rPr>
            </w:pPr>
          </w:p>
        </w:tc>
      </w:tr>
      <w:tr>
        <w:trPr>
          <w:trHeight w:val="223"/>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116,101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(22,815</w:t>
            </w:r>
          </w:p>
        </w:tc>
        <w:tc>
          <w:tcPr>
            <w:tcW w:w="420" w:type="dxa"/>
            <w:vAlign w:val="bottom"/>
            <w:gridSpan w:val="2"/>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115,533</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1"/>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 2012</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Net Unrealized/</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Realized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Gains (Losses)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Foreign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Included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Currency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Beginning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 Revenue-</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Purchases/</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478"/>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40" w:type="dxa"/>
            <w:vAlign w:val="bottom"/>
          </w:tcPr>
          <w:p>
            <w:pPr>
              <w:spacing w:after="0"/>
              <w:rPr>
                <w:sz w:val="12"/>
                <w:szCs w:val="12"/>
                <w:color w:val="auto"/>
              </w:rPr>
            </w:pPr>
          </w:p>
        </w:tc>
        <w:tc>
          <w:tcPr>
            <w:tcW w:w="9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Translation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Ending</w:t>
            </w:r>
          </w:p>
        </w:tc>
      </w:tr>
      <w:tr>
        <w:trPr>
          <w:trHeight w:val="165"/>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Other (a)</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1"/>
              </w:rPr>
              <w:t>Acquisitions</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Dispositions</w:t>
            </w:r>
          </w:p>
        </w:tc>
        <w:tc>
          <w:tcPr>
            <w:tcW w:w="40" w:type="dxa"/>
            <w:vAlign w:val="bottom"/>
          </w:tcPr>
          <w:p>
            <w:pPr>
              <w:spacing w:after="0"/>
              <w:rPr>
                <w:sz w:val="14"/>
                <w:szCs w:val="14"/>
                <w:color w:val="auto"/>
              </w:rPr>
            </w:pPr>
          </w:p>
        </w:tc>
        <w:tc>
          <w:tcPr>
            <w:tcW w:w="9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Equities</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238"/>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(6,844)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Equity funds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Private equity funds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122,718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15,983</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(35,796)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112,444</w:t>
            </w:r>
          </w:p>
        </w:tc>
        <w:tc>
          <w:tcPr>
            <w:tcW w:w="100" w:type="dxa"/>
            <w:vAlign w:val="bottom"/>
            <w:shd w:val="clear" w:color="auto" w:fill="CCEEFF"/>
          </w:tcPr>
          <w:p>
            <w:pPr>
              <w:spacing w:after="0"/>
              <w:rPr>
                <w:sz w:val="18"/>
                <w:szCs w:val="18"/>
                <w:color w:val="auto"/>
              </w:rPr>
            </w:pPr>
          </w:p>
        </w:tc>
      </w:tr>
      <w:tr>
        <w:trPr>
          <w:trHeight w:val="223"/>
        </w:trPr>
        <w:tc>
          <w:tcPr>
            <w:tcW w:w="4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Level 3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133,100</w:t>
            </w:r>
          </w:p>
        </w:tc>
        <w:tc>
          <w:tcPr>
            <w:tcW w:w="2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16,118</w:t>
            </w:r>
          </w:p>
        </w:tc>
        <w:tc>
          <w:tcPr>
            <w:tcW w:w="62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420" w:type="dxa"/>
            <w:vAlign w:val="bottom"/>
            <w:gridSpan w:val="2"/>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(42,670</w:t>
            </w: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116,101</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1220" w:hanging="5612"/>
        <w:spacing w:after="0" w:line="447" w:lineRule="auto"/>
        <w:tabs>
          <w:tab w:leader="none" w:pos="44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years ended December 31, 2014, 2013 and 2012 include net unrealized gains of $5,354, $6,032 and $12,910, respectively. 93</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jc w:val="both"/>
        <w:ind w:right="1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w:t>
      </w:r>
      <w:r>
        <w:rPr>
          <w:rFonts w:ascii="Times New Roman" w:cs="Times New Roman" w:eastAsia="Times New Roman" w:hAnsi="Times New Roman"/>
          <w:sz w:val="18"/>
          <w:szCs w:val="18"/>
          <w:color w:val="auto"/>
        </w:rPr>
        <w:t>The table below presents the carrying value, fair value and fair value hierarchy category of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instruments as of December 31, 2014 and 2013 that are not measured at fair value in the Company’s consolidated statement of financial condition, and excludes certain financial instruments such as equity method investments.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4"/>
              </w:rPr>
              <w:t>Fair Value Measurements Using:</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Quoted Prices</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 Active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Markets for</w:t>
            </w:r>
          </w:p>
        </w:tc>
        <w:tc>
          <w:tcPr>
            <w:tcW w:w="60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1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Identical</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0"/>
              </w:rPr>
              <w:t>Fair Value</w:t>
            </w:r>
          </w:p>
        </w:tc>
        <w:tc>
          <w:tcPr>
            <w:tcW w:w="42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Assets (Level 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917,212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917,212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917,212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with banks and short-term investments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207,760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207,760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207,760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Cash deposited with clearing organizations and other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segregated cash</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43,290</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43,290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43,290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financing receivables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86,221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88,499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Interest-bearing deposits (included within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84,575</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84,575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84,575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customer payables</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314,284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314,284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314,284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debt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1,048,350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4"/>
              </w:rPr>
              <w:t>1,134,834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4"/>
              </w:rPr>
              <w:t>1,134,834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4"/>
              </w:rPr>
              <w:t>Fair Value Measurements Using:</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Quoted Prices</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 Active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Markets for</w:t>
            </w:r>
          </w:p>
        </w:tc>
        <w:tc>
          <w:tcPr>
            <w:tcW w:w="60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1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Identical</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0"/>
              </w:rPr>
              <w:t>Fair Value</w:t>
            </w:r>
          </w:p>
        </w:tc>
        <w:tc>
          <w:tcPr>
            <w:tcW w:w="42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Assets (Level 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832,277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832,277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$832,277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with banks and short-term investments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244,879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244,879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244,879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Cash deposited with clearing organizations and other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segregated cash</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62,046</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62,046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62,046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financing receivables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69,464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71,433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Interest-bearing deposits (included within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516</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customer payables</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275,434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275,434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$275,434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debt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1,048,350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4"/>
              </w:rPr>
              <w:t>1,117,247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4"/>
              </w:rPr>
              <w:t>1,117,247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and cash equivalents are carried at either cost or amortized cost that approximates fair value due to their short-term maturities.</w:t>
      </w:r>
    </w:p>
    <w:p>
      <w:pPr>
        <w:spacing w:after="0" w:line="171" w:lineRule="exact"/>
        <w:rPr>
          <w:sz w:val="20"/>
          <w:szCs w:val="20"/>
          <w:color w:val="auto"/>
        </w:rPr>
      </w:pPr>
    </w:p>
    <w:p>
      <w:pPr>
        <w:ind w:right="800" w:firstLine="456"/>
        <w:spacing w:after="0" w:line="275" w:lineRule="auto"/>
        <w:rPr>
          <w:sz w:val="20"/>
          <w:szCs w:val="20"/>
          <w:color w:val="auto"/>
        </w:rPr>
      </w:pPr>
      <w:r>
        <w:rPr>
          <w:rFonts w:ascii="Times New Roman" w:cs="Times New Roman" w:eastAsia="Times New Roman" w:hAnsi="Times New Roman"/>
          <w:sz w:val="18"/>
          <w:szCs w:val="18"/>
          <w:color w:val="auto"/>
        </w:rPr>
        <w:t>The carrying value of deposits with banks and short-term investments, and cash deposited with clearing organizations and other segregated cash, approximates fair value because of the relatively short period of time between their origination and expected maturity.</w:t>
      </w:r>
    </w:p>
    <w:p>
      <w:pPr>
        <w:spacing w:after="0" w:line="120" w:lineRule="exact"/>
        <w:rPr>
          <w:sz w:val="20"/>
          <w:szCs w:val="20"/>
          <w:color w:val="auto"/>
        </w:rPr>
      </w:pPr>
    </w:p>
    <w:p>
      <w:pPr>
        <w:ind w:right="580" w:firstLine="456"/>
        <w:spacing w:after="0" w:line="339" w:lineRule="auto"/>
        <w:rPr>
          <w:sz w:val="20"/>
          <w:szCs w:val="20"/>
          <w:color w:val="auto"/>
        </w:rPr>
      </w:pPr>
      <w:r>
        <w:rPr>
          <w:rFonts w:ascii="Times New Roman" w:cs="Times New Roman" w:eastAsia="Times New Roman" w:hAnsi="Times New Roman"/>
          <w:sz w:val="16"/>
          <w:szCs w:val="16"/>
          <w:color w:val="auto"/>
        </w:rPr>
        <w:t>Fair values of interest-bearing financing receivables were generally determined by discounting both principal and interest cash flows expected to be collected, using a discount rate approximating current market interest rates for comparable financial instruments and based on unobservable inputs.</w:t>
      </w:r>
    </w:p>
    <w:p>
      <w:pPr>
        <w:spacing w:after="0" w:line="7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carrying value of deposits and other customer payables and investments accounted for at amortized cost, such as interest-bearing deposits, approximate fair value due to their short-term nature.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senior debt is carried at historical amounts. The fair value of the Company’s senior debt is based on market quotations.</w:t>
      </w:r>
    </w:p>
    <w:p>
      <w:pPr>
        <w:spacing w:after="0" w:line="167" w:lineRule="exact"/>
        <w:rPr>
          <w:sz w:val="20"/>
          <w:szCs w:val="20"/>
          <w:color w:val="auto"/>
        </w:rPr>
      </w:pPr>
    </w:p>
    <w:p>
      <w:pPr>
        <w:ind w:right="400" w:firstLine="456"/>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Fair Value of Certain Investments Based on NAV</w:t>
      </w:r>
      <w:r>
        <w:rPr>
          <w:rFonts w:ascii="Times New Roman" w:cs="Times New Roman" w:eastAsia="Times New Roman" w:hAnsi="Times New Roman"/>
          <w:sz w:val="16"/>
          <w:szCs w:val="16"/>
          <w:color w:val="auto"/>
        </w:rPr>
        <w:t>—The Company’s Level 2 and Level 3 investments at December 31, 2014 and 2013 include certain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that are valued using NAV or its equivalent as a practical expedient in determining fair value. Information with respect thereto was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5"/>
        </w:trPr>
        <w:tc>
          <w:tcPr>
            <w:tcW w:w="11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gridSpan w:val="6"/>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Estimated Liquidation Period of</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5"/>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24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Investments Not Redeemable</w:t>
            </w:r>
          </w:p>
        </w:tc>
        <w:tc>
          <w:tcPr>
            <w:tcW w:w="19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r>
      <w:tr>
        <w:trPr>
          <w:trHeight w:val="125"/>
        </w:trPr>
        <w:tc>
          <w:tcPr>
            <w:tcW w:w="11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5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Unfunded</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Not</w:t>
            </w: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Next</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Redemption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Redemption</w:t>
            </w:r>
          </w:p>
        </w:tc>
      </w:tr>
      <w:tr>
        <w:trPr>
          <w:trHeight w:val="165"/>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Fair value</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2"/>
              </w:rPr>
              <w:t>5 Years</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Notice Period</w:t>
            </w:r>
          </w:p>
        </w:tc>
      </w:tr>
      <w:tr>
        <w:trPr>
          <w:trHeight w:val="196"/>
        </w:trPr>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Hedge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31,042</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&lt;30-60 days</w:t>
            </w:r>
          </w:p>
        </w:tc>
      </w:tr>
      <w:tr>
        <w:trPr>
          <w:trHeight w:val="216"/>
        </w:trPr>
        <w:tc>
          <w:tcPr>
            <w:tcW w:w="3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&lt;30-90 days</w:t>
            </w:r>
          </w:p>
        </w:tc>
      </w:tr>
      <w:tr>
        <w:trPr>
          <w:trHeight w:val="216"/>
        </w:trPr>
        <w:tc>
          <w:tcPr>
            <w:tcW w:w="3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&lt;30-60 days</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days</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30-90 days</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18,676(f)</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r>
      <w:tr>
        <w:trPr>
          <w:trHeight w:val="216"/>
        </w:trPr>
        <w:tc>
          <w:tcPr>
            <w:tcW w:w="3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149,222</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18,676</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(15%), monthly (66%) and quarterly (19%)</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(98%) and quarterly (2%)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(11%), weekly (3%) and monthly (86%)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(14%), monthly (58%) and quarterly (28%)</w:t>
      </w:r>
    </w:p>
    <w:p>
      <w:pPr>
        <w:spacing w:after="0" w:line="9" w:lineRule="exact"/>
        <w:rPr>
          <w:rFonts w:ascii="Times New Roman" w:cs="Times New Roman" w:eastAsia="Times New Roman" w:hAnsi="Times New Roman"/>
          <w:sz w:val="18"/>
          <w:szCs w:val="18"/>
          <w:color w:val="auto"/>
        </w:rPr>
      </w:pPr>
    </w:p>
    <w:p>
      <w:pPr>
        <w:ind w:left="460" w:right="80" w:hanging="452"/>
        <w:spacing w:after="0" w:line="261"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$6,888 are excluded. Such commitments are required to be funded by capital contributions from noncontrolling interest holders.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5"/>
        </w:trPr>
        <w:tc>
          <w:tcPr>
            <w:tcW w:w="11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40" w:type="dxa"/>
            <w:vAlign w:val="bottom"/>
            <w:gridSpan w:val="6"/>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Estimated Liquidation Period of</w:t>
            </w: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5"/>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24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Investments Not Redeemable</w:t>
            </w:r>
          </w:p>
        </w:tc>
        <w:tc>
          <w:tcPr>
            <w:tcW w:w="19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Investments Redeemable</w:t>
            </w:r>
          </w:p>
        </w:tc>
      </w:tr>
      <w:tr>
        <w:trPr>
          <w:trHeight w:val="125"/>
        </w:trPr>
        <w:tc>
          <w:tcPr>
            <w:tcW w:w="11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Fair Value</w:t>
            </w:r>
          </w:p>
        </w:tc>
        <w:tc>
          <w:tcPr>
            <w:tcW w:w="5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Unfunded</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Not</w:t>
            </w: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Next</w:t>
            </w: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Redemption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Redemption</w:t>
            </w:r>
          </w:p>
        </w:tc>
      </w:tr>
      <w:tr>
        <w:trPr>
          <w:trHeight w:val="165"/>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Fair value</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Redeemable</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2"/>
              </w:rPr>
              <w:t>5 Years</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Thereafter</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Notice Period</w:t>
            </w:r>
          </w:p>
        </w:tc>
      </w:tr>
      <w:tr>
        <w:trPr>
          <w:trHeight w:val="196"/>
        </w:trPr>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Hedge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31,837</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&lt;30-90 days</w:t>
            </w:r>
          </w:p>
        </w:tc>
      </w:tr>
      <w:tr>
        <w:trPr>
          <w:trHeight w:val="216"/>
        </w:trPr>
        <w:tc>
          <w:tcPr>
            <w:tcW w:w="3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&lt;30-90 days</w:t>
            </w:r>
          </w:p>
        </w:tc>
      </w:tr>
      <w:tr>
        <w:trPr>
          <w:trHeight w:val="216"/>
        </w:trPr>
        <w:tc>
          <w:tcPr>
            <w:tcW w:w="3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&lt;30-60 days</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days</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NA</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30-90 days</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27,135(f)</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r>
      <w:tr>
        <w:trPr>
          <w:trHeight w:val="216"/>
        </w:trPr>
        <w:tc>
          <w:tcPr>
            <w:tcW w:w="3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NA</w:t>
            </w: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151,269</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27,135</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(17%), monthly (65%) and quarterly (18%)</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(95%) and quarterly (5%)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(7%), weekly (1%) and monthly (92%)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(100%)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(13%), monthly (58%) and quarterly (29%)</w:t>
      </w:r>
    </w:p>
    <w:p>
      <w:pPr>
        <w:spacing w:after="0" w:line="9" w:lineRule="exact"/>
        <w:rPr>
          <w:rFonts w:ascii="Times New Roman" w:cs="Times New Roman" w:eastAsia="Times New Roman" w:hAnsi="Times New Roman"/>
          <w:sz w:val="18"/>
          <w:szCs w:val="18"/>
          <w:color w:val="auto"/>
        </w:rPr>
      </w:pPr>
    </w:p>
    <w:p>
      <w:pPr>
        <w:ind w:left="460" w:hanging="452"/>
        <w:spacing w:after="0" w:line="261"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commitments to private equity investments consolidated but not owned by Lazard of $10,613 are excluded. Such commitments are required to be funded by capital contributions from noncontrolling interest holders.</w:t>
      </w:r>
    </w:p>
    <w:p>
      <w:pPr>
        <w:spacing w:after="0" w:line="13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of Notes to Consolidated Financial Statements for discussion of significant investment strategies for investments with value based on NAV.</w:t>
      </w:r>
    </w:p>
    <w:p>
      <w:pPr>
        <w:spacing w:after="0" w:line="167"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Investment Capital Funding Commitments—</w:t>
      </w:r>
      <w:r>
        <w:rPr>
          <w:rFonts w:ascii="Times New Roman" w:cs="Times New Roman" w:eastAsia="Times New Roman" w:hAnsi="Times New Roman"/>
          <w:sz w:val="18"/>
          <w:szCs w:val="18"/>
          <w:color w:val="auto"/>
        </w:rPr>
        <w:t>At December 31, 2014, the Company’s maximum unfunded commitments for capital contributions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funds arose from (i) commitments to CP II, which amounted to $1,499 for potential “follow-on investments” and/or for fund expenses through the earlier of February 25, 2017 or the liquidation of the fund, (ii) commitments to EGCP III, which amounted to $12,688, through the earlier of October 12, 2016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$4,489, through the earlier of November 11, 2016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DERIVATIVES</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(see Note 14 of Notes to Consolidated Financial Statements) on the accompanying consolidated statements of financial condition as of December 31, 2014 and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95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Derivative 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9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return swaps and other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223"/>
        </w:trPr>
        <w:tc>
          <w:tcPr>
            <w:tcW w:w="116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r>
      <w:tr>
        <w:trPr>
          <w:trHeight w:val="216"/>
        </w:trPr>
        <w:tc>
          <w:tcPr>
            <w:tcW w:w="9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return swaps and other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LFI and other similar deferred compensation arrangements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207,306</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162,422</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208,093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164,001</w:t>
            </w:r>
          </w:p>
        </w:tc>
      </w:tr>
      <w:tr>
        <w:trPr>
          <w:trHeight w:val="20"/>
        </w:trPr>
        <w:tc>
          <w:tcPr>
            <w:tcW w:w="116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160" w:hanging="452"/>
        <w:spacing w:after="0" w:line="258"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total return swaps, amounts represent the netting of gross derivative assets and liabilities of $1,123 and $1,786 as of December 31, 2014, respectively, and $2,019 and $1,587 as of December 31, 2013, respectively, for contracts with the same counterparty under legally enforceable master netting agreements. Such amounts are recorded “net” in “other assets”, with receivables for net cash collateral under such contracts of $12,364 and $11,384 as of December 31, 2014 and 2013, respectively.</w:t>
      </w:r>
    </w:p>
    <w:p>
      <w:pPr>
        <w:spacing w:after="0" w:line="136"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consolidated statements of operations for the years ended December 31, 2014, 2013 and 2012,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foreign currency exchange rate contracts</w:t>
            </w:r>
          </w:p>
        </w:tc>
        <w:tc>
          <w:tcPr>
            <w:tcW w:w="3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$22,959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LFI and other similar deferred compensation arrangements</w:t>
            </w:r>
          </w:p>
        </w:tc>
        <w:tc>
          <w:tcPr>
            <w:tcW w:w="468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(7,326)</w:t>
            </w:r>
          </w:p>
        </w:tc>
        <w:tc>
          <w:tcPr>
            <w:tcW w:w="100" w:type="dxa"/>
            <w:vAlign w:val="bottom"/>
          </w:tcPr>
          <w:p>
            <w:pPr>
              <w:spacing w:after="0"/>
              <w:rPr>
                <w:sz w:val="19"/>
                <w:szCs w:val="19"/>
                <w:color w:val="auto"/>
              </w:rPr>
            </w:pPr>
          </w:p>
        </w:tc>
        <w:tc>
          <w:tcPr>
            <w:tcW w:w="100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w w:val="97"/>
              </w:rPr>
              <w:t>(14,099)</w:t>
            </w: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return swaps and other</w:t>
            </w:r>
          </w:p>
        </w:tc>
        <w:tc>
          <w:tcPr>
            <w:tcW w:w="4680" w:type="dxa"/>
            <w:vAlign w:val="bottom"/>
            <w:gridSpan w:val="3"/>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w w:val="97"/>
              </w:rPr>
              <w:t>(11,853)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(16,514)</w:t>
            </w:r>
          </w:p>
        </w:tc>
        <w:tc>
          <w:tcPr>
            <w:tcW w:w="0" w:type="dxa"/>
            <w:vAlign w:val="bottom"/>
          </w:tcPr>
          <w:p>
            <w:pPr>
              <w:spacing w:after="0"/>
              <w:rPr>
                <w:sz w:val="1"/>
                <w:szCs w:val="1"/>
                <w:color w:val="auto"/>
              </w:rPr>
            </w:pPr>
          </w:p>
        </w:tc>
      </w:tr>
      <w:tr>
        <w:trPr>
          <w:trHeight w:val="22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11,037</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(29,114</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(25,915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660" w:type="dxa"/>
            <w:vAlign w:val="bottom"/>
            <w:vMerge w:val="restart"/>
          </w:tcPr>
          <w:p>
            <w:pPr>
              <w:jc w:val="right"/>
              <w:ind w:right="2652"/>
              <w:spacing w:after="0"/>
              <w:rPr>
                <w:sz w:val="20"/>
                <w:szCs w:val="20"/>
                <w:color w:val="auto"/>
              </w:rPr>
            </w:pPr>
            <w:r>
              <w:rPr>
                <w:rFonts w:ascii="Times New Roman" w:cs="Times New Roman" w:eastAsia="Times New Roman" w:hAnsi="Times New Roman"/>
                <w:sz w:val="18"/>
                <w:szCs w:val="18"/>
                <w:color w:val="auto"/>
              </w:rPr>
              <w:t>97</w:t>
            </w: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December 31, 2014 and 2013, property consists of the following:</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240" w:type="dxa"/>
            <w:vAlign w:val="bottom"/>
          </w:tcPr>
          <w:p>
            <w:pPr>
              <w:spacing w:after="0"/>
              <w:rPr>
                <w:sz w:val="13"/>
                <w:szCs w:val="13"/>
                <w:color w:val="auto"/>
              </w:rPr>
            </w:pPr>
          </w:p>
        </w:tc>
        <w:tc>
          <w:tcPr>
            <w:tcW w:w="19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71"/>
        </w:trPr>
        <w:tc>
          <w:tcPr>
            <w:tcW w:w="5420" w:type="dxa"/>
            <w:vAlign w:val="bottom"/>
          </w:tcPr>
          <w:p>
            <w:pPr>
              <w:spacing w:after="0"/>
              <w:rPr>
                <w:sz w:val="6"/>
                <w:szCs w:val="6"/>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Depreciable</w:t>
            </w:r>
          </w:p>
        </w:tc>
        <w:tc>
          <w:tcPr>
            <w:tcW w:w="240" w:type="dxa"/>
            <w:vAlign w:val="bottom"/>
          </w:tcPr>
          <w:p>
            <w:pPr>
              <w:spacing w:after="0"/>
              <w:rPr>
                <w:sz w:val="6"/>
                <w:szCs w:val="6"/>
                <w:color w:val="auto"/>
              </w:rPr>
            </w:pPr>
          </w:p>
        </w:tc>
        <w:tc>
          <w:tcPr>
            <w:tcW w:w="19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54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Life in Years</w:t>
            </w:r>
          </w:p>
        </w:tc>
        <w:tc>
          <w:tcPr>
            <w:tcW w:w="90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4"/>
                <w:szCs w:val="14"/>
                <w:color w:val="auto"/>
              </w:rPr>
            </w:pPr>
          </w:p>
        </w:tc>
        <w:tc>
          <w:tcPr>
            <w:tcW w:w="92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$152,982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$173,772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167,837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150,457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7,578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478,854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256,285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253,930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222,569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248,795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460" w:hanging="452"/>
        <w:spacing w:after="0"/>
        <w:tabs>
          <w:tab w:leader="none" w:pos="460" w:val="left"/>
        </w:tabs>
        <w:numPr>
          <w:ilvl w:val="0"/>
          <w:numId w:val="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components of goodwill and other intangible assets at December 31, 2014 and 2013 are presented below:</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$335,402</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$345,453</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1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347,438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363,877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At December 31, 2014 and 2013, goodwill of $270,861 and $280,912, respectively, was attributable to the Company’s Financial Advisory segment and, at each such respective date, $64,541 of goodwill was attributable to the Company’s Asset Management segment.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carrying amount of goodwill for the years ended December 31, 2014, 2013 and 2012 are as follows: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Pr>
          <w:p>
            <w:pPr>
              <w:spacing w:after="0"/>
              <w:rPr>
                <w:sz w:val="12"/>
                <w:szCs w:val="12"/>
                <w:color w:val="auto"/>
              </w:rPr>
            </w:pPr>
          </w:p>
        </w:tc>
        <w:tc>
          <w:tcPr>
            <w:tcW w:w="1100" w:type="dxa"/>
            <w:vAlign w:val="bottom"/>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Pr>
          <w:p>
            <w:pPr>
              <w:spacing w:after="0"/>
              <w:rPr>
                <w:sz w:val="12"/>
                <w:szCs w:val="12"/>
                <w:color w:val="auto"/>
              </w:rPr>
            </w:pPr>
          </w:p>
        </w:tc>
        <w:tc>
          <w:tcPr>
            <w:tcW w:w="720" w:type="dxa"/>
            <w:vAlign w:val="bottom"/>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$345,453</w:t>
            </w: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$364,328</w:t>
            </w: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$356,657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4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15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(20,623)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80" w:type="dxa"/>
            <w:vAlign w:val="bottom"/>
            <w:shd w:val="clear" w:color="auto" w:fill="CCEEFF"/>
          </w:tcPr>
          <w:p>
            <w:pPr>
              <w:spacing w:after="0"/>
              <w:rPr>
                <w:sz w:val="18"/>
                <w:szCs w:val="18"/>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December 31</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335,402</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345,453</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364,328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All changes in the carrying amount of goodwill for the years ended December 31, 2014, 2013 and 2012 are attributable to the Company’s Financial Advisory segment.</w:t>
      </w:r>
    </w:p>
    <w:p>
      <w:pPr>
        <w:spacing w:after="0" w:line="120"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Company evaluates goodwill for impairment annually or more frequently if circumstances indicate that impairment may have occurred. During the fourth quarter of 2013, the Company changed its annual impairment evaluation date from December 31 to November 1. Pursuant to the Company’s goodwill impairment review for the years ended December 31, 2014, 2013 and 2012, the Company determined that no impairment existed.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300"/>
          </w:cols>
          <w:pgMar w:left="240" w:top="455" w:right="3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The gross cost and accumulated amortization of other intangible assets as of December 31, 2014 and 2013, by major intangible asset category,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5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0"/>
                <w:szCs w:val="10"/>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r>
      <w:tr>
        <w:trPr>
          <w:trHeight w:val="165"/>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2"/>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customer relationships and non-compete agreements</w:t>
            </w: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33,063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28,206</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63,790</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51,754</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12,036</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63,803</w:t>
            </w:r>
          </w:p>
        </w:tc>
        <w:tc>
          <w:tcPr>
            <w:tcW w:w="4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18,424</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Amortization expense of intangible assets for the years ended December 31, 2014, 2013 and 2012 was $6,387, $10,114 and $8,359, respectively. Estimated future amortization expense is as follows:</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060" w:type="dxa"/>
            <w:vAlign w:val="bottom"/>
            <w:gridSpan w:val="4"/>
          </w:tcPr>
          <w:p>
            <w:pPr>
              <w:ind w:left="3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2"/>
        </w:trPr>
        <w:tc>
          <w:tcPr>
            <w:tcW w:w="5300" w:type="dxa"/>
            <w:vAlign w:val="bottom"/>
            <w:gridSpan w:val="4"/>
            <w:vMerge w:val="continue"/>
          </w:tcPr>
          <w:p>
            <w:pPr>
              <w:spacing w:after="0"/>
              <w:rPr>
                <w:sz w:val="14"/>
                <w:szCs w:val="14"/>
                <w:color w:val="auto"/>
              </w:rPr>
            </w:pPr>
          </w:p>
        </w:tc>
        <w:tc>
          <w:tcPr>
            <w:tcW w:w="3180" w:type="dxa"/>
            <w:vAlign w:val="bottom"/>
          </w:tcPr>
          <w:p>
            <w:pPr>
              <w:spacing w:after="0"/>
              <w:rPr>
                <w:sz w:val="14"/>
                <w:szCs w:val="14"/>
                <w:color w:val="auto"/>
              </w:rPr>
            </w:pPr>
          </w:p>
        </w:tc>
        <w:tc>
          <w:tcPr>
            <w:tcW w:w="880" w:type="dxa"/>
            <w:vAlign w:val="bottom"/>
            <w:gridSpan w:val="3"/>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rPr>
              <w:t>Expense (a)</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2015</w:t>
            </w:r>
          </w:p>
        </w:tc>
        <w:tc>
          <w:tcPr>
            <w:tcW w:w="740" w:type="dxa"/>
            <w:vAlign w:val="bottom"/>
            <w:tcBorders>
              <w:top w:val="single" w:sz="8" w:color="auto"/>
            </w:tcBorders>
            <w:shd w:val="clear" w:color="auto" w:fill="CCEEFF"/>
          </w:tcPr>
          <w:p>
            <w:pPr>
              <w:spacing w:after="0"/>
              <w:rPr>
                <w:sz w:val="17"/>
                <w:szCs w:val="17"/>
                <w:color w:val="auto"/>
              </w:rPr>
            </w:pPr>
          </w:p>
        </w:tc>
        <w:tc>
          <w:tcPr>
            <w:tcW w:w="3420" w:type="dxa"/>
            <w:vAlign w:val="bottom"/>
            <w:tcBorders>
              <w:top w:val="single" w:sz="8" w:color="CCEEFF"/>
            </w:tcBorders>
            <w:shd w:val="clear" w:color="auto" w:fill="CCEEFF"/>
          </w:tcPr>
          <w:p>
            <w:pPr>
              <w:spacing w:after="0"/>
              <w:rPr>
                <w:sz w:val="17"/>
                <w:szCs w:val="17"/>
                <w:color w:val="auto"/>
              </w:rPr>
            </w:pPr>
          </w:p>
        </w:tc>
        <w:tc>
          <w:tcPr>
            <w:tcW w:w="3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6,558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7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3380" w:type="dxa"/>
            <w:vAlign w:val="bottom"/>
            <w:gridSpan w:val="2"/>
            <w:shd w:val="clear" w:color="auto" w:fill="CCEEFF"/>
          </w:tcPr>
          <w:p>
            <w:pPr>
              <w:ind w:left="3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480" w:hanging="567"/>
        <w:spacing w:after="0"/>
        <w:tabs>
          <w:tab w:leader="none" w:pos="14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46% of intangible asset amortization is attributable to a noncontrolling interest.</w:t>
      </w:r>
    </w:p>
    <w:p>
      <w:pPr>
        <w:spacing w:after="0" w:line="28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ASSETS AND OTHER LIABILITIES</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 sets forth the Company’s other assets, by type, as of December 31, 2014 and 2013:</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7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receivables and deferred tax assets (net of valuation allowance) and other taxes</w:t>
            </w:r>
          </w:p>
        </w:tc>
        <w:tc>
          <w:tcPr>
            <w:tcW w:w="1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91,782</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$103,719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Prepaid compensation (see Note 14)</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advances and prepayments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265,257</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252,955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5040"/>
              <w:spacing w:after="0"/>
              <w:rPr>
                <w:sz w:val="20"/>
                <w:szCs w:val="20"/>
                <w:color w:val="auto"/>
              </w:rPr>
            </w:pPr>
            <w:r>
              <w:rPr>
                <w:rFonts w:ascii="Times New Roman" w:cs="Times New Roman" w:eastAsia="Times New Roman" w:hAnsi="Times New Roman"/>
                <w:sz w:val="18"/>
                <w:szCs w:val="18"/>
                <w:color w:val="auto"/>
              </w:rPr>
              <w:t>99</w:t>
            </w: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Company’s other liabilities, by type, as of December 31, 2014 and 2013:</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8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$132,300</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$136,376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Current and deferred income taxes and other taxes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109,973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99,075</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benefit-related liabilities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104,013</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Deferred lease incentives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83,209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84,897</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Unclaimed funds at LFB</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26,626</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Abandoned leased space (principally in the U.K.)</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Securities sold, not yet purchased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18,387</w:t>
            </w:r>
          </w:p>
        </w:tc>
        <w:tc>
          <w:tcPr>
            <w:tcW w:w="100" w:type="dxa"/>
            <w:vAlign w:val="bottom"/>
            <w:shd w:val="clear" w:color="auto" w:fill="CCEEFF"/>
          </w:tcPr>
          <w:p>
            <w:pPr>
              <w:spacing w:after="0"/>
              <w:rPr>
                <w:sz w:val="18"/>
                <w:szCs w:val="18"/>
                <w:color w:val="auto"/>
              </w:rPr>
            </w:pPr>
          </w:p>
        </w:tc>
      </w:tr>
      <w:tr>
        <w:trPr>
          <w:trHeight w:val="223"/>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537,542</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492,262</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SENIOR DEBT</w:t>
      </w:r>
    </w:p>
    <w:p>
      <w:pPr>
        <w:spacing w:after="0" w:line="94"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Senior debt is comprised of the following as of December 31, 2014 and 2013: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21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Outstanding As Of</w:t>
            </w:r>
          </w:p>
        </w:tc>
      </w:tr>
      <w:tr>
        <w:trPr>
          <w:trHeight w:val="162"/>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Maturity</w:t>
            </w:r>
          </w:p>
        </w:tc>
        <w:tc>
          <w:tcPr>
            <w:tcW w:w="11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4"/>
              </w:rPr>
              <w:t>Interest</w:t>
            </w:r>
          </w:p>
        </w:tc>
        <w:tc>
          <w:tcPr>
            <w:tcW w:w="21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6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Lazard Group 6.85%</w:t>
            </w: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600,000</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6.85%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548,350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548,350</w:t>
            </w:r>
          </w:p>
        </w:tc>
        <w:tc>
          <w:tcPr>
            <w:tcW w:w="100" w:type="dxa"/>
            <w:vAlign w:val="bottom"/>
            <w:shd w:val="clear" w:color="auto" w:fill="CCEEFF"/>
          </w:tcPr>
          <w:p>
            <w:pPr>
              <w:spacing w:after="0"/>
              <w:rPr>
                <w:sz w:val="18"/>
                <w:szCs w:val="18"/>
                <w:color w:val="auto"/>
              </w:rPr>
            </w:pPr>
          </w:p>
        </w:tc>
      </w:tr>
      <w:tr>
        <w:trPr>
          <w:trHeight w:val="21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Lazard Group 4.25%</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(a)</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500,000</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11/14/20</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4.25%</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Lazard Group Credit Facility</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150,000</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9/25/15</w:t>
            </w: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0.78%</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$ 1,048,350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$ 1,048,350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line="255"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2013, the Company launched a tender offer for all of Lazard Group’s outstanding 7.125% senior notes maturing on May 15, 2015 (the “2015 Notes”) and simultaneously announced a notice of intent to redeem any 2015 Notes not tendered. As a result, the outstanding 2015 Notes of $528,500 were extinguished in the fourth quarter of 2013, which resulted in a pre-tax loss on extinguishment of $50,757, including the recognition of unamortized issuance costs. As a result of the extinguishment, the unamortized amount of the interest rate hedge related to the 2015 Notes was also recognized, which resulted in a loss of $1,563. Both the loss on extinguishment and the loss related to the interest rate hedge were recorded in “operating expenses—other” in the consolidated statement of operations.</w:t>
      </w:r>
    </w:p>
    <w:p>
      <w:pPr>
        <w:spacing w:after="0" w:line="58" w:lineRule="exact"/>
        <w:rPr>
          <w:rFonts w:ascii="Times New Roman" w:cs="Times New Roman" w:eastAsia="Times New Roman" w:hAnsi="Times New Roman"/>
          <w:sz w:val="18"/>
          <w:szCs w:val="18"/>
          <w:color w:val="auto"/>
        </w:rPr>
      </w:pPr>
    </w:p>
    <w:p>
      <w:pPr>
        <w:ind w:left="46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redemption of the 2015 Notes, Lazard Group issued $500,000 aggregate principal amount of 4.25% senior notes maturing on November 14, 2020 (the “2020 Notes”). Interest on the 2020 Notes is payable semi-annually on May 14 and November 14 of each year. In connection with the issuance of the 2020 Notes, the Company entered into and settled an interest rate forward agreement and recognized a related loss of $ 1,767. The loss was recorded in “operating expenses—other” in the consolidated statements of operations.</w:t>
      </w:r>
    </w:p>
    <w:p>
      <w:pPr>
        <w:spacing w:after="0" w:line="136"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 applicable margin. As of December 31, 2014, the annual interest rate for a loan accruing interest (based on the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Federal Funds overnight rate), including the applicable margin, was 0.78%. At December 31, 2014 and 2013, no amounts were outstanding under the Credit Facility or the prior revolving credit facility, respectively.</w:t>
      </w:r>
    </w:p>
    <w:p>
      <w:pPr>
        <w:spacing w:after="0" w:line="120"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December 31, 2014, the Company was in compliance with such provisions. All of the Company’s senior debt obligations are unsecured.</w:t>
      </w:r>
    </w:p>
    <w:p>
      <w:pPr>
        <w:spacing w:after="0" w:line="136"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Debt maturities relating to senior borrowings outstanding at December 31, 2014 for each of the five years in the period ending December 31, 2019 and thereafter are set forth in the table below.</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2015-2016</w:t>
            </w:r>
          </w:p>
        </w:tc>
        <w:tc>
          <w:tcPr>
            <w:tcW w:w="6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548,350</w:t>
            </w:r>
          </w:p>
        </w:tc>
        <w:tc>
          <w:tcPr>
            <w:tcW w:w="12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2018-2019</w:t>
            </w: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20"/>
                <w:szCs w:val="20"/>
                <w:color w:val="auto"/>
              </w:rPr>
            </w:pPr>
          </w:p>
        </w:tc>
      </w:tr>
      <w:tr>
        <w:trPr>
          <w:trHeight w:val="216"/>
        </w:trPr>
        <w:tc>
          <w:tcPr>
            <w:tcW w:w="1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6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1,048,350</w:t>
            </w:r>
          </w:p>
        </w:tc>
        <w:tc>
          <w:tcPr>
            <w:tcW w:w="120" w:type="dxa"/>
            <w:vAlign w:val="bottom"/>
            <w:shd w:val="clear" w:color="auto" w:fill="CCEEFF"/>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Company’s senior debt at December 31, 2014 and 2013 is carried at historical amounts. See Note 6 of Notes to Consolidated Financial Statements for information regarding the fair value and fair value hierarchy category of the Company’s senior debt.</w:t>
      </w:r>
    </w:p>
    <w:p>
      <w:pPr>
        <w:spacing w:after="0" w:line="120"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During February 2015, Lazard Group completed an offering of $400,000 aggregate principal amount of 3.75% senior notes due 2025 (the “2025 Notes”). Lazard Group also issued a notice to redeem $450,000 of Lazard Group’s 6.85% senior notes due June 15, 2017 (the “Existing 2017 Notes”). Lazard Group intends to use the net proceeds of the 2025 Notes, together with cash on hand, to redeem or otherwise retire $450,000 of the Existing 2017 Notes. Lazard Group estimates that it will incur a loss on debt extinguishment in connection with the redemption of such Existing 2017 Notes of approximately $61,000, net of tax.</w:t>
      </w:r>
    </w:p>
    <w:p>
      <w:pPr>
        <w:spacing w:after="0" w:line="10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of December 31, 2014, the Company had approximately $244,000 in unused lines of credit available to it, including the Credit Facility, and unused lines of credit available to LFB of approximately $36,000 (at December 31, 2014 exchange rates) and Edgewater of $55,000. In the second quarter of 2014, $20,000 of Edgewater’s available lines of credit was drawn down by the general partner of EGCP III to provide a loan to EGCP III to finance a certain fund investment. The loan to EGCP III was repaid in the third quarter of 2014 from a capital call made by EGCP III to its investors. In addition, LFB has access to the Eurosystem Covered Bond Purchase Program of the Banque de France.</w:t>
      </w:r>
    </w:p>
    <w:p>
      <w:pPr>
        <w:spacing w:after="0" w:line="256" w:lineRule="exact"/>
        <w:rPr>
          <w:sz w:val="20"/>
          <w:szCs w:val="20"/>
          <w:color w:val="auto"/>
        </w:rPr>
      </w:pPr>
    </w:p>
    <w:p>
      <w:pPr>
        <w:ind w:left="460" w:hanging="452"/>
        <w:spacing w:after="0"/>
        <w:tabs>
          <w:tab w:leader="none" w:pos="460" w:val="left"/>
        </w:tabs>
        <w:numPr>
          <w:ilvl w:val="0"/>
          <w:numId w:val="6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90" w:lineRule="exact"/>
        <w:rPr>
          <w:rFonts w:ascii="Times New Roman" w:cs="Times New Roman" w:eastAsia="Times New Roman" w:hAnsi="Times New Roman"/>
          <w:sz w:val="18"/>
          <w:szCs w:val="18"/>
          <w:b w:val="1"/>
          <w:bCs w:val="1"/>
          <w:i w:val="1"/>
          <w:iCs w:val="1"/>
          <w:color w:val="auto"/>
        </w:rPr>
      </w:pPr>
    </w:p>
    <w:p>
      <w:pPr>
        <w:ind w:left="4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The Company leases office space and equipment under non-cancelable lease agreements, which expire on various dates through 2033.</w:t>
      </w:r>
    </w:p>
    <w:p>
      <w:pPr>
        <w:spacing w:after="0" w:line="17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Operating lease agreements, in addition to base rentals, generally are subject to escalation provisions based on certain costs incurred by the landlord. For the years ended December 31, 2014, 2013 and 2012, aggregate rental expense relating to operating leases amounted to $80,745, $86,476 and $80,861, respectively, and is included in “occupancy and equipment” or “technology and information services” on the consolidated statements of operations, depending on the nature of the underlying asset. The Company subleases office space under agreements, which expire on various dates through 2022. Sublease income from such agreements was $11,751, $11,404 and $9,613 for the years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00"/>
          </w:cols>
          <w:pgMar w:left="240" w:top="455" w:right="2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ended December 31, 2014, 2013 and 2012, respectively, which includes sublease income of $3,097, $4,136 and $3,290, respectively, from an affiliate of LFCM Holdings LLC, which is now known as LMDC Holdings LLC (“LMDC Holdings”).</w:t>
      </w:r>
    </w:p>
    <w:p>
      <w:pPr>
        <w:spacing w:after="0" w:line="120" w:lineRule="exact"/>
        <w:rPr>
          <w:sz w:val="20"/>
          <w:szCs w:val="20"/>
          <w:color w:val="auto"/>
        </w:rPr>
      </w:pPr>
    </w:p>
    <w:p>
      <w:pPr>
        <w:jc w:val="both"/>
        <w:ind w:firstLine="456"/>
        <w:spacing w:after="0" w:line="310" w:lineRule="auto"/>
        <w:rPr>
          <w:sz w:val="20"/>
          <w:szCs w:val="20"/>
          <w:color w:val="auto"/>
        </w:rPr>
      </w:pPr>
      <w:r>
        <w:rPr>
          <w:rFonts w:ascii="Times New Roman" w:cs="Times New Roman" w:eastAsia="Times New Roman" w:hAnsi="Times New Roman"/>
          <w:sz w:val="16"/>
          <w:szCs w:val="16"/>
          <w:color w:val="auto"/>
        </w:rPr>
        <w:t>Capital lease obligations recorded under sale/leaseback transactions are payable through 2019 at a weighted average interest rate of approximately 6.1%. Such obligations are collateralized primarily by certain buildings with a net book value of approximately $16,863 and $19,876 at December 31, 2014 and 2013, respectively. The net book value of all assets recorded under capital leases aggregated $17,326 and $20,806 at December 31, 2014 and 2013, respectively.</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2014, minimum rental commitments under non-cancelable leases, net of sublease income, are approximately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2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Minimum Rental Commitments</w:t>
            </w:r>
          </w:p>
        </w:tc>
        <w:tc>
          <w:tcPr>
            <w:tcW w:w="0" w:type="dxa"/>
            <w:vAlign w:val="bottom"/>
          </w:tcPr>
          <w:p>
            <w:pPr>
              <w:spacing w:after="0"/>
              <w:rPr>
                <w:sz w:val="1"/>
                <w:szCs w:val="1"/>
                <w:color w:val="auto"/>
              </w:rPr>
            </w:pPr>
          </w:p>
        </w:tc>
      </w:tr>
      <w:tr>
        <w:trPr>
          <w:trHeight w:val="149"/>
        </w:trPr>
        <w:tc>
          <w:tcPr>
            <w:tcW w:w="58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34"/>
              <w:spacing w:after="0" w:line="12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2015</w:t>
            </w:r>
          </w:p>
        </w:tc>
        <w:tc>
          <w:tcPr>
            <w:tcW w:w="30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2,594</w:t>
            </w: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77,216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940,689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capital lease commitments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8"/>
                <w:szCs w:val="18"/>
                <w:color w:val="auto"/>
              </w:rPr>
              <w:t>Less sublease proceeds(a)</w:t>
            </w: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76,610</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20" w:type="dxa"/>
            <w:vAlign w:val="bottom"/>
            <w:gridSpan w:val="3"/>
            <w:vMerge w:val="continue"/>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180" w:hanging="452"/>
        <w:spacing w:after="0" w:line="275"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sublease income was reduced by approximately $79,600 in the third quarter of 2014 pursuant to arrangements we entered into with LMDC Holdings. See Note 18 of Notes to Consolidated Financial Statements.</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With respect to abandoned leased facilities in the U.K., at December 31, 2014 and 2013, the Company has recognized liabilities of $8,516 and $11,203, respectively, which are included in “other liabilities” on the consolidated statements of financial condition. Payments toward the liabilities continue through the remaining term of the leases. Such liabilities are based on the discounted future commitment, net of expected sublease income.</w:t>
      </w:r>
    </w:p>
    <w:p>
      <w:pPr>
        <w:spacing w:after="0" w:line="128" w:lineRule="exact"/>
        <w:rPr>
          <w:sz w:val="20"/>
          <w:szCs w:val="20"/>
          <w:color w:val="auto"/>
        </w:rPr>
      </w:pPr>
    </w:p>
    <w:p>
      <w:pPr>
        <w:ind w:right="1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Guarantees—</w:t>
      </w:r>
      <w:r>
        <w:rPr>
          <w:rFonts w:ascii="Times New Roman" w:cs="Times New Roman" w:eastAsia="Times New Roman" w:hAnsi="Times New Roman"/>
          <w:sz w:val="18"/>
          <w:szCs w:val="18"/>
          <w:color w:val="auto"/>
        </w:rPr>
        <w:t>In the normal course of business, LFB provides indemnifications to third parties to protect them in the event of non-performance by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clients. At December 31, 2014, LFB had $4,528 of such indemnifications and held $4,052 of collateral/counter-guarantees to secure these commitments. The Company believes the likelihood of loss with respect to these indemnities is remote. Accordingly, no liability is recorded in the consolidated statement of financial condition.</w:t>
      </w:r>
    </w:p>
    <w:p>
      <w:pPr>
        <w:spacing w:after="0" w:line="129" w:lineRule="exact"/>
        <w:rPr>
          <w:sz w:val="20"/>
          <w:szCs w:val="20"/>
          <w:color w:val="auto"/>
        </w:rPr>
      </w:pPr>
    </w:p>
    <w:p>
      <w:pPr>
        <w:ind w:right="2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Certain Business Transactions</w:t>
      </w:r>
      <w:r>
        <w:rPr>
          <w:rFonts w:ascii="Times New Roman" w:cs="Times New Roman" w:eastAsia="Times New Roman" w:hAnsi="Times New Roman"/>
          <w:sz w:val="18"/>
          <w:szCs w:val="18"/>
          <w:color w:val="auto"/>
        </w:rPr>
        <w:t>—On July 15, 2009, the Company established a private equity business with Edgewater. Edgewater manages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w:t>
      </w:r>
    </w:p>
    <w:p>
      <w:pPr>
        <w:spacing w:after="0" w:line="1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20"/>
          </w:cols>
          <w:pgMar w:left="240" w:top="455" w:right="4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Edgewater private equity funds (the “Edgewater Acquisition”). Following the Edgewater Acquisition, Edgewater’s leadership team retained a substantial economic interest in such entities.</w:t>
      </w:r>
    </w:p>
    <w:p>
      <w:pPr>
        <w:spacing w:after="0" w:line="120"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Earnout Shares will be issued only if certain performance thresholds are met. As of December 31, 2014 and 2013, 913,722 shares are issuable on a contingent basis, and 1,371,992 have been earned because applicable performance thresholds have been satisfied. As of December 31, 2014 and 2013, 1,371,992 and 1,029,006, respectively, of the earned shares have been settled.</w:t>
      </w:r>
    </w:p>
    <w:p>
      <w:pPr>
        <w:spacing w:after="0" w:line="104" w:lineRule="exact"/>
        <w:rPr>
          <w:sz w:val="20"/>
          <w:szCs w:val="20"/>
          <w:color w:val="auto"/>
        </w:rPr>
      </w:pPr>
    </w:p>
    <w:p>
      <w:pPr>
        <w:ind w:right="1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Contingent Consideration Relating To Other Business Acquisitions</w:t>
      </w:r>
      <w:r>
        <w:rPr>
          <w:rFonts w:ascii="Times New Roman" w:cs="Times New Roman" w:eastAsia="Times New Roman" w:hAnsi="Times New Roman"/>
          <w:sz w:val="18"/>
          <w:szCs w:val="18"/>
          <w:color w:val="auto"/>
        </w:rPr>
        <w:t>—For a business acquired in 2012, at December 31, 2012, 170,988 shares of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 by December 31, 2014.</w:t>
      </w:r>
    </w:p>
    <w:p>
      <w:pPr>
        <w:spacing w:after="0" w:line="129" w:lineRule="exact"/>
        <w:rPr>
          <w:sz w:val="20"/>
          <w:szCs w:val="20"/>
          <w:color w:val="auto"/>
        </w:rPr>
      </w:pPr>
    </w:p>
    <w:p>
      <w:pPr>
        <w:ind w:right="6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Other Commitments</w:t>
      </w:r>
      <w:r>
        <w:rPr>
          <w:rFonts w:ascii="Times New Roman" w:cs="Times New Roman" w:eastAsia="Times New Roman" w:hAnsi="Times New Roman"/>
          <w:sz w:val="18"/>
          <w:szCs w:val="18"/>
          <w:color w:val="auto"/>
        </w:rPr>
        <w:t>—In the normal course of business, LFB enters into commitments to extend credit, predominately at variable interest rates.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December 31, 2014, these commitments were not material.</w:t>
      </w:r>
    </w:p>
    <w:p>
      <w:pPr>
        <w:spacing w:after="0" w:line="133" w:lineRule="exact"/>
        <w:rPr>
          <w:sz w:val="20"/>
          <w:szCs w:val="20"/>
          <w:color w:val="auto"/>
        </w:rPr>
      </w:pPr>
    </w:p>
    <w:p>
      <w:pPr>
        <w:ind w:right="760" w:firstLine="456"/>
        <w:spacing w:after="0" w:line="275" w:lineRule="auto"/>
        <w:rPr>
          <w:sz w:val="20"/>
          <w:szCs w:val="20"/>
          <w:color w:val="auto"/>
        </w:rPr>
      </w:pPr>
      <w:r>
        <w:rPr>
          <w:rFonts w:ascii="Times New Roman" w:cs="Times New Roman" w:eastAsia="Times New Roman" w:hAnsi="Times New Roman"/>
          <w:sz w:val="18"/>
          <w:szCs w:val="18"/>
          <w:color w:val="auto"/>
        </w:rPr>
        <w:t>See Notes 6 and 15 of Notes to Consolidated Financial Statements for information regarding commitments relating to investment capital funding commitments and obligations to fund our pension plans, respectively.</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Company has various other contractual commitments arising in the ordinary course of business. In addition, from time to time, each of LFB and LFNY may enter into underwriting commitments in which it will participate as an underwriter. At December 31, 2014, and during 2014, LFB and LFNY had no such underwriting commitments.</w:t>
      </w:r>
    </w:p>
    <w:p>
      <w:pPr>
        <w:spacing w:after="0" w:line="13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1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Legal</w:t>
      </w:r>
      <w:r>
        <w:rPr>
          <w:rFonts w:ascii="Times New Roman" w:cs="Times New Roman" w:eastAsia="Times New Roman" w:hAnsi="Times New Roman"/>
          <w:sz w:val="18"/>
          <w:szCs w:val="18"/>
          <w:color w:val="auto"/>
        </w:rPr>
        <w:t>—The Company is involved from time to time in judicial, regulatory and arbitration proceedings and inquiries concerning matters arising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55" w:lineRule="exact"/>
        <w:rPr>
          <w:sz w:val="20"/>
          <w:szCs w:val="20"/>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MEMBERS’ EQUITY</w:t>
      </w:r>
    </w:p>
    <w:p>
      <w:pPr>
        <w:spacing w:after="0" w:line="90" w:lineRule="exact"/>
        <w:rPr>
          <w:sz w:val="20"/>
          <w:szCs w:val="20"/>
          <w:color w:val="auto"/>
        </w:rPr>
      </w:pPr>
    </w:p>
    <w:p>
      <w:pPr>
        <w:ind w:right="2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Lazard Group Distributions—</w:t>
      </w:r>
      <w:r>
        <w:rPr>
          <w:rFonts w:ascii="Times New Roman" w:cs="Times New Roman" w:eastAsia="Times New Roman" w:hAnsi="Times New Roman"/>
          <w:sz w:val="18"/>
          <w:szCs w:val="18"/>
          <w:color w:val="auto"/>
        </w:rPr>
        <w:t>As previously described, Lazard Group’s common membership interests are held by subsidiaries of Lazard Ltd and,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2014, also were held by LAZ-MD Holdings. Pursuant to provisions of the Operating Agreement, Lazard Group distributions in respect of its common membership</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00"/>
          </w:cols>
          <w:pgMar w:left="240" w:top="455" w:right="2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incur and, until May 2014, that the members of LAZ-MD Holdings incurred as a result of holding Lazard Group common membership interests.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During the years ended December 31, 2014, 2013 and 2012, Lazard Group distributed the following amounts to LAZ-MD Holdings and the subsidiaries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Lazard Ltd: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Tax distributions: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LAZ-MD Holdings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Subsidiaries of Lazard Ltd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174,266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175,915</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distributions: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LAZ-MD Holdings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5,170</w:t>
            </w:r>
          </w:p>
        </w:tc>
      </w:tr>
      <w:tr>
        <w:trPr>
          <w:trHeight w:val="216"/>
        </w:trPr>
        <w:tc>
          <w:tcPr>
            <w:tcW w:w="8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Subsidiaries of Lazard Ltd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146,241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121,620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135,108</w:t>
            </w:r>
          </w:p>
        </w:tc>
      </w:tr>
      <w:tr>
        <w:trPr>
          <w:trHeight w:val="223"/>
        </w:trPr>
        <w:tc>
          <w:tcPr>
            <w:tcW w:w="8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146,454</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122,540</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140,278</w:t>
            </w: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00" w:firstLine="456"/>
        <w:spacing w:after="0" w:line="275" w:lineRule="auto"/>
        <w:rPr>
          <w:sz w:val="20"/>
          <w:szCs w:val="20"/>
          <w:color w:val="auto"/>
        </w:rPr>
      </w:pPr>
      <w:r>
        <w:rPr>
          <w:rFonts w:ascii="Times New Roman" w:cs="Times New Roman" w:eastAsia="Times New Roman" w:hAnsi="Times New Roman"/>
          <w:sz w:val="18"/>
          <w:szCs w:val="18"/>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16" w:lineRule="exact"/>
        <w:rPr>
          <w:sz w:val="20"/>
          <w:szCs w:val="20"/>
          <w:color w:val="auto"/>
        </w:rPr>
      </w:pPr>
    </w:p>
    <w:p>
      <w:pPr>
        <w:ind w:right="12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Exchange of Lazard Group Common Membership Interests</w:t>
      </w:r>
      <w:r>
        <w:rPr>
          <w:rFonts w:ascii="Times New Roman" w:cs="Times New Roman" w:eastAsia="Times New Roman" w:hAnsi="Times New Roman"/>
          <w:sz w:val="18"/>
          <w:szCs w:val="18"/>
          <w:color w:val="auto"/>
        </w:rPr>
        <w:t>—During the years ended December 31, 2014, 2013 and 2012, Lazard Ltd issued 710,009,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839,658 and 5,207,112 shares of Class A common stock, respectively, in connection with the exchanges of a like number of Lazard Group common membership interests (received from members of LAZ-MD Holdings in exchange for a like number of LAZ-MD Holdings exchangeable interests). (See Note 1 of Notes to Consolidated Financial Statements for a discussion of the Final Exchange of LAZ-MD Interests).</w:t>
      </w:r>
    </w:p>
    <w:p>
      <w:pPr>
        <w:spacing w:after="0" w:line="129"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—During the years ended December 31, 2014, 2013, and 2012, the Board of Directors of Lazard Ltd authorized the repurchase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Class A common stock and Lazard Group common membership interests as set forth in the table below.</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2900" w:type="dxa"/>
            <w:vAlign w:val="bottom"/>
            <w:vMerge w:val="restart"/>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6"/>
              </w:rPr>
              <w:t>Repurchase</w:t>
            </w: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80" w:type="dxa"/>
            <w:vAlign w:val="bottom"/>
            <w:tcBorders>
              <w:bottom w:val="single" w:sz="8" w:color="auto"/>
            </w:tcBorders>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1540" w:type="dxa"/>
            <w:vAlign w:val="bottom"/>
            <w:gridSpan w:val="3"/>
          </w:tcPr>
          <w:p>
            <w:pPr>
              <w:jc w:val="center"/>
              <w:ind w:right="620"/>
              <w:spacing w:after="0" w:line="152" w:lineRule="exact"/>
              <w:rPr>
                <w:sz w:val="20"/>
                <w:szCs w:val="20"/>
                <w:color w:val="auto"/>
              </w:rPr>
            </w:pPr>
            <w:r>
              <w:rPr>
                <w:rFonts w:ascii="Times New Roman" w:cs="Times New Roman" w:eastAsia="Times New Roman" w:hAnsi="Times New Roman"/>
                <w:sz w:val="14"/>
                <w:szCs w:val="14"/>
                <w:b w:val="1"/>
                <w:bCs w:val="1"/>
                <w:color w:val="auto"/>
                <w:w w:val="95"/>
              </w:rPr>
              <w:t>Authorization</w:t>
            </w:r>
          </w:p>
        </w:tc>
        <w:tc>
          <w:tcPr>
            <w:tcW w:w="1780" w:type="dxa"/>
            <w:vAlign w:val="bottom"/>
            <w:gridSpan w:val="2"/>
          </w:tcPr>
          <w:p>
            <w:pPr>
              <w:ind w:left="520"/>
              <w:spacing w:after="0" w:line="152"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April, 2012</w:t>
            </w:r>
          </w:p>
        </w:tc>
        <w:tc>
          <w:tcPr>
            <w:tcW w:w="2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97"/>
              </w:rPr>
              <w:t>December 31, 2013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2012</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December 31, 2014</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2013</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r>
        <w:trPr>
          <w:trHeight w:val="228"/>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2014</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620" w:type="dxa"/>
            <w:vAlign w:val="bottom"/>
          </w:tcPr>
          <w:p>
            <w:pPr>
              <w:spacing w:after="0"/>
              <w:rPr>
                <w:sz w:val="19"/>
                <w:szCs w:val="19"/>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December 31, 2015</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Company expects that the share repurchase program will primarily be used to offset a portion of the shares that have been or will be issued under the Lazard Ltd 2005 Equity Incentive Plan (the “2005 Plan”) and the Lazard Ltd 2008 Incentive Compensation Plan (the “2008 Plan”). Pursuant to the share repurchase program,</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40"/>
        <w:spacing w:after="0" w:line="339" w:lineRule="auto"/>
        <w:rPr>
          <w:sz w:val="20"/>
          <w:szCs w:val="20"/>
          <w:color w:val="auto"/>
        </w:rPr>
      </w:pPr>
      <w:r>
        <w:rPr>
          <w:rFonts w:ascii="Times New Roman" w:cs="Times New Roman" w:eastAsia="Times New Roman" w:hAnsi="Times New Roman"/>
          <w:sz w:val="16"/>
          <w:szCs w:val="16"/>
          <w:color w:val="auto"/>
        </w:rPr>
        <w:t>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15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r>
      <w:tr>
        <w:trPr>
          <w:trHeight w:val="149"/>
        </w:trPr>
        <w:tc>
          <w:tcPr>
            <w:tcW w:w="15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6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w:t>
            </w:r>
          </w:p>
        </w:tc>
      </w:tr>
      <w:tr>
        <w:trPr>
          <w:trHeight w:val="165"/>
        </w:trPr>
        <w:tc>
          <w:tcPr>
            <w:tcW w:w="15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r>
      <w:tr>
        <w:trPr>
          <w:trHeight w:val="115"/>
        </w:trPr>
        <w:tc>
          <w:tcPr>
            <w:tcW w:w="954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8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2012</w:t>
            </w:r>
          </w:p>
        </w:tc>
        <w:tc>
          <w:tcPr>
            <w:tcW w:w="79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12,817,196</w:t>
            </w:r>
          </w:p>
        </w:tc>
        <w:tc>
          <w:tcPr>
            <w:tcW w:w="5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Borders>
              <w:top w:val="single" w:sz="8" w:color="CCEEFF"/>
            </w:tcBorders>
          </w:tcPr>
          <w:p>
            <w:pPr>
              <w:spacing w:after="0"/>
              <w:rPr>
                <w:sz w:val="24"/>
                <w:szCs w:val="24"/>
                <w:color w:val="auto"/>
              </w:rPr>
            </w:pPr>
          </w:p>
        </w:tc>
      </w:tr>
      <w:tr>
        <w:trPr>
          <w:trHeight w:val="218"/>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79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3,488,101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shd w:val="clear" w:color="auto" w:fill="CCEEFF"/>
          </w:tcPr>
          <w:p>
            <w:pPr>
              <w:spacing w:after="0"/>
              <w:rPr>
                <w:sz w:val="18"/>
                <w:szCs w:val="18"/>
                <w:color w:val="auto"/>
              </w:rPr>
            </w:pPr>
          </w:p>
        </w:tc>
      </w:tr>
      <w:tr>
        <w:trPr>
          <w:trHeight w:val="228"/>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796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4,114,206</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tcPr>
          <w:p>
            <w:pPr>
              <w:spacing w:after="0"/>
              <w:rPr>
                <w:sz w:val="19"/>
                <w:szCs w:val="19"/>
                <w:color w:val="auto"/>
              </w:rPr>
            </w:pPr>
          </w:p>
        </w:tc>
      </w:tr>
    </w:tbl>
    <w:p>
      <w:pPr>
        <w:spacing w:after="0" w:line="13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 a result of the delivery of shares of Class A common stock through December 31, 2014 relating to (i) the settlement of vested restricted stock units (“RSUs”), (ii) the incentive plan awards of shares of restricted Class A common stock, (iii) the delivery of shares of restricted Class A common stock in exchange for RSUs and (iv) the delivery of shares of Class A common stock in connection with business acquisitions, there were 5,663,243 and 5,744,856 shares of Class A common stock held by Lazard Group at December 31, 2014 and 2013, respectively. Such shares of Class A common stock are reported, at cost, as a reduction of members’ equity within the accompanying consolidated statements of financial condition.</w:t>
      </w:r>
    </w:p>
    <w:p>
      <w:pPr>
        <w:spacing w:after="0" w:line="13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shares purchased by Lazard Ltd in the year ended December 31, 2014 included 1,000,000 shares purchased from Natixis S.A. on June 26, 2014 for $50,340 in connection with the sale by Natixis S.A. of its entire investment in Lazard Ltd’s Class A common stock. The purchase transaction closed on July 1, 2014. As of December 31, 2014, a total of $128,932 of share repurchase authorization remained available under the share repurchase program, which will expire on December 31, 2015.</w:t>
      </w:r>
    </w:p>
    <w:p>
      <w:pPr>
        <w:spacing w:after="0" w:line="13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In addition, on February 4, 2015, the Board of Directors of Lazard Ltd authorized the repurchase of up to $150,000 additional shares of Lazard Ltd’s Class A common stock, which authorization will expire on December 31, 2016.</w:t>
      </w:r>
    </w:p>
    <w:p>
      <w:pPr>
        <w:spacing w:after="0" w:line="120"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2014, Lazard Ltd had in place trading plans under Rule 10b5-1 of the Securities Exchange Act of 1934, pursuant to which it effected stock repurchases in the open market.</w:t>
      </w:r>
    </w:p>
    <w:p>
      <w:pPr>
        <w:spacing w:after="0" w:line="116" w:lineRule="exact"/>
        <w:rPr>
          <w:sz w:val="20"/>
          <w:szCs w:val="20"/>
          <w:color w:val="auto"/>
        </w:rPr>
      </w:pPr>
    </w:p>
    <w:p>
      <w:pPr>
        <w:ind w:right="4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 Net of Tax</w:t>
      </w:r>
      <w:r>
        <w:rPr>
          <w:rFonts w:ascii="Times New Roman" w:cs="Times New Roman" w:eastAsia="Times New Roman" w:hAnsi="Times New Roman"/>
          <w:sz w:val="18"/>
          <w:szCs w:val="18"/>
          <w:color w:val="auto"/>
        </w:rPr>
        <w:t>—The tables below reflect the balances of each component of AOCI at December 31,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2013 and activity during the years then ended: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38"/>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Currency</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Times New Roman" w:cs="Times New Roman" w:eastAsia="Times New Roman" w:hAnsi="Times New Roman"/>
                <w:sz w:val="14"/>
                <w:szCs w:val="14"/>
                <w:b w:val="1"/>
                <w:bCs w:val="1"/>
                <w:color w:val="auto"/>
                <w:w w:val="98"/>
              </w:rPr>
              <w:t>Employee</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right"/>
              <w:ind w:right="29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1120" w:type="dxa"/>
            <w:vAlign w:val="bottom"/>
            <w:gridSpan w:val="2"/>
          </w:tcPr>
          <w:p>
            <w:pPr>
              <w:jc w:val="right"/>
              <w:ind w:right="51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Lazard Group</w:t>
            </w:r>
          </w:p>
        </w:tc>
        <w:tc>
          <w:tcPr>
            <w:tcW w:w="0" w:type="dxa"/>
            <w:vAlign w:val="bottom"/>
          </w:tcPr>
          <w:p>
            <w:pPr>
              <w:spacing w:after="0"/>
              <w:rPr>
                <w:sz w:val="1"/>
                <w:szCs w:val="1"/>
                <w:color w:val="auto"/>
              </w:rPr>
            </w:pPr>
          </w:p>
        </w:tc>
      </w:tr>
      <w:tr>
        <w:trPr>
          <w:trHeight w:val="165"/>
        </w:trPr>
        <w:tc>
          <w:tcPr>
            <w:tcW w:w="5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4"/>
                <w:szCs w:val="14"/>
                <w:color w:val="auto"/>
              </w:rPr>
            </w:pPr>
          </w:p>
        </w:tc>
        <w:tc>
          <w:tcPr>
            <w:tcW w:w="1120" w:type="dxa"/>
            <w:vAlign w:val="bottom"/>
            <w:gridSpan w:val="2"/>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w w:val="91"/>
              </w:rPr>
              <w:t>Plans</w:t>
            </w:r>
          </w:p>
        </w:tc>
        <w:tc>
          <w:tcPr>
            <w:tcW w:w="1120" w:type="dxa"/>
            <w:vAlign w:val="bottom"/>
            <w:gridSpan w:val="2"/>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AOCI</w:t>
            </w:r>
          </w:p>
        </w:tc>
        <w:tc>
          <w:tcPr>
            <w:tcW w:w="14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4"/>
                <w:szCs w:val="14"/>
                <w:color w:val="auto"/>
              </w:rPr>
            </w:pPr>
          </w:p>
        </w:tc>
        <w:tc>
          <w:tcPr>
            <w:tcW w:w="800" w:type="dxa"/>
            <w:vAlign w:val="bottom"/>
            <w:gridSpan w:val="2"/>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2014</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(137,431</w:t>
            </w:r>
          </w:p>
        </w:tc>
        <w:tc>
          <w:tcPr>
            <w:tcW w:w="380" w:type="dxa"/>
            <w:vAlign w:val="bottom"/>
            <w:tcBorders>
              <w:top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(102,195</w:t>
            </w:r>
          </w:p>
        </w:tc>
        <w:tc>
          <w:tcPr>
            <w:tcW w:w="380" w:type="dxa"/>
            <w:vAlign w:val="bottom"/>
            <w:tcBorders>
              <w:top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Activity January 1 to December 31, 2014:</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(43,861)</w:t>
            </w:r>
          </w:p>
        </w:tc>
        <w:tc>
          <w:tcPr>
            <w:tcW w:w="128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(21,983)</w:t>
            </w:r>
          </w:p>
        </w:tc>
        <w:tc>
          <w:tcPr>
            <w:tcW w:w="11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(65,844)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(65,841)</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Adjustments for items reclassified to earnings, net of tax</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(43,861)</w:t>
            </w:r>
          </w:p>
        </w:tc>
        <w:tc>
          <w:tcPr>
            <w:tcW w:w="1280" w:type="dxa"/>
            <w:vAlign w:val="bottom"/>
            <w:gridSpan w:val="3"/>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(17,234)</w:t>
            </w:r>
          </w:p>
        </w:tc>
        <w:tc>
          <w:tcPr>
            <w:tcW w:w="11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(61,095)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(61,092)</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8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2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(154,665</w:t>
            </w:r>
          </w:p>
        </w:tc>
        <w:tc>
          <w:tcPr>
            <w:tcW w:w="3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(163,290</w:t>
            </w:r>
          </w:p>
        </w:tc>
        <w:tc>
          <w:tcPr>
            <w:tcW w:w="3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000" w:type="dxa"/>
            <w:vAlign w:val="bottom"/>
          </w:tcPr>
          <w:p>
            <w:pPr>
              <w:spacing w:after="0"/>
              <w:rPr>
                <w:sz w:val="24"/>
                <w:szCs w:val="24"/>
                <w:color w:val="auto"/>
              </w:rPr>
            </w:pPr>
          </w:p>
        </w:tc>
        <w:tc>
          <w:tcPr>
            <w:tcW w:w="9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105</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Currency</w:t>
            </w:r>
          </w:p>
        </w:tc>
        <w:tc>
          <w:tcPr>
            <w:tcW w:w="860" w:type="dxa"/>
            <w:vAlign w:val="bottom"/>
            <w:gridSpan w:val="3"/>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Interest</w:t>
            </w:r>
          </w:p>
        </w:tc>
        <w:tc>
          <w:tcPr>
            <w:tcW w:w="1040" w:type="dxa"/>
            <w:vAlign w:val="bottom"/>
            <w:gridSpan w:val="2"/>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w w:val="98"/>
              </w:rPr>
              <w:t>Employee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right"/>
              <w:ind w:right="29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5280" w:type="dxa"/>
            <w:vAlign w:val="bottom"/>
          </w:tcPr>
          <w:p>
            <w:pPr>
              <w:spacing w:after="0"/>
              <w:rPr>
                <w:sz w:val="12"/>
                <w:szCs w:val="12"/>
                <w:color w:val="auto"/>
              </w:rPr>
            </w:pPr>
          </w:p>
        </w:tc>
        <w:tc>
          <w:tcPr>
            <w:tcW w:w="10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760" w:type="dxa"/>
            <w:vAlign w:val="bottom"/>
            <w:gridSpan w:val="2"/>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1040" w:type="dxa"/>
            <w:vAlign w:val="bottom"/>
            <w:gridSpan w:val="2"/>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Benefit</w:t>
            </w:r>
          </w:p>
        </w:tc>
        <w:tc>
          <w:tcPr>
            <w:tcW w:w="100" w:type="dxa"/>
            <w:vAlign w:val="bottom"/>
          </w:tcPr>
          <w:p>
            <w:pPr>
              <w:spacing w:after="0"/>
              <w:rPr>
                <w:sz w:val="12"/>
                <w:szCs w:val="12"/>
                <w:color w:val="auto"/>
              </w:rPr>
            </w:pPr>
          </w:p>
        </w:tc>
        <w:tc>
          <w:tcPr>
            <w:tcW w:w="940" w:type="dxa"/>
            <w:vAlign w:val="bottom"/>
            <w:gridSpan w:val="2"/>
          </w:tcPr>
          <w:p>
            <w:pPr>
              <w:jc w:val="right"/>
              <w:ind w:right="43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Lazard Group</w:t>
            </w:r>
          </w:p>
        </w:tc>
      </w:tr>
      <w:tr>
        <w:trPr>
          <w:trHeight w:val="165"/>
        </w:trPr>
        <w:tc>
          <w:tcPr>
            <w:tcW w:w="528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4"/>
                <w:szCs w:val="14"/>
                <w:color w:val="auto"/>
              </w:rPr>
            </w:pPr>
          </w:p>
        </w:tc>
        <w:tc>
          <w:tcPr>
            <w:tcW w:w="760" w:type="dxa"/>
            <w:vAlign w:val="bottom"/>
            <w:gridSpan w:val="2"/>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w w:val="94"/>
              </w:rPr>
              <w:t>Hedge</w:t>
            </w:r>
          </w:p>
        </w:tc>
        <w:tc>
          <w:tcPr>
            <w:tcW w:w="1040" w:type="dxa"/>
            <w:vAlign w:val="bottom"/>
            <w:gridSpan w:val="2"/>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1"/>
              </w:rPr>
              <w:t>Plans</w:t>
            </w:r>
          </w:p>
        </w:tc>
        <w:tc>
          <w:tcPr>
            <w:tcW w:w="100" w:type="dxa"/>
            <w:vAlign w:val="bottom"/>
          </w:tcPr>
          <w:p>
            <w:pPr>
              <w:spacing w:after="0"/>
              <w:rPr>
                <w:sz w:val="14"/>
                <w:szCs w:val="14"/>
                <w:color w:val="auto"/>
              </w:rPr>
            </w:pPr>
          </w:p>
        </w:tc>
        <w:tc>
          <w:tcPr>
            <w:tcW w:w="940" w:type="dxa"/>
            <w:vAlign w:val="bottom"/>
            <w:gridSpan w:val="2"/>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AOCI</w:t>
            </w:r>
          </w:p>
        </w:tc>
        <w:tc>
          <w:tcPr>
            <w:tcW w:w="1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4"/>
                <w:szCs w:val="14"/>
                <w:color w:val="auto"/>
              </w:rPr>
            </w:pPr>
          </w:p>
        </w:tc>
        <w:tc>
          <w:tcPr>
            <w:tcW w:w="800" w:type="dxa"/>
            <w:vAlign w:val="bottom"/>
            <w:gridSpan w:val="2"/>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AOCI</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2013</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(2,502</w:t>
            </w:r>
          </w:p>
        </w:tc>
        <w:tc>
          <w:tcPr>
            <w:tcW w:w="300" w:type="dxa"/>
            <w:vAlign w:val="bottom"/>
            <w:tcBorders>
              <w:top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(128,536</w:t>
            </w:r>
          </w:p>
        </w:tc>
        <w:tc>
          <w:tcPr>
            <w:tcW w:w="300" w:type="dxa"/>
            <w:vAlign w:val="bottom"/>
            <w:tcBorders>
              <w:top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(92,381</w:t>
            </w:r>
          </w:p>
        </w:tc>
        <w:tc>
          <w:tcPr>
            <w:tcW w:w="300" w:type="dxa"/>
            <w:vAlign w:val="bottom"/>
            <w:tcBorders>
              <w:top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Activity January 1 to December 31, 2013: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(16,921)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w:t>
            </w:r>
          </w:p>
        </w:tc>
      </w:tr>
      <w:tr>
        <w:trPr>
          <w:trHeight w:val="223"/>
        </w:trPr>
        <w:tc>
          <w:tcPr>
            <w:tcW w:w="5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Adjustments for items reclassified to earnings, net of tax</w:t>
            </w:r>
          </w:p>
        </w:tc>
        <w:tc>
          <w:tcPr>
            <w:tcW w:w="10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2,502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7,107</w:t>
            </w: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7,107</w:t>
            </w:r>
          </w:p>
        </w:tc>
      </w:tr>
      <w:tr>
        <w:trPr>
          <w:trHeight w:val="202"/>
        </w:trPr>
        <w:tc>
          <w:tcPr>
            <w:tcW w:w="528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Net other comprehensive</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(loss)</w:t>
            </w: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2,502</w:t>
            </w:r>
          </w:p>
        </w:tc>
        <w:tc>
          <w:tcPr>
            <w:tcW w:w="10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(8,895)</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(9,814)</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(137,431</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(102,195</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(102,196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reflects adjustments for items reclassified out of AOCI, by component, for the years ended December 31, 2014 and 2013: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interest rate hedge (a)</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shd w:val="clear" w:color="auto" w:fill="CCEEFF"/>
          </w:tcPr>
          <w:p>
            <w:pPr>
              <w:spacing w:after="0"/>
              <w:rPr>
                <w:sz w:val="18"/>
                <w:szCs w:val="18"/>
                <w:color w:val="auto"/>
              </w:rPr>
            </w:pPr>
          </w:p>
        </w:tc>
      </w:tr>
      <w:tr>
        <w:trPr>
          <w:trHeight w:val="222"/>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relating to employee benefit plans (b)</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related income taxes</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18"/>
                <w:szCs w:val="18"/>
                <w:color w:val="auto"/>
              </w:rPr>
            </w:pPr>
          </w:p>
        </w:tc>
      </w:tr>
      <w:tr>
        <w:trPr>
          <w:trHeight w:val="230"/>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of tax</w:t>
            </w:r>
          </w:p>
        </w:tc>
        <w:tc>
          <w:tcPr>
            <w:tcW w:w="2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“interest expense” on the consolidated statements of operations.</w:t>
      </w:r>
    </w:p>
    <w:p>
      <w:pPr>
        <w:spacing w:after="0" w:line="21" w:lineRule="exact"/>
        <w:rPr>
          <w:rFonts w:ascii="Times New Roman" w:cs="Times New Roman" w:eastAsia="Times New Roman" w:hAnsi="Times New Roman"/>
          <w:sz w:val="18"/>
          <w:szCs w:val="18"/>
          <w:color w:val="auto"/>
        </w:rPr>
      </w:pPr>
    </w:p>
    <w:p>
      <w:pPr>
        <w:ind w:left="460" w:right="760" w:hanging="452"/>
        <w:spacing w:after="0" w:line="261" w:lineRule="auto"/>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computation of net periodic benefit cost (see Note 15 of Notes to Consolidated Financial Statements). Such amount is included in “compensation and benefits” expense on the consolidated statement of operations.</w:t>
      </w:r>
    </w:p>
    <w:p>
      <w:pPr>
        <w:spacing w:after="0" w:line="128" w:lineRule="exact"/>
        <w:rPr>
          <w:sz w:val="20"/>
          <w:szCs w:val="20"/>
          <w:color w:val="auto"/>
        </w:rPr>
      </w:pPr>
    </w:p>
    <w:p>
      <w:pPr>
        <w:ind w:right="1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Noncontrolling Interests—</w:t>
      </w:r>
      <w:r>
        <w:rPr>
          <w:rFonts w:ascii="Times New Roman" w:cs="Times New Roman" w:eastAsia="Times New Roman" w:hAnsi="Times New Roman"/>
          <w:sz w:val="18"/>
          <w:szCs w:val="18"/>
          <w:color w:val="auto"/>
        </w:rPr>
        <w:t>Noncontrolling interests principally represent interests held in Edgewater’s management vehicles that the Company is deemed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control, but does not own.</w:t>
      </w:r>
    </w:p>
    <w:p>
      <w:pPr>
        <w:spacing w:after="0" w:line="115" w:lineRule="exact"/>
        <w:rPr>
          <w:sz w:val="20"/>
          <w:szCs w:val="20"/>
          <w:color w:val="auto"/>
        </w:rPr>
      </w:pPr>
    </w:p>
    <w:p>
      <w:pPr>
        <w:ind w:right="720" w:firstLine="456"/>
        <w:spacing w:after="0" w:line="275" w:lineRule="auto"/>
        <w:rPr>
          <w:sz w:val="20"/>
          <w:szCs w:val="20"/>
          <w:color w:val="auto"/>
        </w:rPr>
      </w:pPr>
      <w:r>
        <w:rPr>
          <w:rFonts w:ascii="Times New Roman" w:cs="Times New Roman" w:eastAsia="Times New Roman" w:hAnsi="Times New Roman"/>
          <w:sz w:val="18"/>
          <w:szCs w:val="18"/>
          <w:color w:val="auto"/>
        </w:rPr>
        <w:t>The tables below summarize net income (loss) attributable to noncontrolling interests for the years ended December 31, 2014, 2013 and 2012 and noncontrolling interests as of December 31, 2014 and 2013 in the Company’s consolidated financial statements: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 Income (Loss)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gridSpan w:val="8"/>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Attributable to Noncontrolling Interests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Edgewater</w:t>
            </w: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980" w:type="dxa"/>
            <w:vAlign w:val="bottom"/>
            <w:vMerge w:val="restart"/>
          </w:tcPr>
          <w:p>
            <w:pPr>
              <w:jc w:val="right"/>
              <w:ind w:right="2232"/>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0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Noncontrolling Interests</w:t>
            </w:r>
          </w:p>
        </w:tc>
      </w:tr>
      <w:tr>
        <w:trPr>
          <w:trHeight w:val="165"/>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20" w:type="dxa"/>
            <w:vAlign w:val="bottom"/>
            <w:tcBorders>
              <w:top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180" w:type="dxa"/>
            <w:vAlign w:val="bottom"/>
            <w:tcBorders>
              <w:top w:val="single" w:sz="8" w:color="auto"/>
            </w:tcBorders>
            <w:gridSpan w:val="2"/>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Edgewater</w:t>
            </w:r>
          </w:p>
        </w:tc>
        <w:tc>
          <w:tcPr>
            <w:tcW w:w="4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$ 62,584</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$ 66,641</w:t>
            </w:r>
          </w:p>
        </w:tc>
        <w:tc>
          <w:tcPr>
            <w:tcW w:w="2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$ 62,593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$ 66,654</w:t>
            </w:r>
          </w:p>
        </w:tc>
        <w:tc>
          <w:tcPr>
            <w:tcW w:w="2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79" w:lineRule="exact"/>
        <w:rPr>
          <w:sz w:val="20"/>
          <w:szCs w:val="20"/>
          <w:color w:val="auto"/>
        </w:rPr>
      </w:pPr>
    </w:p>
    <w:p>
      <w:pPr>
        <w:ind w:left="460" w:hanging="452"/>
        <w:spacing w:after="0"/>
        <w:tabs>
          <w:tab w:leader="none" w:pos="460" w:val="left"/>
        </w:tabs>
        <w:numPr>
          <w:ilvl w:val="0"/>
          <w:numId w:val="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Share-Based Incentive Plan Awards</w:t>
      </w:r>
    </w:p>
    <w:p>
      <w:pPr>
        <w:spacing w:after="0" w:line="94"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A description of Lazard Ltd’s 2005 Plan and 2008 Plan and activity with respect thereto during the years ended December 31, 2014, 2013 and 2012, is presented below.</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2005 Plan and 2008 Plan</w:t>
      </w:r>
    </w:p>
    <w:p>
      <w:pPr>
        <w:spacing w:after="0" w:line="9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2005 Plan authorizes the issuance of up to 25,000,000 shares of Class A common stock pursuant to the grant or exercise of stock options, stock appreciation rights,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36"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w:t>
      </w:r>
    </w:p>
    <w:p>
      <w:pPr>
        <w:spacing w:after="0" w:line="13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consolidated statements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40" w:type="dxa"/>
            <w:vAlign w:val="bottom"/>
          </w:tcPr>
          <w:p>
            <w:pPr>
              <w:spacing w:after="0"/>
              <w:rPr>
                <w:sz w:val="14"/>
                <w:szCs w:val="14"/>
                <w:color w:val="auto"/>
              </w:rPr>
            </w:pPr>
          </w:p>
        </w:tc>
        <w:tc>
          <w:tcPr>
            <w:tcW w:w="288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Share-based incentive awards:</w:t>
            </w: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RSUs (a)</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$ 169,916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$ 209,974</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$ 298,809</w:t>
            </w:r>
          </w:p>
        </w:tc>
      </w:tr>
      <w:tr>
        <w:trPr>
          <w:trHeight w:val="216"/>
        </w:trPr>
        <w:tc>
          <w:tcPr>
            <w:tcW w:w="8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PRSUs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Restricted Stock (b)</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10,003</w:t>
            </w:r>
          </w:p>
        </w:tc>
      </w:tr>
      <w:tr>
        <w:trPr>
          <w:trHeight w:val="216"/>
        </w:trPr>
        <w:tc>
          <w:tcPr>
            <w:tcW w:w="8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DSUs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w:t>
            </w:r>
          </w:p>
        </w:tc>
      </w:tr>
      <w:tr>
        <w:trPr>
          <w:trHeight w:val="223"/>
        </w:trPr>
        <w:tc>
          <w:tcPr>
            <w:tcW w:w="8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$ 205,325</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$ 235,090</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$ 309,580</w:t>
            </w: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320" w:hanging="452"/>
        <w:spacing w:after="0" w:line="257"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charges relating to the cost saving initiatives and staff reductions, as applicable, for the years ended December 31, 2013 and 2012, aggregating $9,099 and $26,158, respectively (see Note 16 of Notes to Consolidated Financial Statements).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charges relating to the cost saving initiatives for the years ended December 31, 2013 and 2012, of $247 and $713, respectively.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500" w:firstLine="456"/>
        <w:spacing w:after="0" w:line="258" w:lineRule="auto"/>
        <w:rPr>
          <w:sz w:val="20"/>
          <w:szCs w:val="20"/>
          <w:color w:val="auto"/>
        </w:rPr>
      </w:pPr>
      <w:r>
        <w:rPr>
          <w:rFonts w:ascii="Times New Roman" w:cs="Times New Roman" w:eastAsia="Times New Roman" w:hAnsi="Times New Roman"/>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incentive plans are described below.</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RSUs and DSUs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39"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years ended December 31, 2014, 2013 and 2012, dividend participation rights required the issuance of 375,954, 454,059 and 920,791 RSUs, respectively.</w:t>
      </w:r>
    </w:p>
    <w:p>
      <w:pPr>
        <w:spacing w:after="0" w:line="13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26,360, 39,315 and 53,239 DSUs granted during the years ended December 31, 2014, 2013 and 2012,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any ordinary quarterly dividends paid on Class A common stock, which resulted in nominal cash payments for the years ended December 31, 2014, 2013 and 2012.</w:t>
      </w:r>
    </w:p>
    <w:p>
      <w:pPr>
        <w:spacing w:after="0" w:line="14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Company’s Directors’ Fee Deferral Unit Plan permits the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years ended December 31, 2014, 2013 and 2012, 8,433, 7,623 and 10,597 DSUs, respectively, had been granted pursuant to such Plan.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00"/>
          </w:cols>
          <w:pgMar w:left="240" w:top="455" w:right="2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activity relating to RSUs and DSUs during the three-year period ended December 31, 2014:</w:t>
      </w:r>
    </w:p>
    <w:p>
      <w:pPr>
        <w:spacing w:after="0" w:line="88"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9"/>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640" w:type="dxa"/>
            <w:vAlign w:val="bottom"/>
          </w:tcPr>
          <w:p>
            <w:pPr>
              <w:spacing w:after="0"/>
              <w:rPr>
                <w:sz w:val="12"/>
                <w:szCs w:val="12"/>
                <w:color w:val="auto"/>
              </w:rPr>
            </w:pPr>
          </w:p>
        </w:tc>
        <w:tc>
          <w:tcPr>
            <w:tcW w:w="1060" w:type="dxa"/>
            <w:vAlign w:val="bottom"/>
            <w:gridSpan w:val="4"/>
          </w:tcPr>
          <w:p>
            <w:pPr>
              <w:jc w:val="center"/>
              <w:ind w:left="97"/>
              <w:spacing w:after="0" w:line="149" w:lineRule="exact"/>
              <w:rPr>
                <w:sz w:val="20"/>
                <w:szCs w:val="20"/>
                <w:color w:val="auto"/>
              </w:rPr>
            </w:pPr>
            <w:r>
              <w:rPr>
                <w:rFonts w:ascii="Times New Roman" w:cs="Times New Roman" w:eastAsia="Times New Roman" w:hAnsi="Times New Roman"/>
                <w:sz w:val="14"/>
                <w:szCs w:val="14"/>
                <w:b w:val="1"/>
                <w:bCs w:val="1"/>
                <w:color w:val="auto"/>
                <w:w w:val="93"/>
              </w:rPr>
              <w:t>Grant Date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20,751,829</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140,660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920,791 RSUs relating to dividend participation)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8,594,744</w:t>
            </w:r>
          </w:p>
        </w:tc>
        <w:tc>
          <w:tcPr>
            <w:tcW w:w="24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(581,411)</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Vested/Exchanged</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(7,284,031)</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21,481,131</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454,059 RSUs relating to dividend participation)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5,186,627</w:t>
            </w:r>
          </w:p>
        </w:tc>
        <w:tc>
          <w:tcPr>
            <w:tcW w:w="24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(268,900)</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(9,768,849)</w:t>
            </w:r>
          </w:p>
        </w:tc>
        <w:tc>
          <w:tcPr>
            <w:tcW w:w="24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16,630,009</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251,434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Granted (including 375,954 RSUs relating to dividend participation)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3,825,737</w:t>
            </w:r>
          </w:p>
        </w:tc>
        <w:tc>
          <w:tcPr>
            <w:tcW w:w="24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(344,345)</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(6,582,285)</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13,529,116</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286,227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During the years ended December 31, 2014, 2013 and 2012, 6,582,285, 9,768,849 and 7,284,031 RSUs vested or were exchanged, respectively (including,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2012, 1,523,642 RSUs that were exchanged for shares of restricted Class A common stock and 958,213 RSUs that were modified through forward purchase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agreements into a liability award of $28,612). As of the modification date in 2012, the Company recorded a liability in “accrued compensation and benefits”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$26,922 related to such liability award and an offsetting reduction to “members’ equity”. Such liability awards were settled on March 1, 2013 for $28,612. During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year ended December 31, 2013, compensation expense of $1,690 was recorded for such liability awards. In connection with the vested RSUs, the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satisfied its minimum statutory tax withholding requirements in lieu of issuing 1,896,930, 3,651,050 and 1,471,814 shares of Class A common stock in the years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2014, 2013 and 2012, respectively. Accordingly, 4,685,355, 6,117,799 and 3,330,362, shares of Class A common stock held by Lazard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were delivered during the years ended December 31, 2014, 2013 and 2012, respectively.</w:t>
      </w:r>
    </w:p>
    <w:p>
      <w:pPr>
        <w:spacing w:after="0" w:line="15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2014, estimated unrecognized RSU compensation expense was approximately $129,777, with such expense expected to be recognized over a weighted average period of approximately 0.8 years subsequent to December 31, 2014.</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00"/>
          </w:cols>
          <w:pgMar w:left="240" w:top="455" w:right="2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summary of activity related to shares of restricted Class A common stock associated with compensation arrangements during the three-year period ended December 31, 2014: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Weighted</w:t>
            </w:r>
          </w:p>
        </w:tc>
      </w:tr>
      <w:tr>
        <w:trPr>
          <w:trHeight w:val="149"/>
        </w:trPr>
        <w:tc>
          <w:tcPr>
            <w:tcW w:w="11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r>
      <w:tr>
        <w:trPr>
          <w:trHeight w:val="149"/>
        </w:trPr>
        <w:tc>
          <w:tcPr>
            <w:tcW w:w="116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0" w:type="dxa"/>
            <w:vAlign w:val="bottom"/>
            <w:gridSpan w:val="4"/>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5"/>
        </w:trPr>
        <w:tc>
          <w:tcPr>
            <w:tcW w:w="11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210"/>
        </w:trPr>
        <w:tc>
          <w:tcPr>
            <w:tcW w:w="116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Granted/Exchanged (a)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2,100,965</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(21,178)</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8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(202,510)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1,972,609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368,736</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(37,782)</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8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(1,728,509)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575,054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449,911</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(13,336)</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8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(281,802)</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729,827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8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3" w:lineRule="exact"/>
        <w:rPr>
          <w:sz w:val="20"/>
          <w:szCs w:val="20"/>
          <w:color w:val="auto"/>
        </w:rPr>
      </w:pPr>
    </w:p>
    <w:p>
      <w:pPr>
        <w:ind w:left="460" w:right="40" w:hanging="452"/>
        <w:spacing w:after="0" w:line="310" w:lineRule="auto"/>
        <w:tabs>
          <w:tab w:leader="none" w:pos="4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during the year ended December 31, 2012, as described above, 1,523,642 shares of restricted Class A common stock issued in exchange for 1,523,642 previously granted RSUs at a grant date fair value of $35.95 per share. The vesting terms of such restricted Class A common stock issued were substantially the same as those of the original awards exchanged. There was no incremental compensation cost incurred as a result of the exchanges.</w:t>
      </w:r>
    </w:p>
    <w:p>
      <w:pPr>
        <w:spacing w:after="0" w:line="97"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As mentioned above, during 2012, the Company exchanged 1,523,642 RSUs for shares of restricted Class A common stock.</w:t>
      </w:r>
    </w:p>
    <w:p>
      <w:pPr>
        <w:spacing w:after="0" w:line="17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shares of restricted Class A common stock that vested during the years ended December 31, 2014, 2013 and 2012, the Company satisfied its minimum statutory tax withholding requirements in lieu of delivering 43,905, 18,599 and 28,129 shares of Class A common stock during such respective years. Accordingly, 237,897, 1,709,910 and 174,381 shares of Class A common stock held by the Company were delivered during the years ended December 31, 2014, 2013 and 2012, respectively.</w:t>
      </w:r>
    </w:p>
    <w:p>
      <w:pPr>
        <w:spacing w:after="0" w:line="136" w:lineRule="exact"/>
        <w:rPr>
          <w:sz w:val="20"/>
          <w:szCs w:val="20"/>
          <w:color w:val="auto"/>
        </w:rPr>
      </w:pPr>
    </w:p>
    <w:p>
      <w:pPr>
        <w:jc w:val="both"/>
        <w:ind w:right="260" w:firstLine="456"/>
        <w:spacing w:after="0" w:line="310" w:lineRule="auto"/>
        <w:rPr>
          <w:sz w:val="20"/>
          <w:szCs w:val="20"/>
          <w:color w:val="auto"/>
        </w:rPr>
      </w:pPr>
      <w:r>
        <w:rPr>
          <w:rFonts w:ascii="Times New Roman" w:cs="Times New Roman" w:eastAsia="Times New Roman" w:hAnsi="Times New Roman"/>
          <w:sz w:val="16"/>
          <w:szCs w:val="16"/>
          <w:color w:val="auto"/>
        </w:rPr>
        <w:t>The restricted stock awards include a cash dividend participation right equivalent to any ordinary dividends paid on Class A common stock during the period, which will vest concurrently with the underlying restricted stock award. At December 31, 2014, estimated unrecognized restricted stock expense was approximately $11,025, with such expense to be recognized over a weighted average period of approximately 0.9 years subsequent to December 31, 2014.</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PRSUs</w:t>
      </w:r>
    </w:p>
    <w:p>
      <w:pPr>
        <w:spacing w:after="0" w:line="94"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PRSUs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80"/>
          </w:cols>
          <w:pgMar w:left="240" w:top="455" w:right="3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Class A common stock subject to each PRSU is one; however, based on the achievement of the performance criteria, the number of shares of Class A common stock that may be received in connection with each PRSU generally can range from zero to two times the target number (with the exception of the PRSUs granted in 2013, for which (i) the performance period ended on December 31, 2014 and (ii) the number of shares of Class A common stock that may be received is equal to approximately 2.2 times the target number). The PRSUs granted in 2014 will vest on a single date three years following the date of the grant and the PRSUs granted in 2013 will vest 33% in March 2015 and 67% in March 2016, in each case provided the applicable service and performance conditions are satisfied.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activity relating to PRSUs during the two-year period ended December 31, 2014: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5"/>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7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PRSUs</w:t>
            </w:r>
          </w:p>
        </w:tc>
        <w:tc>
          <w:tcPr>
            <w:tcW w:w="5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210"/>
        </w:trPr>
        <w:tc>
          <w:tcPr>
            <w:tcW w:w="920" w:type="dxa"/>
            <w:vAlign w:val="bottom"/>
          </w:tcPr>
          <w:p>
            <w:pPr>
              <w:spacing w:after="0"/>
              <w:rPr>
                <w:sz w:val="18"/>
                <w:szCs w:val="18"/>
                <w:color w:val="auto"/>
              </w:rPr>
            </w:pPr>
          </w:p>
        </w:tc>
        <w:tc>
          <w:tcPr>
            <w:tcW w:w="7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2013</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448,128</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448,128</w:t>
            </w: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360,783</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units earned (a)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538,237</w:t>
            </w: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1,347,148</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units earned during the period relate to PRSUs granted in 2013.</w:t>
      </w:r>
    </w:p>
    <w:p>
      <w:pPr>
        <w:spacing w:after="0" w:line="17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December 31, 2014, the total estimated unrecognized compensation expense was approximately $19,547, and the Company expects to amortize such expense over a weighted-average period of approximately 0.8 years subsequent to December 31, 2014.</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LFI and Other Similar Deferred Compensation Arrangements</w:t>
      </w:r>
    </w:p>
    <w:p>
      <w:pPr>
        <w:spacing w:after="0" w:line="9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00"/>
          </w:cols>
          <w:pgMar w:left="240" w:top="455" w:right="2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summary of activity relating to LFI and other similar deferred compensation arrangements during the years ended December 31, 2014 and 2013:</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2"/>
              </w:rPr>
              <w:t>Prepaid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80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r>
      <w:tr>
        <w:trPr>
          <w:trHeight w:val="165"/>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Liability</w:t>
            </w: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2014</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60,433</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92,728</w:t>
            </w:r>
          </w:p>
        </w:tc>
      </w:tr>
      <w:tr>
        <w:trPr>
          <w:trHeight w:val="230"/>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(55,880)</w:t>
            </w:r>
          </w:p>
        </w:tc>
      </w:tr>
      <w:tr>
        <w:trPr>
          <w:trHeight w:val="229"/>
        </w:trPr>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(2,634)</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(5,531)</w:t>
            </w:r>
          </w:p>
        </w:tc>
      </w:tr>
      <w:tr>
        <w:trPr>
          <w:trHeight w:val="217"/>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(76,508)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fair value of underlying investments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7,326</w:t>
            </w:r>
          </w:p>
        </w:tc>
      </w:tr>
      <w:tr>
        <w:trPr>
          <w:trHeight w:val="216"/>
        </w:trPr>
        <w:tc>
          <w:tcPr>
            <w:tcW w:w="7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8,748</w:t>
            </w:r>
          </w:p>
        </w:tc>
      </w:tr>
      <w:tr>
        <w:trPr>
          <w:trHeight w:val="216"/>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(2,507)</w:t>
            </w: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73,278</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207,306</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2"/>
        </w:trPr>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2"/>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780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r>
      <w:tr>
        <w:trPr>
          <w:trHeight w:val="165"/>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Liability</w:t>
            </w: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2013</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47,445</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72,217</w:t>
            </w:r>
          </w:p>
        </w:tc>
      </w:tr>
      <w:tr>
        <w:trPr>
          <w:trHeight w:val="230"/>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(24,006)</w:t>
            </w:r>
          </w:p>
        </w:tc>
      </w:tr>
      <w:tr>
        <w:trPr>
          <w:trHeight w:val="229"/>
        </w:trPr>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(1,544)</w:t>
            </w:r>
          </w:p>
        </w:tc>
      </w:tr>
      <w:tr>
        <w:trPr>
          <w:trHeight w:val="217"/>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(58,023)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fair value of underlying investments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14,099</w:t>
            </w:r>
          </w:p>
        </w:tc>
      </w:tr>
      <w:tr>
        <w:trPr>
          <w:trHeight w:val="216"/>
        </w:trPr>
        <w:tc>
          <w:tcPr>
            <w:tcW w:w="7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Adjustment for estimated forfeitures</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4,643</w:t>
            </w:r>
          </w:p>
        </w:tc>
      </w:tr>
      <w:tr>
        <w:trPr>
          <w:trHeight w:val="216"/>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60,433</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162,422</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amortization of the prepaid compensation asset will generally be recognized over a weighted average period of approximately 0.8 years subsequent to December 31, 2014.</w:t>
      </w:r>
    </w:p>
    <w:p>
      <w:pPr>
        <w:spacing w:after="0" w:line="12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impact of LFI and other similar deferred compensation arrangements on “compensation and benefits” expense within the accompanying consolidated statements of operations for the years ended December 31, 2014, 2013 and 2012:</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160" w:type="dxa"/>
            <w:vAlign w:val="bottom"/>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Pr>
          <w:p>
            <w:pPr>
              <w:spacing w:after="0"/>
              <w:rPr>
                <w:sz w:val="12"/>
                <w:szCs w:val="12"/>
                <w:color w:val="auto"/>
              </w:rPr>
            </w:pPr>
          </w:p>
        </w:tc>
        <w:tc>
          <w:tcPr>
            <w:tcW w:w="660" w:type="dxa"/>
            <w:vAlign w:val="bottom"/>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net of forfeitures (a)</w:t>
            </w:r>
          </w:p>
        </w:tc>
        <w:tc>
          <w:tcPr>
            <w:tcW w:w="10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$82,359</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$62,197</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$41,209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Change in the fair value of underlying investments</w:t>
            </w:r>
          </w:p>
        </w:tc>
        <w:tc>
          <w:tcPr>
            <w:tcW w:w="10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5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14,099</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89,685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76,296</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48,766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hanging="452"/>
        <w:spacing w:after="0" w:line="275" w:lineRule="auto"/>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charges relating to the cost saving initiatives for the years ended December 31, 2013 and 2012, of $2,665 and $3,495, respectively (See Note 16 of Notes to Consolidated Financial Statements).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80"/>
          </w:cols>
          <w:pgMar w:left="240" w:top="455" w:right="27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Incentive Awards Granted In February 2015</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February 2015, the Company granted approximately $306,000 of deferred incentive compensation awards (excluding PRSUs) to eligible employees. These grants included: RSUs or shares of restricted Class A common stock; deferred incentive compensation awards that allow eligible employees the choice of receiving a portion of their award in a combination of (i) LFI and (ii) additional RSUs or shares of restricted Class A common stock; deferred cash awards; and a portion of fund managers’ year-end incentive compensation that is reinvested in certain asset management funds. In addition, the Company granted approximately $19,000 of PRSUs (valued at the target payout level).</w:t>
      </w:r>
    </w:p>
    <w:p>
      <w:pPr>
        <w:spacing w:after="0" w:line="13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RSUs, restricted Class A common stock and LFI granted each provide for one-third vesting on or around March 1, 2017 and the remaining two-thirds vesting on or around March 1, 2018. The PRSUs granted provide for vesting on or around March 1, 2018, provided that the applicable service and performance conditions are satisfied, and will convert into Class A common stock within a range equal to zero to two times the target number of shares of Class A common stock subject to the awards. Compensation expense with respect to such incentive awards will generally be recognized over the vesting period, with such compensation expense to be recognized over a weighted average period of approximately 2.7 years.</w:t>
      </w:r>
    </w:p>
    <w:p>
      <w:pPr>
        <w:spacing w:after="0" w:line="256" w:lineRule="exact"/>
        <w:rPr>
          <w:sz w:val="20"/>
          <w:szCs w:val="20"/>
          <w:color w:val="auto"/>
        </w:rPr>
      </w:pPr>
    </w:p>
    <w:p>
      <w:pPr>
        <w:ind w:left="460" w:hanging="452"/>
        <w:spacing w:after="0"/>
        <w:tabs>
          <w:tab w:leader="none" w:pos="460" w:val="left"/>
        </w:tabs>
        <w:numPr>
          <w:ilvl w:val="0"/>
          <w:numId w:val="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 PLANS</w:t>
      </w:r>
    </w:p>
    <w:p>
      <w:pPr>
        <w:spacing w:after="0" w:line="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Assumptions for the valuation of benefit plan obligations include the life expectancy of the plans’ participants. During 2014, the Society of Actuaries (“SOA”) published new mortality tables to reflect current actuarial expectations of life expectancy in the U.S. On December 31, 2014, the Company incorporated the new mortality tables, which show longer life expectancy, into its valuation assumptions for the U.S. benefit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34" w:lineRule="exact"/>
        <w:rPr>
          <w:sz w:val="20"/>
          <w:szCs w:val="20"/>
          <w:color w:val="auto"/>
        </w:rPr>
      </w:pPr>
    </w:p>
    <w:p>
      <w:pPr>
        <w:ind w:right="10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Employer Contributions to Pension Plans</w:t>
      </w:r>
      <w:r>
        <w:rPr>
          <w:rFonts w:ascii="Times New Roman" w:cs="Times New Roman" w:eastAsia="Times New Roman" w:hAnsi="Times New Roman"/>
          <w:sz w:val="18"/>
          <w:szCs w:val="18"/>
          <w:color w:val="auto"/>
        </w:rPr>
        <w:t>—The Company’s funding policy for its U.S. and non-U.S. pension plans is to fund when required or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upon an agreement with the plans’ trustees (the “Trustees”). Management also evaluates from time to time whether to make voluntary contributions to the plans.</w:t>
      </w:r>
    </w:p>
    <w:p>
      <w:pPr>
        <w:spacing w:after="0" w:line="129"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pursuant to which the Company agreed to make plan contributions of 1 million British pounds during each year from 2012 through 2020 inclusive and to make annual contributions of 1 million British pounds into an account security arrangement during each year from 2014 through 2020 inclusive.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first of which is underway. The aggregate amount in the account security arrangement was approximately $17,500 and $16,900 at December 31, 2014 and 2013, respectively, and has been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recorded in “cash deposited with clearing organizations and other segregated cash” on the accompanying consolidated statements of financial condition. Income on the account security arrangement accretes to the Company and is recorded in interest income.</w:t>
      </w:r>
    </w:p>
    <w:p>
      <w:pPr>
        <w:spacing w:after="0" w:line="12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Company does not expect to make a contribution to the U.S. pension plans during the year ending December 31, 2015. The Company expects to contribute approximately $1,600 to the U.K. pension plans and approximately $4,200 to the other non-U.S. pension plans during the year ending December 31, 2015.</w:t>
      </w:r>
    </w:p>
    <w:p>
      <w:pPr>
        <w:spacing w:after="0" w:line="132"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summarizes the changes in the benefit obligations, the fair value of the assets, the funded status and amounts recognized in the consolidated statements of financial condition for the post-retirement plans. The Company uses December 31 as the measurement date for its post-retirement plans.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709,850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656,025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(29,663)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w w:val="97"/>
              </w:rPr>
              <w:t>(23,258)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(44,525)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764,169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709,850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643,844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607,705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(28,877)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97"/>
              </w:rPr>
              <w:t>(23,258)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(41,868)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672,576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643,844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Funded (deficit)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(91,593</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(66,006</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(5,514</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(5,080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Amounts recognized in the consolidated statements of financial condition at December 31, 2014 and 2013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consist of:</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pension asset (included in “other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benefit liability (included in “other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(91,593)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97"/>
              </w:rPr>
              <w:t>(66,154)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5"/>
              </w:rPr>
              <w:t>(5,514)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(5,080)</w:t>
            </w: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(91,593</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(66,006</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(5,514</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(5,080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Amounts recognized in AOCI (excluding tax benefits of $37,567 and $30,448 at December 31, 2014 and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2013, respectively) consist of:</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Actuarial net loss (gain)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186,637</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159,575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Prior service 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191,872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168,476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558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fair value of plan assets, the accumulated benefit obligation and the projected benefit obligation at December 31, 2014 and 2013: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U.S. Pension Plans</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Non-U.S. Pension Plans</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5"/>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3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r>
      <w:tr>
        <w:trPr>
          <w:trHeight w:val="142"/>
        </w:trPr>
        <w:tc>
          <w:tcPr>
            <w:tcW w:w="4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980" w:type="dxa"/>
            <w:vAlign w:val="bottom"/>
            <w:tcBorders>
              <w:top w:val="single" w:sz="8" w:color="auto"/>
            </w:tcBorders>
            <w:gridSpan w:val="2"/>
          </w:tcPr>
          <w:p>
            <w:pPr>
              <w:jc w:val="center"/>
              <w:ind w:left="24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100" w:type="dxa"/>
            <w:vAlign w:val="bottom"/>
          </w:tcPr>
          <w:p>
            <w:pPr>
              <w:spacing w:after="0"/>
              <w:rPr>
                <w:sz w:val="12"/>
                <w:szCs w:val="12"/>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$26,766</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$26,200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$645,810</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$617,644</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$672,576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$643,844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720" w:type="dxa"/>
            <w:vAlign w:val="bottom"/>
            <w:gridSpan w:val="3"/>
          </w:tcPr>
          <w:p>
            <w:pPr>
              <w:jc w:val="center"/>
              <w:ind w:left="1432"/>
              <w:spacing w:after="0"/>
              <w:rPr>
                <w:sz w:val="20"/>
                <w:szCs w:val="20"/>
                <w:color w:val="auto"/>
              </w:rPr>
            </w:pPr>
            <w:r>
              <w:rPr>
                <w:rFonts w:ascii="Times New Roman" w:cs="Times New Roman" w:eastAsia="Times New Roman" w:hAnsi="Times New Roman"/>
                <w:sz w:val="18"/>
                <w:szCs w:val="18"/>
                <w:color w:val="auto"/>
              </w:rPr>
              <w:t>$37,035</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$29,427</w:t>
            </w:r>
          </w:p>
        </w:tc>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$727,134</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$680,423</w:t>
            </w:r>
          </w:p>
        </w:tc>
        <w:tc>
          <w:tcPr>
            <w:tcW w:w="98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rPr>
              <w:t>$764,169</w:t>
            </w:r>
          </w:p>
        </w:tc>
        <w:tc>
          <w:tcPr>
            <w:tcW w:w="980" w:type="dxa"/>
            <w:vAlign w:val="bottom"/>
            <w:gridSpan w:val="2"/>
          </w:tcPr>
          <w:p>
            <w:pPr>
              <w:jc w:val="center"/>
              <w:ind w:left="242"/>
              <w:spacing w:after="0"/>
              <w:rPr>
                <w:sz w:val="20"/>
                <w:szCs w:val="20"/>
                <w:color w:val="auto"/>
              </w:rPr>
            </w:pPr>
            <w:r>
              <w:rPr>
                <w:rFonts w:ascii="Times New Roman" w:cs="Times New Roman" w:eastAsia="Times New Roman" w:hAnsi="Times New Roman"/>
                <w:sz w:val="18"/>
                <w:szCs w:val="18"/>
                <w:color w:val="auto"/>
                <w:w w:val="97"/>
              </w:rPr>
              <w:t>$709,850</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720" w:type="dxa"/>
            <w:vAlign w:val="bottom"/>
            <w:gridSpan w:val="3"/>
            <w:shd w:val="clear" w:color="auto" w:fill="CCEEFF"/>
          </w:tcPr>
          <w:p>
            <w:pPr>
              <w:jc w:val="center"/>
              <w:ind w:left="1432"/>
              <w:spacing w:after="0"/>
              <w:rPr>
                <w:sz w:val="20"/>
                <w:szCs w:val="20"/>
                <w:color w:val="auto"/>
              </w:rPr>
            </w:pPr>
            <w:r>
              <w:rPr>
                <w:rFonts w:ascii="Times New Roman" w:cs="Times New Roman" w:eastAsia="Times New Roman" w:hAnsi="Times New Roman"/>
                <w:sz w:val="18"/>
                <w:szCs w:val="18"/>
                <w:color w:val="auto"/>
              </w:rPr>
              <w:t>$37,035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$29,427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$727,134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$680,423</w:t>
            </w:r>
          </w:p>
        </w:tc>
        <w:tc>
          <w:tcPr>
            <w:tcW w:w="98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$764,169</w:t>
            </w:r>
          </w:p>
        </w:tc>
        <w:tc>
          <w:tcPr>
            <w:tcW w:w="980" w:type="dxa"/>
            <w:vAlign w:val="bottom"/>
            <w:gridSpan w:val="2"/>
            <w:shd w:val="clear" w:color="auto" w:fill="CCEEFF"/>
          </w:tcPr>
          <w:p>
            <w:pPr>
              <w:jc w:val="center"/>
              <w:ind w:left="242"/>
              <w:spacing w:after="0"/>
              <w:rPr>
                <w:sz w:val="20"/>
                <w:szCs w:val="20"/>
                <w:color w:val="auto"/>
              </w:rPr>
            </w:pPr>
            <w:r>
              <w:rPr>
                <w:rFonts w:ascii="Times New Roman" w:cs="Times New Roman" w:eastAsia="Times New Roman" w:hAnsi="Times New Roman"/>
                <w:sz w:val="18"/>
                <w:szCs w:val="18"/>
                <w:color w:val="auto"/>
                <w:w w:val="97"/>
              </w:rPr>
              <w:t>$709,850</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both"/>
        <w:ind w:right="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components of net periodic benefit cost (credit), the return on the Company’s post-retirement plan assets, benefits paid, contributions and other amounts recognized in AOCI for the years ended December 31, 2014, 2013 and 2012: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Pension Plans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Medical Plan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For The Year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8"/>
          </w:tcPr>
          <w:p>
            <w:pPr>
              <w:jc w:val="center"/>
              <w:ind w:left="236"/>
              <w:spacing w:after="0" w:line="149" w:lineRule="exact"/>
              <w:rPr>
                <w:sz w:val="20"/>
                <w:szCs w:val="20"/>
                <w:color w:val="auto"/>
              </w:rPr>
            </w:pPr>
            <w:r>
              <w:rPr>
                <w:rFonts w:ascii="Times New Roman" w:cs="Times New Roman" w:eastAsia="Times New Roman" w:hAnsi="Times New Roman"/>
                <w:sz w:val="14"/>
                <w:szCs w:val="14"/>
                <w:b w:val="1"/>
                <w:bCs w:val="1"/>
                <w:color w:val="auto"/>
                <w:w w:val="95"/>
              </w:rPr>
              <w:t>For The Year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Net Periodic Benefit Cost (Credit):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30,041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27,636</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tcPr>
          <w:p>
            <w:pPr>
              <w:spacing w:after="0"/>
              <w:rPr>
                <w:sz w:val="18"/>
                <w:szCs w:val="18"/>
                <w:color w:val="auto"/>
              </w:rPr>
            </w:pPr>
          </w:p>
        </w:tc>
        <w:tc>
          <w:tcPr>
            <w:tcW w:w="7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7"/>
              </w:rPr>
              <w:t>(32,607)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(27,078)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(26,657)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Prior service cost</w:t>
            </w:r>
          </w:p>
        </w:tc>
        <w:tc>
          <w:tcPr>
            <w:tcW w:w="100" w:type="dxa"/>
            <w:vAlign w:val="bottom"/>
          </w:tcPr>
          <w:p>
            <w:pPr>
              <w:spacing w:after="0"/>
              <w:rPr>
                <w:sz w:val="18"/>
                <w:szCs w:val="18"/>
                <w:color w:val="auto"/>
              </w:rPr>
            </w:pPr>
          </w:p>
        </w:tc>
        <w:tc>
          <w:tcPr>
            <w:tcW w:w="7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2,841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actuarial loss (gain)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4,360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loss (a)</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gridSpan w:val="2"/>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91,829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41,353</w:t>
            </w:r>
          </w:p>
        </w:tc>
        <w:tc>
          <w:tcPr>
            <w:tcW w:w="2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33,882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7,648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8,221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28,877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23,258</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26,420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Other changes in plan assets and benefit obligations recognized in AOCI (excluding</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benefit of $7,119, $4,459 and $11,805 during the years ended December 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2014, 2013 and 2012, respectively):</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actuarial (gain)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41,082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17,251</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50,209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Reclassification of prior service (cost) credit to earnings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Reclassification of actuarial gain (loss) to earnings</w:t>
            </w:r>
          </w:p>
        </w:tc>
        <w:tc>
          <w:tcPr>
            <w:tcW w:w="100" w:type="dxa"/>
            <w:vAlign w:val="bottom"/>
          </w:tcPr>
          <w:p>
            <w:pPr>
              <w:spacing w:after="0"/>
              <w:rPr>
                <w:sz w:val="18"/>
                <w:szCs w:val="18"/>
                <w:color w:val="auto"/>
              </w:rPr>
            </w:pPr>
          </w:p>
        </w:tc>
        <w:tc>
          <w:tcPr>
            <w:tcW w:w="7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(4,360)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Currency translation and other adjustments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7"/>
              </w:rPr>
              <w:t>(10,485)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recognized in AOCI</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47,394</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recognized in total periodic benefit cost and AOCI</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29,002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54,587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520" w:hanging="452"/>
        <w:spacing w:after="0" w:line="275" w:lineRule="auto"/>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2012, the Company’s pension plans in the U.S. made lump sum benefit payments in excess of the plans’ annual service and interest costs, which, under U.S. GAAP, requires that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455"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left="460" w:right="180"/>
        <w:spacing w:after="0" w:line="262" w:lineRule="auto"/>
        <w:rPr>
          <w:sz w:val="20"/>
          <w:szCs w:val="20"/>
          <w:color w:val="auto"/>
        </w:rPr>
      </w:pPr>
      <w:r>
        <w:rPr>
          <w:rFonts w:ascii="Times New Roman" w:cs="Times New Roman" w:eastAsia="Times New Roman" w:hAnsi="Times New Roman"/>
          <w:sz w:val="18"/>
          <w:szCs w:val="18"/>
          <w:color w:val="auto"/>
        </w:rPr>
        <w:t>the plans’ obligations and assets be remeasured. The remeasurement of the plans resulted in the recognition of actuarial losses totaling $2,167 recorded in “other comprehensive income (loss), net of tax” (“OCI”), which, combined with a settlement loss of $1,135 recognized in “compensation and benefits” expense, resulted in a net charge to OCI of $1,032.</w:t>
      </w:r>
    </w:p>
    <w:p>
      <w:pPr>
        <w:spacing w:after="0" w:line="13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amounts in AOCI on the consolidated statement of financial condition as of December 31, 2014 that are expected to be recognized as components of net periodic benefit cost (credit) for the year ending December 31, 2015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9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Medical</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5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1"/>
              </w:rPr>
              <w:t>Plans</w:t>
            </w:r>
          </w:p>
        </w:tc>
        <w:tc>
          <w:tcPr>
            <w:tcW w:w="100" w:type="dxa"/>
            <w:vAlign w:val="bottom"/>
          </w:tcPr>
          <w:p>
            <w:pPr>
              <w:spacing w:after="0"/>
              <w:rPr>
                <w:sz w:val="14"/>
                <w:szCs w:val="14"/>
                <w:color w:val="auto"/>
              </w:rPr>
            </w:pPr>
          </w:p>
        </w:tc>
        <w:tc>
          <w:tcPr>
            <w:tcW w:w="8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3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$2,600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actuarial loss (gain)</w:t>
            </w:r>
          </w:p>
        </w:tc>
        <w:tc>
          <w:tcPr>
            <w:tcW w:w="4560" w:type="dxa"/>
            <w:vAlign w:val="bottom"/>
            <w:gridSpan w:val="3"/>
          </w:tcPr>
          <w:p>
            <w:pPr>
              <w:jc w:val="center"/>
              <w:ind w:left="3092"/>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tcPr>
          <w:p>
            <w:pPr>
              <w:spacing w:after="0"/>
              <w:rPr>
                <w:sz w:val="19"/>
                <w:szCs w:val="19"/>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assumptions used to develop actuarial present value of the projected benefit obligation and net periodic pension cost as of or for the years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2013 and 2012 are set forth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Medical Plan</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7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4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Pr>
          <w:p>
            <w:pPr>
              <w:spacing w:after="0"/>
              <w:rPr>
                <w:sz w:val="12"/>
                <w:szCs w:val="12"/>
                <w:color w:val="auto"/>
              </w:rPr>
            </w:pPr>
          </w:p>
        </w:tc>
        <w:tc>
          <w:tcPr>
            <w:tcW w:w="68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assumptions used to determine benefit obligations:</w:t>
            </w: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Discount rate</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3.4%</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0"/>
              </w:rPr>
              <w:t>4.3%</w:t>
            </w:r>
          </w:p>
        </w:tc>
        <w:tc>
          <w:tcPr>
            <w:tcW w:w="3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assumptions used to determine net periodic benefit cost:</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Discount rate</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0"/>
              </w:rPr>
              <w:t>3.3%</w:t>
            </w:r>
          </w:p>
        </w:tc>
        <w:tc>
          <w:tcPr>
            <w:tcW w:w="3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5.1%</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0"/>
              </w:rPr>
              <w:t>4.7%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Healthcare cost trend rates used to determine net periodic benefit cost:</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Initial</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Ultimate</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Year ultimate trend rate achieved</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12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historical returns. This basis is consistent for all years presented.</w:t>
      </w:r>
    </w:p>
    <w:p>
      <w:pPr>
        <w:spacing w:after="0" w:line="13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assumed cost of healthcare has an effect on the amounts reported for the Company’s medical plan. A 1% change in the assumed healthcare cost trend rate would increase (decrease) our cost and obligation as follows: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28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1% Decrease</w:t>
            </w:r>
          </w:p>
        </w:tc>
      </w:tr>
      <w:tr>
        <w:trPr>
          <w:trHeight w:val="142"/>
        </w:trPr>
        <w:tc>
          <w:tcPr>
            <w:tcW w:w="28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8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2"/>
                <w:szCs w:val="12"/>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4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2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Obligation</w:t>
            </w:r>
          </w:p>
        </w:tc>
        <w:tc>
          <w:tcPr>
            <w:tcW w:w="4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779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675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2"/>
              </w:rPr>
              <w:t>(580)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2"/>
              </w:rPr>
              <w:t>(494)</w:t>
            </w:r>
          </w:p>
        </w:tc>
      </w:tr>
      <w:tr>
        <w:trPr>
          <w:trHeight w:val="350"/>
        </w:trPr>
        <w:tc>
          <w:tcPr>
            <w:tcW w:w="2880" w:type="dxa"/>
            <w:vAlign w:val="bottom"/>
          </w:tcPr>
          <w:p>
            <w:pPr>
              <w:spacing w:after="0"/>
              <w:rPr>
                <w:sz w:val="24"/>
                <w:szCs w:val="24"/>
                <w:color w:val="auto"/>
              </w:rPr>
            </w:pPr>
          </w:p>
        </w:tc>
        <w:tc>
          <w:tcPr>
            <w:tcW w:w="4360" w:type="dxa"/>
            <w:vAlign w:val="bottom"/>
          </w:tcPr>
          <w:p>
            <w:pPr>
              <w:jc w:val="right"/>
              <w:ind w:right="1892"/>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Expected Benefit Payments</w:t>
      </w:r>
      <w:r>
        <w:rPr>
          <w:rFonts w:ascii="Times New Roman" w:cs="Times New Roman" w:eastAsia="Times New Roman" w:hAnsi="Times New Roman"/>
          <w:sz w:val="18"/>
          <w:szCs w:val="18"/>
          <w:color w:val="auto"/>
        </w:rPr>
        <w:t>—The following table summarizes the expected benefit payments for the Company’s post-retirement plans for each of the next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five fiscal years and in the aggregate for the five fiscal years thereafter:</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460" w:type="dxa"/>
            <w:vAlign w:val="bottom"/>
          </w:tcPr>
          <w:p>
            <w:pPr>
              <w:spacing w:after="0"/>
              <w:rPr>
                <w:sz w:val="13"/>
                <w:szCs w:val="13"/>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Medical</w:t>
            </w:r>
          </w:p>
        </w:tc>
      </w:tr>
      <w:tr>
        <w:trPr>
          <w:trHeight w:val="165"/>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6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Plan</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3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$ 24,059</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2020-2024</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160,294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80" w:type="dxa"/>
            <w:vAlign w:val="bottom"/>
          </w:tcPr>
          <w:p>
            <w:pPr>
              <w:spacing w:after="0"/>
              <w:rPr>
                <w:sz w:val="19"/>
                <w:szCs w:val="19"/>
                <w:color w:val="auto"/>
              </w:rPr>
            </w:pPr>
          </w:p>
        </w:tc>
      </w:tr>
    </w:tbl>
    <w:p>
      <w:pPr>
        <w:spacing w:after="0" w:line="131"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Plan Assets</w:t>
      </w:r>
      <w:r>
        <w:rPr>
          <w:rFonts w:ascii="Times New Roman" w:cs="Times New Roman" w:eastAsia="Times New Roman" w:hAnsi="Times New Roman"/>
          <w:sz w:val="18"/>
          <w:szCs w:val="18"/>
          <w:color w:val="auto"/>
        </w:rPr>
        <w:t>—The following tables present the categorization of our pension plans’ assets as of December 31, 2014 and 2013, measured at fair value, into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value hierarchy in accordance with fair value measurement disclosure requirements: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176"/>
        </w:trPr>
        <w:tc>
          <w:tcPr>
            <w:tcW w:w="114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6"/>
              </w:rPr>
              <w:t>Asset Category</w:t>
            </w:r>
          </w:p>
        </w:tc>
        <w:tc>
          <w:tcPr>
            <w:tcW w:w="31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52,439</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Equities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31,253</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Funds: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Alternative investments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357,522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372,885</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Equity</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194,898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201,434</w:t>
            </w:r>
          </w:p>
        </w:tc>
        <w:tc>
          <w:tcPr>
            <w:tcW w:w="100" w:type="dxa"/>
            <w:vAlign w:val="bottom"/>
          </w:tcPr>
          <w:p>
            <w:pPr>
              <w:spacing w:after="0"/>
              <w:rPr>
                <w:sz w:val="19"/>
                <w:szCs w:val="19"/>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305,843</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364,362</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2,371</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672,576</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1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176"/>
        </w:trPr>
        <w:tc>
          <w:tcPr>
            <w:tcW w:w="114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6"/>
              </w:rPr>
              <w:t>Asset Category</w:t>
            </w:r>
          </w:p>
        </w:tc>
        <w:tc>
          <w:tcPr>
            <w:tcW w:w="314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43,764</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Equities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Funds: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Alternative investments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44,728</w:t>
            </w:r>
          </w:p>
        </w:tc>
        <w:tc>
          <w:tcPr>
            <w:tcW w:w="10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323,812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337,976</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Equity</w:t>
            </w:r>
          </w:p>
        </w:tc>
        <w:tc>
          <w:tcPr>
            <w:tcW w:w="2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183,779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183,779</w:t>
            </w:r>
          </w:p>
        </w:tc>
        <w:tc>
          <w:tcPr>
            <w:tcW w:w="100" w:type="dxa"/>
            <w:vAlign w:val="bottom"/>
          </w:tcPr>
          <w:p>
            <w:pPr>
              <w:spacing w:after="0"/>
              <w:rPr>
                <w:sz w:val="19"/>
                <w:szCs w:val="19"/>
                <w:color w:val="auto"/>
              </w:rPr>
            </w:pPr>
          </w:p>
        </w:tc>
      </w:tr>
      <w:tr>
        <w:trPr>
          <w:trHeight w:val="216"/>
        </w:trPr>
        <w:tc>
          <w:tcPr>
            <w:tcW w:w="4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273,989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366,935</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2,920</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643,844</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Activity in the fair value of the pension plans’ Level 3 debt and alternative investment funds for the years ended December 31, 2014 and 2013 consisted of net unrealized/realized gains (losses) of $(379) and $434, respectively and favorable (unfavorable) foreign currency translation adjustments of $(170) and $58, respectively.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Included in Level 1 and 2 equity funds are $70,490 and $81,633 as of December 31, 2014 and 2013, respectively, that are invested in funds managed by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60"/>
          </w:cols>
          <w:pgMar w:left="240" w:top="455" w:right="29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Consistent with the plans’ investment strategies, at December 31, 2014 and 2013, the Company’s U.S. pension plan had 49% and 54%, respectively, of the plans’ assets invested in Level 1 and Level 2 equity funds and 51% and 46%, respectively, invested in Level 1 debt funds. The Company’s non-U.S. pension plans at December 31, 2014 and 2013 had 34% and 32%, respectively, of the plans’ assets invested in equities and equity funds that are primarily Level 1 assets; 64% and 60%, respectively of the plans’ assets invested in debt and debt funds that are primarily Level 2 assets, and 2% and 8%, respectively, of the plans’ assets invested in cash, which is a Level 1 asset, or in alternative investment funds that are primarily Level 1 and Level 2 assets.</w:t>
      </w:r>
    </w:p>
    <w:p>
      <w:pPr>
        <w:spacing w:after="0" w:line="13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Investment Policies and Strategies</w:t>
      </w:r>
      <w:r>
        <w:rPr>
          <w:rFonts w:ascii="Times New Roman" w:cs="Times New Roman" w:eastAsia="Times New Roman" w:hAnsi="Times New Roman"/>
          <w:sz w:val="18"/>
          <w:szCs w:val="18"/>
          <w:color w:val="auto"/>
        </w:rPr>
        <w:t>—The primary investment goal is to ensure that the plans remain well funded, taking account of the likely future risks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returns and contributions. As a result, a portfolio of assets is maintained with appropriate liquidity and diversification that can be expected to generate long-term future returns that minimize the long-term costs of the pension plans without exposing the trust to an unacceptable risk of under-funding. The Company’s likely future ability to pay such contributions as are required to maintain the funded status of the plans over a reasonable time period is considered when determining the level of risk that is appropriate. The fair value of plan investments classified as Level 1 assets are based on market quotes. The fair value of plan assets classified as Level 2 assets are primarily valued based on inputs other than quoted prices that are directly observable or derived principally from, or corroborated by, market data. The fair value of plan investments classified as Level 3 assets are primarily based on NAV determined based on information provided by external fund administrators.</w:t>
      </w:r>
    </w:p>
    <w:p>
      <w:pPr>
        <w:spacing w:after="0" w:line="138" w:lineRule="exact"/>
        <w:rPr>
          <w:sz w:val="20"/>
          <w:szCs w:val="20"/>
          <w:color w:val="auto"/>
        </w:rPr>
      </w:pPr>
    </w:p>
    <w:p>
      <w:pPr>
        <w:ind w:right="36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r>
        <w:rPr>
          <w:rFonts w:ascii="Times New Roman" w:cs="Times New Roman" w:eastAsia="Times New Roman" w:hAnsi="Times New Roman"/>
          <w:sz w:val="18"/>
          <w:szCs w:val="18"/>
          <w:color w:val="auto"/>
        </w:rPr>
        <w:t>—Pursuant to certain matching contributions, the Company contributes to employer sponsored defined contribution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contributions amounted to $11,904, $11,778 and $13,070 for the years ended December 31, 2014, 2013 and 2012, respectively, which are included in “compensation and benefits” expense on the consolidated statements of operations.</w:t>
      </w:r>
    </w:p>
    <w:p>
      <w:pPr>
        <w:spacing w:after="0" w:line="246" w:lineRule="exact"/>
        <w:rPr>
          <w:sz w:val="20"/>
          <w:szCs w:val="20"/>
          <w:color w:val="auto"/>
        </w:rPr>
      </w:pPr>
    </w:p>
    <w:p>
      <w:pPr>
        <w:ind w:left="460" w:hanging="452"/>
        <w:spacing w:after="0"/>
        <w:tabs>
          <w:tab w:leader="none" w:pos="460" w:val="left"/>
        </w:tabs>
        <w:numPr>
          <w:ilvl w:val="0"/>
          <w:numId w:val="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SAVING INITIATIVES</w:t>
      </w:r>
    </w:p>
    <w:p>
      <w:pPr>
        <w:spacing w:after="0" w:line="9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October 2012, the Company announced cost saving initiatives (the “Cost Saving Initiatives”) relating to the Company’s operations. These initiatives included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Expenses associated with the implementation of the Cost Saving Initiatives were completed during the year ended December 31, 2013. The Company incurred these expenses, by segment, as reflected in the tables below:</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58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Advisory</w:t>
            </w:r>
          </w:p>
        </w:tc>
        <w:tc>
          <w:tcPr>
            <w:tcW w:w="60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Management</w:t>
            </w:r>
          </w:p>
        </w:tc>
        <w:tc>
          <w:tcPr>
            <w:tcW w:w="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2013:</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45,746</w:t>
            </w:r>
          </w:p>
        </w:tc>
        <w:tc>
          <w:tcPr>
            <w:tcW w:w="76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4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  5,417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51,399</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11,272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100" w:type="dxa"/>
            <w:vAlign w:val="bottom"/>
            <w:shd w:val="clear" w:color="auto" w:fill="CCEEFF"/>
          </w:tcPr>
          <w:p>
            <w:pPr>
              <w:spacing w:after="0"/>
              <w:rPr>
                <w:sz w:val="18"/>
                <w:szCs w:val="18"/>
                <w:color w:val="auto"/>
              </w:rPr>
            </w:pP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47,779</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$ 16,689</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64,703</w:t>
            </w: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2"/>
        </w:trPr>
        <w:tc>
          <w:tcPr>
            <w:tcW w:w="588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5"/>
        </w:trPr>
        <w:tc>
          <w:tcPr>
            <w:tcW w:w="58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Advisory</w:t>
            </w:r>
          </w:p>
        </w:tc>
        <w:tc>
          <w:tcPr>
            <w:tcW w:w="60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Management</w:t>
            </w:r>
          </w:p>
        </w:tc>
        <w:tc>
          <w:tcPr>
            <w:tcW w:w="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0"/>
        </w:trPr>
        <w:tc>
          <w:tcPr>
            <w:tcW w:w="58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Cumulative October 2012 Through</w:t>
            </w: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2"/>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$121,879</w:t>
            </w:r>
          </w:p>
        </w:tc>
        <w:tc>
          <w:tcPr>
            <w:tcW w:w="76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34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$ 17,215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151,386</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11,729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15,893</w:t>
            </w:r>
          </w:p>
        </w:tc>
        <w:tc>
          <w:tcPr>
            <w:tcW w:w="100" w:type="dxa"/>
            <w:vAlign w:val="bottom"/>
            <w:shd w:val="clear" w:color="auto" w:fill="CCEEFF"/>
          </w:tcPr>
          <w:p>
            <w:pPr>
              <w:spacing w:after="0"/>
              <w:rPr>
                <w:sz w:val="18"/>
                <w:szCs w:val="18"/>
                <w:color w:val="auto"/>
              </w:rPr>
            </w:pP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1"/>
              </w:rPr>
              <w:t>$ 125,311</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$ 28,944</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167,279</w:t>
            </w: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Activity related to the obligations pursuant to the Cost Saving Initiatives during 2014 was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59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598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and Benefits</w:t>
            </w:r>
          </w:p>
        </w:tc>
        <w:tc>
          <w:tcPr>
            <w:tcW w:w="32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2014</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5,356</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Settlements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(11,651)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5"/>
              </w:rPr>
              <w:t>(1,050)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(12,701)</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4,306</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ind w:left="460" w:hanging="452"/>
        <w:spacing w:after="0"/>
        <w:tabs>
          <w:tab w:leader="none" w:pos="46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 foreign jurisdictions. Lazard Group is also subject to UBT attributable to its operations apportioned to New York City.</w:t>
      </w:r>
    </w:p>
    <w:p>
      <w:pPr>
        <w:spacing w:after="0" w:line="139"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Substantially all of Lazard’s operations outside the U.S. are conducted in “pass-through” entities for U.S. income tax purposes. The Company provides for U.S. income taxes on a current basis for the relevant portion of those earnings. The repatriation of prior earnings attributable to “non-pass-through” entities would not result in the recognition of a material amount of additional U.S. income taxes.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80"/>
          </w:cols>
          <w:pgMar w:left="240" w:top="455" w:right="2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components of the Company’s provision (benefit) for income taxes for the years ended December 31, 2014, 2013 and 2012, and a reconciliation of the U.S. federal statutory income tax rate to the Company’s effective tax rates for such years, are shown below.</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5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1060" w:type="dxa"/>
            <w:vAlign w:val="bottom"/>
            <w:gridSpan w:val="2"/>
          </w:tcPr>
          <w:p>
            <w:pPr>
              <w:jc w:val="center"/>
              <w:ind w:left="3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tcPr>
          <w:p>
            <w:pPr>
              <w:spacing w:after="0"/>
              <w:rPr>
                <w:sz w:val="18"/>
                <w:szCs w:val="18"/>
                <w:color w:val="auto"/>
              </w:rPr>
            </w:pPr>
          </w:p>
        </w:tc>
        <w:tc>
          <w:tcPr>
            <w:tcW w:w="16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 (4,681)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59,296</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34,637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26,676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and local (primarily UBT)</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65,082</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35,517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31,749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16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160" w:type="dxa"/>
            <w:vAlign w:val="bottom"/>
          </w:tcPr>
          <w:p>
            <w:pPr>
              <w:spacing w:after="0"/>
              <w:rPr>
                <w:sz w:val="18"/>
                <w:szCs w:val="18"/>
                <w:color w:val="auto"/>
              </w:rPr>
            </w:pPr>
          </w:p>
        </w:tc>
        <w:tc>
          <w:tcPr>
            <w:tcW w:w="16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(4,520)</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(1,127)</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local (primarily UBT)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12,733</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(1,127)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77,815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32,242</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30,622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Rate benefit for US Partnership operations</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16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 (primarily UBT)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6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460" w:type="dxa"/>
            <w:vAlign w:val="bottom"/>
            <w:vMerge w:val="continue"/>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20 of Notes to Consolidated Financial Statements regarding operating income (loss) by geographic region.</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60"/>
          </w:cols>
          <w:pgMar w:left="240" w:top="455" w:right="29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which are included in “other assets” and “other liabilities”, respectively, on the consolidated statements of financial condition,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w w:val="99"/>
              </w:rPr>
              <w:t>Basis adjustments (primarily as a result of (i) the separation and recapitalization transactions that occurred during 2005 in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connection with our initial public offering and (ii) subsequent secondary offerings)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31,090</w:t>
            </w:r>
          </w:p>
        </w:tc>
        <w:tc>
          <w:tcPr>
            <w:tcW w:w="0" w:type="dxa"/>
            <w:vAlign w:val="bottom"/>
          </w:tcPr>
          <w:p>
            <w:pPr>
              <w:spacing w:after="0"/>
              <w:rPr>
                <w:sz w:val="1"/>
                <w:szCs w:val="1"/>
                <w:color w:val="auto"/>
              </w:rPr>
            </w:pPr>
          </w:p>
        </w:tc>
      </w:tr>
      <w:tr>
        <w:trPr>
          <w:trHeight w:val="217"/>
        </w:trPr>
        <w:tc>
          <w:tcPr>
            <w:tcW w:w="9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117,848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86,138</w:t>
            </w: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operating loss and tax credit carryforwards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58,549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103,645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4,811</w:t>
            </w:r>
          </w:p>
        </w:tc>
        <w:tc>
          <w:tcPr>
            <w:tcW w:w="0" w:type="dxa"/>
            <w:vAlign w:val="bottom"/>
          </w:tcPr>
          <w:p>
            <w:pPr>
              <w:spacing w:after="0"/>
              <w:rPr>
                <w:sz w:val="1"/>
                <w:szCs w:val="1"/>
                <w:color w:val="auto"/>
              </w:rPr>
            </w:pPr>
          </w:p>
        </w:tc>
      </w:tr>
      <w:tr>
        <w:trPr>
          <w:trHeight w:val="223"/>
        </w:trPr>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215,620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242,329</w:t>
            </w:r>
          </w:p>
        </w:tc>
        <w:tc>
          <w:tcPr>
            <w:tcW w:w="0" w:type="dxa"/>
            <w:vAlign w:val="bottom"/>
          </w:tcPr>
          <w:p>
            <w:pPr>
              <w:spacing w:after="0"/>
              <w:rPr>
                <w:sz w:val="1"/>
                <w:szCs w:val="1"/>
                <w:color w:val="auto"/>
              </w:rPr>
            </w:pPr>
          </w:p>
        </w:tc>
      </w:tr>
      <w:tr>
        <w:trPr>
          <w:trHeight w:val="223"/>
        </w:trPr>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(101,531)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(116,830)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22,975</w:t>
            </w:r>
          </w:p>
        </w:tc>
        <w:tc>
          <w:tcPr>
            <w:tcW w:w="0" w:type="dxa"/>
            <w:vAlign w:val="bottom"/>
          </w:tcPr>
          <w:p>
            <w:pPr>
              <w:spacing w:after="0"/>
              <w:rPr>
                <w:sz w:val="1"/>
                <w:szCs w:val="1"/>
                <w:color w:val="auto"/>
              </w:rPr>
            </w:pPr>
          </w:p>
        </w:tc>
      </w:tr>
      <w:tr>
        <w:trPr>
          <w:trHeight w:val="216"/>
        </w:trPr>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3"/>
        </w:trPr>
        <w:tc>
          <w:tcPr>
            <w:tcW w:w="9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70,128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69,668</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historical profitability of each tax paying entity is an important factor in determining whether to record a valuation allowance and when to release any such allowance. Certain of our tax-paying entities have individually experienced losses on a cumulative three-year basis. In addition, one of our tax paying entities has recorded a valuation allowance on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will be realized. Considering the recent operating results of such entities, we have recorded valuation allowances on our deferred tax assets of $101,531 and $116,830 as of December 31, 2014 and December 31, 2013, respectively.</w:t>
      </w:r>
    </w:p>
    <w:p>
      <w:pPr>
        <w:spacing w:after="0" w:line="139"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The valuation allowance at December 31, 2014 of $101,531 reflects a net decrease of $15,299 from the balance of $116,830 at December 31, 2013. This net decrease in the valuation allowance for the year ended December 31, 2014 consists of additions of $20,088 and $5,226 for the amounts charged to income tax expense and members’ equity, respectively, and a deduction of $34,254 and $6,359 which was credited to income tax expense and members’ equity, respectively.</w:t>
      </w:r>
    </w:p>
    <w:p>
      <w:pPr>
        <w:spacing w:after="0" w:line="97"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Company had net operating loss and tax credit carryforwards for which related deferred tax assets of $58,549 were recorded at December 31, 2014 primarily relating to:</w:t>
      </w:r>
    </w:p>
    <w:p>
      <w:pPr>
        <w:spacing w:after="0" w:line="39" w:lineRule="exact"/>
        <w:rPr>
          <w:sz w:val="20"/>
          <w:szCs w:val="20"/>
          <w:color w:val="auto"/>
        </w:rPr>
      </w:pPr>
    </w:p>
    <w:p>
      <w:pPr>
        <w:ind w:left="900" w:right="220" w:hanging="446"/>
        <w:spacing w:after="0" w:line="275"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indefinite-lived carryforwards (subject to various limitations) of approximately $43,000, primarily in the U.K., Australia, Germany, Singapore and Italy;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carryforwards of approximately $10,000 in the U.S. and Spain, which begin expiring in 2021.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20"/>
          </w:cols>
          <w:pgMar w:left="240" w:top="455" w:right="2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a result of certain realization requirements regarding share-based incentive plan awards, certain deferred tax assets pertaining to tax deductions related to equity compensation in excess of compensation recognized for financial reporting that would otherwise have been recognized at December 31, 2014 and 2013 of $5,711 and $3,536 are not included in the table above. The impact of such excess tax deductions will be recorded in members’ equity if and when such deferred tax assets are ultimately realized.</w:t>
      </w:r>
    </w:p>
    <w:p>
      <w:pPr>
        <w:spacing w:after="0" w:line="13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With few exceptions, the Company is no longer subject to income tax examination by foreign tax authorities and by U.S. federal, state and local tax authorities for years prior to 2010. While we are under examination in various tax jurisdictions with respect to certain open years, the Company does not expect that the result of any final determination related to these examinations will have a material impact on its financial statements. Developments with respect to such examinations are monitored on an ongoing basis and adjustments to tax liabilities are made as appropriate.</w:t>
      </w:r>
    </w:p>
    <w:p>
      <w:pPr>
        <w:spacing w:after="0" w:line="136"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A reconciliation of the beginning to the ending amount of gross unrecognized tax benefits (excluding interest and penalties) for the years ended December 31, 2014, 2013 and 2012 is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1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2"/>
                <w:szCs w:val="12"/>
                <w:color w:val="auto"/>
              </w:rPr>
            </w:pPr>
          </w:p>
        </w:tc>
        <w:tc>
          <w:tcPr>
            <w:tcW w:w="7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69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January 1 (excluding interest and penalties of $11,814, $10,745 and $6,999,</w:t>
            </w: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$39,173</w:t>
            </w:r>
          </w:p>
        </w:tc>
        <w:tc>
          <w:tcPr>
            <w:tcW w:w="24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$36,494</w:t>
            </w:r>
          </w:p>
        </w:tc>
        <w:tc>
          <w:tcPr>
            <w:tcW w:w="480" w:type="dxa"/>
            <w:vAlign w:val="bottom"/>
            <w:shd w:val="clear" w:color="auto" w:fill="CCEEFF"/>
          </w:tcPr>
          <w:p>
            <w:pPr>
              <w:spacing w:after="0"/>
              <w:rPr>
                <w:sz w:val="20"/>
                <w:szCs w:val="20"/>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$40,562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Increases in gross unrecognized tax benefits relating to tax positions taken during:</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Prior years</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 year</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24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11,134</w:t>
            </w:r>
          </w:p>
        </w:tc>
        <w:tc>
          <w:tcPr>
            <w:tcW w:w="48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in gross unrecognized tax benefits relating to:</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Tax positions taken during prior years</w:t>
            </w:r>
          </w:p>
        </w:tc>
        <w:tc>
          <w:tcPr>
            <w:tcW w:w="1300" w:type="dxa"/>
            <w:vAlign w:val="bottom"/>
            <w:gridSpan w:val="5"/>
          </w:tcPr>
          <w:p>
            <w:pPr>
              <w:jc w:val="right"/>
              <w:ind w:right="132"/>
              <w:spacing w:after="0"/>
              <w:rPr>
                <w:sz w:val="20"/>
                <w:szCs w:val="20"/>
                <w:color w:val="auto"/>
              </w:rPr>
            </w:pPr>
            <w:r>
              <w:rPr>
                <w:rFonts w:ascii="Times New Roman" w:cs="Times New Roman" w:eastAsia="Times New Roman" w:hAnsi="Times New Roman"/>
                <w:sz w:val="18"/>
                <w:szCs w:val="18"/>
                <w:color w:val="auto"/>
              </w:rPr>
              <w:t>(3,191)</w:t>
            </w:r>
          </w:p>
        </w:tc>
        <w:tc>
          <w:tcPr>
            <w:tcW w:w="134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(4,631)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5"/>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(3,404)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(2,343)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Lapse of the applicable statute of limitations</w:t>
            </w:r>
          </w:p>
        </w:tc>
        <w:tc>
          <w:tcPr>
            <w:tcW w:w="1300" w:type="dxa"/>
            <w:vAlign w:val="bottom"/>
            <w:gridSpan w:val="5"/>
          </w:tcPr>
          <w:p>
            <w:pPr>
              <w:jc w:val="right"/>
              <w:ind w:right="132"/>
              <w:spacing w:after="0"/>
              <w:rPr>
                <w:sz w:val="20"/>
                <w:szCs w:val="20"/>
                <w:color w:val="auto"/>
              </w:rPr>
            </w:pPr>
            <w:r>
              <w:rPr>
                <w:rFonts w:ascii="Times New Roman" w:cs="Times New Roman" w:eastAsia="Times New Roman" w:hAnsi="Times New Roman"/>
                <w:sz w:val="18"/>
                <w:szCs w:val="18"/>
                <w:color w:val="auto"/>
              </w:rPr>
              <w:t>(7,192)</w:t>
            </w:r>
          </w:p>
        </w:tc>
        <w:tc>
          <w:tcPr>
            <w:tcW w:w="134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(5,083)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(9,862)</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69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Balance, December 31 (excluding interest and penalties of $13,004, $11,814 and $10,745,</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42,904</w:t>
            </w:r>
          </w:p>
        </w:tc>
        <w:tc>
          <w:tcPr>
            <w:tcW w:w="24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39,173</w:t>
            </w:r>
          </w:p>
        </w:tc>
        <w:tc>
          <w:tcPr>
            <w:tcW w:w="480" w:type="dxa"/>
            <w:vAlign w:val="bottom"/>
            <w:shd w:val="clear" w:color="auto" w:fill="CCEEFF"/>
          </w:tcPr>
          <w:p>
            <w:pPr>
              <w:spacing w:after="0"/>
              <w:rPr>
                <w:sz w:val="20"/>
                <w:szCs w:val="20"/>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36,494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Additional information with respect to unrecognized tax benefits is as follows:</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center"/>
              <w:ind w:left="9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69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Unrecognized tax benefits at the end of the year that, if recognized, would favorably affect the</w:t>
            </w: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effective tax rate (includes interest and penalties of $13,004, $11,814 and $10,745,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880" w:type="dxa"/>
            <w:vAlign w:val="bottom"/>
            <w:gridSpan w:val="3"/>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9"/>
              </w:rPr>
              <w:t>$40,353</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center"/>
              <w:ind w:left="96"/>
              <w:spacing w:after="0"/>
              <w:rPr>
                <w:sz w:val="20"/>
                <w:szCs w:val="20"/>
                <w:color w:val="auto"/>
              </w:rPr>
            </w:pPr>
            <w:r>
              <w:rPr>
                <w:rFonts w:ascii="Times New Roman" w:cs="Times New Roman" w:eastAsia="Times New Roman" w:hAnsi="Times New Roman"/>
                <w:sz w:val="18"/>
                <w:szCs w:val="18"/>
                <w:color w:val="auto"/>
                <w:w w:val="99"/>
              </w:rPr>
              <w:t>$36,272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38,602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69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Offset to deferred tax assets for unrecognized tax benefits that, if recognized, would not affect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effective tax rate</w:t>
            </w:r>
          </w:p>
        </w:tc>
        <w:tc>
          <w:tcPr>
            <w:tcW w:w="88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w w:val="99"/>
              </w:rPr>
              <w:t>$15,555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3"/>
          </w:tcPr>
          <w:p>
            <w:pPr>
              <w:jc w:val="center"/>
              <w:ind w:left="96"/>
              <w:spacing w:after="0"/>
              <w:rPr>
                <w:sz w:val="20"/>
                <w:szCs w:val="20"/>
                <w:color w:val="auto"/>
              </w:rPr>
            </w:pPr>
            <w:r>
              <w:rPr>
                <w:rFonts w:ascii="Times New Roman" w:cs="Times New Roman" w:eastAsia="Times New Roman" w:hAnsi="Times New Roman"/>
                <w:sz w:val="18"/>
                <w:szCs w:val="18"/>
                <w:color w:val="auto"/>
                <w:w w:val="99"/>
              </w:rPr>
              <w:t>$14,715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69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Interest and penalties recognized in current income tax expense (after giving effect to the</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reversal of interest and penalties of $2,791, $3,390 and $3,169, respectively)</w:t>
            </w:r>
          </w:p>
        </w:tc>
        <w:tc>
          <w:tcPr>
            <w:tcW w:w="880" w:type="dxa"/>
            <w:vAlign w:val="bottom"/>
            <w:gridSpan w:val="3"/>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$ 1,190</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center"/>
              <w:ind w:left="96"/>
              <w:spacing w:after="0"/>
              <w:rPr>
                <w:sz w:val="20"/>
                <w:szCs w:val="20"/>
                <w:color w:val="auto"/>
              </w:rPr>
            </w:pPr>
            <w:r>
              <w:rPr>
                <w:rFonts w:ascii="Times New Roman" w:cs="Times New Roman" w:eastAsia="Times New Roman" w:hAnsi="Times New Roman"/>
                <w:sz w:val="18"/>
                <w:szCs w:val="18"/>
                <w:color w:val="auto"/>
              </w:rPr>
              <w:t>$ 1,069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 anticipates that it is reasonably possible that approximately $9,000 of unrecognized tax benefits, including interest and penalties recorded at December 31, 2014 may be recognized within 12 months as a result of the lapse of the statute of limitations in various tax jurisdictions.</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20"/>
          </w:cols>
          <w:pgMar w:left="240" w:top="455" w:right="3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i w:val="1"/>
          <w:iCs w:val="1"/>
          <w:color w:val="auto"/>
        </w:rPr>
        <w:t>18.</w:t>
        <w:tab/>
        <w:t>RELATED PARTIES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receivable from, and payable to, related parties are set forth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0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90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Receivables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LMDC Holdings</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5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Lazard Ltd Subsidiaries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5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LMDC Holdings</w:t>
            </w:r>
          </w:p>
        </w:tc>
        <w:tc>
          <w:tcPr>
            <w:tcW w:w="2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5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Lazard Ltd Subsidiaries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155,742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158,060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LMDC Holdings</w:t>
      </w:r>
    </w:p>
    <w:p>
      <w:pPr>
        <w:spacing w:after="0" w:line="9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LMDC Holdings owned and operated the capital markets business and fund management activities, as well as other specified non-operating assets and liabilities, that were transferred to it by Lazard Group (referred to as the “separated businesses”) in May 2005 and continues to be owned in large part by former and current managing directors of the Company (including the Company’s executive officers). In addition to the master separation agreement, dated as of May 10, 2005, by and among Lazard Ltd, Lazard Group, LAZ-MD Holdings and LMDC Holdings (the “master separation agreement”), which effected the separation and recapitalization that occurred in May 2005, LMDC Holdings entered into certain agreements that addressed various business matters associated with the separation, including agreements related to administrative and support services (the “administrative services agreement”). In addition, LMDC Holdings and Lazard Group entered into a business alliance agreement (the “business alliance agreement”) and a license agreement (the “license agreement”).</w:t>
      </w:r>
    </w:p>
    <w:p>
      <w:pPr>
        <w:spacing w:after="0" w:line="11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the third quarter of 2014, the Company entered into arrangements with LMDC Holdings and certain of its subsidiaries pursuant to which, among other things, the Company acquired certain assets from LMDC Holdings relating to its convertible securities business, the business alliance provided for in the business alliance agreement terminated, and LMDC Holdings relinquished certain license rights previously granted under the license agreement. In addition, LMDC Holdings surrendered certain leasehold interests, including leasehold improvements, to the Company, and was relieved of obligations to pay related sublease rent. See Note 12 of Notes to Consolidated Financial Statements. The Company does not believe that any of these arrangements will have a material effect on its consolidated financial position or results of operations.</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2014, 2013 and 2012, amounts recorded by Lazard Group relating to the administrative services agreement amounted to $879, $1,456 and $7,637, respectively, and net referral fees for underwriting, private placement, M&amp;A and restructuring transactions under the business alliance agreement amounted to $795, $(1,646) and $5,947,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20"/>
          </w:cols>
          <w:pgMar w:left="240" w:top="455" w:right="2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Receivables from LMDC Holdings and its subsidiaries as of December 31, 2014 and 2013 include $1,107 and $3,112, respectively, related to administrative and support services and other receivables which include sublease income and reimbursement of expenses incurred on behalf of LMDC Holdings, and at December 31, 2013, $4,682 related to referral fees for underwriting and private placement transactions. Payables to LMDC Holdings and its subsidiaries at December 31, 2014 and 2013 primarily relate to referral fees for Financial Advisory and other transactions.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Lazard Ltd Subsidiaries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Lazard Group’s receivables from subsidiaries of Lazard Ltd at December 31, 2013 included interest-bearing loans of $108,204 including accrued interest thereon. In the fourth quarter of 2014, $91,028 of interest-bearing loans were repaid in a non-cash transaction through a transfer of Class A common stock from a Lazard Ltd subsidiary to Lazard Group. The effect of this transaction is excluded from financing activities on the consolidated statement of cash flows for the year ended December 31, 2014. Interest income relating to interest-bearing loans with subsidiaries of Lazard Ltd amounted to $5,816, $6,371 and $11,382 for the years ended December 31, 2014, 2013 and 2012, respectively.</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December 31, 2014 and 2013, Lazard Group’s payables to subsidiaries of Lazard Ltd included $2,840 and $3,125, respectively in connection with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Lazard Group’s prior year business acquisitions. In addition, as of December 31, 2014 and 2013, Lazard Group’s payables to subsidiaries of Lazard Ltd included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interest-bearing loans, plus accrued interest thereon, of approximately $152,600 and $194,000, respectively. Such amounts at December 31, 2014 and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included approximately $67,200 and $75,000, respectively, resulting from the sale in the first quarter of 2012 of an interest-bearing intercompany receivable due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 Lazard Group subsidiary to a Lazard Ltd subsidiary, which was sold at a discount to reflect arm’s-length terms, resulting in a loss to Lazard Group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$5,638. Interest expense relating to interest-bearing loans with subsidiaries of Lazard Ltd amounted to $5,657, $7,718 and $9,843 for the years ended December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2014, 2013 and 2012, respectively.</w:t>
      </w:r>
    </w:p>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2"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For the years ended December 31, 2014, 2013 and 2012, amounts recorded by Lazard Group relating to referral fees for restructuring and M&amp;A transactions and fee sharing with MBA Lazard Holdings S.A. and its affiliates (“MBA”), an Argentina-based group in which the Company has a 50% ownership interest, amounted to $(5,557), $(2,221) and $1,506, respectively, and are reported in advisory fee revenue.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receivables and payables at December 31, 2014 and 2013 primarily relate to referral fees for M&amp;A and restructuring transactions with MBA.</w:t>
      </w: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LAZ-MD Holdings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Lazard Group provided certain administrative and support services to LAZ-MD Holdings through the administrative services agreement. Lazard Group charged LAZ-MD Holdings for these services based on Lazard Group’s cost allocation methodology and, for the years ended December 31, 2014, 2013 and 2012, such charges amounted to $856, $1,000 and $1,000, respectively.</w:t>
      </w:r>
    </w:p>
    <w:p>
      <w:pPr>
        <w:spacing w:after="0" w:line="250" w:lineRule="exact"/>
        <w:rPr>
          <w:sz w:val="20"/>
          <w:szCs w:val="20"/>
          <w:color w:val="auto"/>
        </w:rPr>
      </w:pPr>
    </w:p>
    <w:p>
      <w:pPr>
        <w:ind w:left="460" w:hanging="452"/>
        <w:spacing w:after="0"/>
        <w:tabs>
          <w:tab w:leader="none" w:pos="460" w:val="left"/>
        </w:tabs>
        <w:numPr>
          <w:ilvl w:val="0"/>
          <w:numId w:val="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REGULATORY AUTHORITIES</w:t>
      </w:r>
    </w:p>
    <w:p>
      <w:pPr>
        <w:spacing w:after="0" w:line="9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total aggregate indebtedness recorded in LFNY’s Financial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00"/>
          </w:cols>
          <w:pgMar w:left="240" w:top="455" w:right="2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Operational Combined Uniform Single (“FOCUS”) report filed with the Financial Industry Regulatory Authority (“FINRA”), or $100, whichever is greater. In addition, the ratio of aggregate indebtedness (as defined) to net capital may not exceed 15:1. At December 31, 2014, LFNY’s regulatory net capital was $128,382, which exceeded the minimum requirement by $123,999. LFNY’s aggregate indebtedness to net capital ratio was 0.51:1 as of December 31, 2014.</w:t>
      </w:r>
    </w:p>
    <w:p>
      <w:pPr>
        <w:spacing w:after="0" w:line="132" w:lineRule="exact"/>
        <w:rPr>
          <w:sz w:val="20"/>
          <w:szCs w:val="20"/>
          <w:color w:val="auto"/>
        </w:rPr>
      </w:pPr>
    </w:p>
    <w:p>
      <w:pPr>
        <w:ind w:right="620" w:firstLine="456"/>
        <w:spacing w:after="0" w:line="262" w:lineRule="auto"/>
        <w:rPr>
          <w:sz w:val="20"/>
          <w:szCs w:val="20"/>
          <w:color w:val="auto"/>
        </w:rPr>
      </w:pPr>
      <w:r>
        <w:rPr>
          <w:rFonts w:ascii="Times New Roman" w:cs="Times New Roman" w:eastAsia="Times New Roman" w:hAnsi="Times New Roman"/>
          <w:sz w:val="18"/>
          <w:szCs w:val="18"/>
          <w:color w:val="auto"/>
        </w:rPr>
        <w:t>Certain U.K. subsidiaries of the Company, including LCL, Lazard Fund Managers Limited and Lazard Asset Management Limited (the “U.K. Subsidiaries”) are regulated by the Financial Conduct Authority. At December 31, 2014, the aggregate regulatory net capital of the U.K. Subsidiaries was $86,273, which exceeded the minimum requirement by $68,683.</w:t>
      </w:r>
    </w:p>
    <w:p>
      <w:pPr>
        <w:spacing w:after="0" w:line="13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December 31, 2014, the consolidated regulatory net capital of CFLF was $134,708, which exceeded the minimum requirement set for regulatory capital levels by $87,130.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minimum requirements for regulatory net capital and satisfy periodic financial and other reporting obligations. At December 31, 2014, the regulatory net capital of the combined European regulated group was $180,047, which exceeded the minimum requirement set for regulatory capital levels by $104,309.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45"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Certain other U.S. and non-U.S. subsidiaries are subject to various capital adequacy requirements promulgated by various regulatory and exchange authorities in the countries in which they operate. At December 31, 2014, for those subsidiaries with regulatory capital requirements, their aggregate net capital was $111,224, which exceeded the minimum required capital by $84,699.</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2014, each of these subsidiaries individually was in compliance with its regulatory capital requirements.</w:t>
      </w:r>
    </w:p>
    <w:p>
      <w:pPr>
        <w:spacing w:after="0" w:line="17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Any new or expanded rules and regulations that may be adopted in countries in which we operate (including regulations that have not yet been proposed) could affect us in other ways.</w:t>
      </w:r>
    </w:p>
    <w:p>
      <w:pPr>
        <w:spacing w:after="0" w:line="237" w:lineRule="exact"/>
        <w:rPr>
          <w:sz w:val="20"/>
          <w:szCs w:val="20"/>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SEGMENT INFORMATION</w:t>
      </w:r>
    </w:p>
    <w:p>
      <w:pPr>
        <w:spacing w:after="0" w:line="9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Financial Advisory and Asset Management. In addition, as described in Note 1 above, the Company records selected other activities in its Corporate segment.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segment information for the years ended December 31, 2014, 2013 and 2012 is prepared using the following methodology:</w:t>
      </w:r>
    </w:p>
    <w:p>
      <w:pPr>
        <w:spacing w:after="0" w:line="90" w:lineRule="exact"/>
        <w:rPr>
          <w:sz w:val="20"/>
          <w:szCs w:val="20"/>
          <w:color w:val="auto"/>
        </w:rPr>
      </w:pPr>
    </w:p>
    <w:p>
      <w:pPr>
        <w:ind w:left="900" w:hanging="325"/>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expenses directly associated with each segment are included in determining operating income.</w:t>
      </w:r>
    </w:p>
    <w:p>
      <w:pPr>
        <w:spacing w:after="0" w:line="90"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not directly associated with specific segments are allocated based on the most relevant measures applicable, including headcount, square footage and other factors.</w:t>
      </w:r>
    </w:p>
    <w:p>
      <w:pPr>
        <w:spacing w:after="0" w:line="38" w:lineRule="exact"/>
        <w:rPr>
          <w:rFonts w:ascii="Times New Roman" w:cs="Times New Roman" w:eastAsia="Times New Roman" w:hAnsi="Times New Roman"/>
          <w:sz w:val="18"/>
          <w:szCs w:val="18"/>
          <w:color w:val="auto"/>
        </w:rPr>
      </w:pPr>
    </w:p>
    <w:p>
      <w:pPr>
        <w:ind w:left="900" w:right="340" w:hanging="325"/>
        <w:spacing w:after="0" w:line="275"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20"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Company allocates investment gains and losses, interest income and interest expense among the various segments based on the segment in which the underlying asset or liability is reported.</w:t>
      </w:r>
    </w:p>
    <w:p>
      <w:pPr>
        <w:spacing w:after="0" w:line="120"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39" w:lineRule="exact"/>
        <w:rPr>
          <w:sz w:val="20"/>
          <w:szCs w:val="20"/>
          <w:color w:val="auto"/>
        </w:rPr>
      </w:pPr>
    </w:p>
    <w:p>
      <w:pPr>
        <w:ind w:right="560" w:firstLine="456"/>
        <w:spacing w:after="0" w:line="275" w:lineRule="auto"/>
        <w:rPr>
          <w:sz w:val="20"/>
          <w:szCs w:val="20"/>
          <w:color w:val="auto"/>
        </w:rPr>
      </w:pPr>
      <w:r>
        <w:rPr>
          <w:rFonts w:ascii="Times New Roman" w:cs="Times New Roman" w:eastAsia="Times New Roman" w:hAnsi="Times New Roman"/>
          <w:sz w:val="18"/>
          <w:szCs w:val="18"/>
          <w:color w:val="auto"/>
        </w:rPr>
        <w:t>For the years ended December 31, 2014, 2013 and 2012, no individual client constituted more than 10% of the net revenue of any of the Company’s business segments.</w:t>
      </w:r>
    </w:p>
    <w:p>
      <w:pPr>
        <w:spacing w:after="0" w:line="120"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9"/>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2013(b)</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2012(b)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Advisory</w:t>
            </w:r>
          </w:p>
        </w:tc>
        <w:tc>
          <w:tcPr>
            <w:tcW w:w="4160" w:type="dxa"/>
            <w:vAlign w:val="bottom"/>
            <w:tcBorders>
              <w:top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Net Revenue</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1,206,734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980,577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1,049,090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1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Operating Expenses (a)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959,668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1,057,620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1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Operating Income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229,053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20,909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1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785,557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714,708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w:t>
            </w:r>
          </w:p>
        </w:tc>
        <w:tc>
          <w:tcPr>
            <w:tcW w:w="41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Net Revenue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1,134,595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4"/>
              </w:rPr>
              <w:t>1,039,130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1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Operating Expenses (a)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704,045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1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Operating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385,250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335,085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1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612,018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566,677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41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Net Revenue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(40,593)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(35,633)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1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Operating Expenses (a)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101,352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1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(73,328)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(136,985)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1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1,796,720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1,767,262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1,688,696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1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Net Revenue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2,300,736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4"/>
              </w:rPr>
              <w:t>1,984,074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1,908,130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1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Operating Expenses (a)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1,759,761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4"/>
              </w:rPr>
              <w:t>1,765,065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1,786,537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1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Operating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540,975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219,009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160" w:type="dxa"/>
            <w:vAlign w:val="bottom"/>
            <w:vMerge w:val="restart"/>
          </w:tcPr>
          <w:p>
            <w:pPr>
              <w:ind w:left="134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3,170,680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3,093,988</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3,048,380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160" w:type="dxa"/>
            <w:vAlign w:val="bottom"/>
            <w:vMerge w:val="restart"/>
          </w:tcPr>
          <w:p>
            <w:pPr>
              <w:ind w:left="2820"/>
              <w:spacing w:after="0"/>
              <w:rPr>
                <w:sz w:val="20"/>
                <w:szCs w:val="20"/>
                <w:color w:val="auto"/>
              </w:rPr>
            </w:pPr>
            <w:r>
              <w:rPr>
                <w:rFonts w:ascii="Times New Roman" w:cs="Times New Roman" w:eastAsia="Times New Roman" w:hAnsi="Times New Roman"/>
                <w:sz w:val="18"/>
                <w:szCs w:val="18"/>
                <w:color w:val="auto"/>
              </w:rPr>
              <w:t>126</w:t>
            </w: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4" w:lineRule="exact"/>
        <w:rPr>
          <w:sz w:val="20"/>
          <w:szCs w:val="20"/>
          <w:color w:val="auto"/>
        </w:rPr>
      </w:pPr>
    </w:p>
    <w:p>
      <w:pPr>
        <w:ind w:left="460" w:hanging="452"/>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include depreciation and amortization of property as set forth in table below.</w:t>
      </w:r>
    </w:p>
    <w:p>
      <w:pPr>
        <w:spacing w:after="0" w:line="209"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Advisory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Asset Management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27,027</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26,938</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21,895</w:t>
            </w:r>
          </w:p>
        </w:tc>
        <w:tc>
          <w:tcPr>
            <w:tcW w:w="80" w:type="dxa"/>
            <w:vAlign w:val="bottom"/>
            <w:shd w:val="clear" w:color="auto" w:fill="CCEEFF"/>
          </w:tcPr>
          <w:p>
            <w:pPr>
              <w:spacing w:after="0"/>
              <w:rPr>
                <w:sz w:val="18"/>
                <w:szCs w:val="18"/>
                <w:color w:val="auto"/>
              </w:rPr>
            </w:pPr>
          </w:p>
        </w:tc>
      </w:tr>
      <w:tr>
        <w:trPr>
          <w:trHeight w:val="223"/>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34,463</w:t>
            </w:r>
          </w:p>
        </w:tc>
        <w:tc>
          <w:tcPr>
            <w:tcW w:w="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34,750</w:t>
            </w:r>
          </w:p>
        </w:tc>
        <w:tc>
          <w:tcPr>
            <w:tcW w:w="4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30,855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line="275"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16 of Notes to Consolidated Financial Statements for information regarding the Cost Saving Initiatives and the impact on each of the Company’s business segments.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92"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32"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net revenue from, and identifiable assets for, the Company and its consolidated subsidiaries by geographic region allocated on the basis described above.</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gridSpan w:val="9"/>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tcBorders>
              <w:bottom w:val="single" w:sz="8" w:color="CCEEFF"/>
            </w:tcBorders>
          </w:tcPr>
          <w:p>
            <w:pPr>
              <w:spacing w:after="0"/>
              <w:rPr>
                <w:sz w:val="10"/>
                <w:szCs w:val="10"/>
                <w:color w:val="auto"/>
              </w:rPr>
            </w:pPr>
          </w:p>
        </w:tc>
        <w:tc>
          <w:tcPr>
            <w:tcW w:w="27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Revenue:</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1,308,509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1,215,736</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1,168,199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205,695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187,375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156,928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2,300,736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1,984,074</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1,908,130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2"/>
            <w:vMerge w:val="continue"/>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341,592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France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Western Europe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 of World</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540,975</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1,679,326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1,612,546</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1,568,818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239,606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809,241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279,640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298,185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3,170,680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3,093,988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3,048,380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vMerge w:val="restart"/>
          </w:tcPr>
          <w:p>
            <w:pPr>
              <w:jc w:val="right"/>
              <w:ind w:right="1012"/>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(UNAUDITED)</w:t>
      </w:r>
    </w:p>
    <w:p>
      <w:pPr>
        <w:spacing w:after="0" w:line="94" w:lineRule="exact"/>
        <w:rPr>
          <w:sz w:val="20"/>
          <w:szCs w:val="20"/>
          <w:color w:val="auto"/>
        </w:rPr>
      </w:pPr>
    </w:p>
    <w:p>
      <w:pPr>
        <w:ind w:right="460" w:firstLine="456"/>
        <w:spacing w:after="0" w:line="262" w:lineRule="auto"/>
        <w:rPr>
          <w:sz w:val="20"/>
          <w:szCs w:val="20"/>
          <w:color w:val="auto"/>
        </w:rPr>
      </w:pPr>
      <w:r>
        <w:rPr>
          <w:rFonts w:ascii="Times New Roman" w:cs="Times New Roman" w:eastAsia="Times New Roman" w:hAnsi="Times New Roman"/>
          <w:sz w:val="18"/>
          <w:szCs w:val="18"/>
          <w:color w:val="auto"/>
        </w:rPr>
        <w:t>The following represents the Company’s unaudited quarterly results for the years ended December 31, 2014 and 2013.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106"/>
              <w:spacing w:after="0"/>
              <w:rPr>
                <w:sz w:val="20"/>
                <w:szCs w:val="20"/>
                <w:color w:val="auto"/>
              </w:rPr>
            </w:pPr>
            <w:r>
              <w:rPr>
                <w:rFonts w:ascii="Times New Roman" w:cs="Times New Roman" w:eastAsia="Times New Roman" w:hAnsi="Times New Roman"/>
                <w:sz w:val="14"/>
                <w:szCs w:val="14"/>
                <w:b w:val="1"/>
                <w:bCs w:val="1"/>
                <w:color w:val="auto"/>
                <w:w w:val="95"/>
              </w:rPr>
              <w:t>2014 Fiscal Quarter</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First</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Second</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Third</w:t>
            </w: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Fourth</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(dollars in thousands)</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533,295</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$ 566,805</w:t>
            </w:r>
          </w:p>
        </w:tc>
        <w:tc>
          <w:tcPr>
            <w:tcW w:w="13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$ 566,296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$ 634,340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2,300,736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425,907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456,917</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452,251</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424,686</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1,759,761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107,388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$ 109,888</w:t>
            </w:r>
          </w:p>
        </w:tc>
        <w:tc>
          <w:tcPr>
            <w:tcW w:w="30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$ 114,045</w:t>
            </w: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$ 209,654</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3"/>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89,531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94,010</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91,675</w:t>
            </w:r>
          </w:p>
        </w:tc>
        <w:tc>
          <w:tcPr>
            <w:tcW w:w="300" w:type="dxa"/>
            <w:vAlign w:val="bottom"/>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$ 187,944</w:t>
            </w:r>
          </w:p>
        </w:tc>
        <w:tc>
          <w:tcPr>
            <w:tcW w:w="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net income attributable to noncontrolling interests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6,156</w:t>
            </w:r>
          </w:p>
        </w:tc>
        <w:tc>
          <w:tcPr>
            <w:tcW w:w="0" w:type="dxa"/>
            <w:vAlign w:val="bottom"/>
          </w:tcPr>
          <w:p>
            <w:pPr>
              <w:spacing w:after="0"/>
              <w:rPr>
                <w:sz w:val="1"/>
                <w:szCs w:val="1"/>
                <w:color w:val="auto"/>
              </w:rPr>
            </w:pPr>
          </w:p>
        </w:tc>
      </w:tr>
      <w:tr>
        <w:trPr>
          <w:trHeight w:val="223"/>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Lazard Group</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93,457</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90,615</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$ 187,521</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left="106"/>
              <w:spacing w:after="0"/>
              <w:rPr>
                <w:sz w:val="20"/>
                <w:szCs w:val="20"/>
                <w:color w:val="auto"/>
              </w:rPr>
            </w:pPr>
            <w:r>
              <w:rPr>
                <w:rFonts w:ascii="Times New Roman" w:cs="Times New Roman" w:eastAsia="Times New Roman" w:hAnsi="Times New Roman"/>
                <w:sz w:val="14"/>
                <w:szCs w:val="14"/>
                <w:b w:val="1"/>
                <w:bCs w:val="1"/>
                <w:color w:val="auto"/>
                <w:w w:val="95"/>
              </w:rPr>
              <w:t>2013 Fiscal Quarter</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First(a)</w:t>
            </w:r>
          </w:p>
        </w:tc>
        <w:tc>
          <w:tcPr>
            <w:tcW w:w="7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Second(a)</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Third</w:t>
            </w:r>
          </w:p>
        </w:tc>
        <w:tc>
          <w:tcPr>
            <w:tcW w:w="1020" w:type="dxa"/>
            <w:vAlign w:val="bottom"/>
            <w:tcBorders>
              <w:bottom w:val="single" w:sz="8" w:color="auto"/>
            </w:tcBorders>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Fourth(b)</w:t>
            </w: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(dollars in thousands)</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401,184</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$ 490,327</w:t>
            </w:r>
          </w:p>
        </w:tc>
        <w:tc>
          <w:tcPr>
            <w:tcW w:w="13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$ 479,969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$ 612,594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1,984,074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379,960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448,391</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398,899</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537,815</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1,765,065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74,779</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3"/>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35,157</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68,818</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net income (loss) attributable to noncontrolling interests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3,704</w:t>
            </w:r>
          </w:p>
        </w:tc>
        <w:tc>
          <w:tcPr>
            <w:tcW w:w="0" w:type="dxa"/>
            <w:vAlign w:val="bottom"/>
          </w:tcPr>
          <w:p>
            <w:pPr>
              <w:spacing w:after="0"/>
              <w:rPr>
                <w:sz w:val="1"/>
                <w:szCs w:val="1"/>
                <w:color w:val="auto"/>
              </w:rPr>
            </w:pPr>
          </w:p>
        </w:tc>
      </w:tr>
      <w:tr>
        <w:trPr>
          <w:trHeight w:val="223"/>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Lazard Group</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34,893</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66,718</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65,347</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16 of Notes to Consolidated Financial Statements for information regarding the Cost Saving Initiatives.</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of Notes to Consolidated Financial Statements for information regarding the debt refinancing.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changes in or disagreements with accountants on accounting and financial disclosure during the last two fiscal years.</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2"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Our management, including our Chief Executive Officer and Chief Financial Officer, evaluated the effectiveness of our disclosure controls and procedures pursuant to Rule 13a-15 under the Exchange Act as of December 31, 2014 (the end of the period covered by this Annual Report on Form 10-K). Based on that evaluation, our Chief Executive Officer and Chief Financial Officer have concluded that, as of the end of the period covered by this Annual Report on Form</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38"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20"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Management’s Report on Internal Controls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20"/>
          </w:cols>
          <w:pgMar w:left="240" w:top="455" w:right="3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Registrant meets the conditions set forth in General Instruction (I)(1)(a) and (b) of Form 10-K and has omitted the information called for by this Item.</w:t>
      </w:r>
    </w:p>
    <w:p>
      <w:pPr>
        <w:spacing w:after="0" w:line="31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Registrant meets the conditions set forth in General Instruction (I)(1)(a) and (b) of Form 10-K and has omitted the information called for by this Item.</w:t>
      </w:r>
    </w:p>
    <w:p>
      <w:pPr>
        <w:spacing w:after="0" w:line="31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Registrant meets the conditions set forth in General Instruction (I)(1)(a) and (b) of Form 10-K and has omitted the information called for by this Item.</w:t>
      </w:r>
    </w:p>
    <w:p>
      <w:pPr>
        <w:spacing w:after="0" w:line="31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Registrant meets the conditions set forth in General Instruction (I)(1)(a) and (b) of Form 10-K and has omitted the information called for by this Item.</w:t>
      </w:r>
    </w:p>
    <w:p>
      <w:pPr>
        <w:spacing w:after="0" w:line="31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92"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For the fiscal years ended December 31, 2014 and 2013, fees for services provided by Deloitte &amp; Touche LLP, the member firms of Deloitte Touche Tohmatsu and their respective affiliates were as follows (in thousands of dollars):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420" w:type="dxa"/>
            <w:vAlign w:val="bottom"/>
          </w:tcPr>
          <w:p>
            <w:pPr>
              <w:spacing w:after="0"/>
              <w:rPr>
                <w:sz w:val="20"/>
                <w:szCs w:val="20"/>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9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7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 xml:space="preserve">Audit Fees </w:t>
            </w:r>
            <w:r>
              <w:rPr>
                <w:rFonts w:ascii="Times New Roman" w:cs="Times New Roman" w:eastAsia="Times New Roman" w:hAnsi="Times New Roman"/>
                <w:sz w:val="18"/>
                <w:szCs w:val="18"/>
                <w:color w:val="auto"/>
                <w:w w:val="98"/>
              </w:rPr>
              <w:t>for the audit of the Company’s annual financial statements, the audit of the effectiveness of the Company’s internal controls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over financial reporting and reviews of the financial statements included in the Company’s quarterly reports on Form 10-Q,</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including services in connection with statutory and regulatory filings or engagements</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3"/>
              </w:rPr>
              <w:t>7,216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$6,712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Audit-Related Fees</w:t>
            </w:r>
            <w:r>
              <w:rPr>
                <w:rFonts w:ascii="Times New Roman" w:cs="Times New Roman" w:eastAsia="Times New Roman" w:hAnsi="Times New Roman"/>
                <w:sz w:val="18"/>
                <w:szCs w:val="18"/>
                <w:color w:val="auto"/>
              </w:rPr>
              <w:t>, including fees for audits of employee benefit plans, computer and control related audit services, agreed-upon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procedures, merger and acquisition assistance, regulatory and compliance reviews, fund audits and other accounting research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1,319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Tax Fees </w:t>
            </w:r>
            <w:r>
              <w:rPr>
                <w:rFonts w:ascii="Times New Roman" w:cs="Times New Roman" w:eastAsia="Times New Roman" w:hAnsi="Times New Roman"/>
                <w:sz w:val="18"/>
                <w:szCs w:val="18"/>
                <w:color w:val="auto"/>
              </w:rPr>
              <w:t>for tax consulting and compliance services not related to the audit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751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 Other Fees (1)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175</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460" w:right="140" w:hanging="452"/>
        <w:spacing w:after="0" w:line="275"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certain consulting services that were provided to the Company during 2014 by affiliates of Deloitte &amp; Touche LLP that were unrelated to the audit, audit-related and tax services described above.</w:t>
      </w:r>
    </w:p>
    <w:p>
      <w:pPr>
        <w:spacing w:after="0" w:line="12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of Lazard Ltd (the “Audit Committee”) has adopted a policy regarding pre-approval of audit and non-audit services provided by Deloitte &amp; Touche LLP to the Company and its subsidiaries. The policy provides the guidelines necessary to adhere to Lazard’s commitment to auditor independence and compliance with relevant laws, regulations and guidelines relating to auditor independence. The policy sets forth four categories of permitted services (Audit, Audit-Related, Tax and Other), listing the types of permitted services in each category. All of the permitted services require pre-approval by the Audit Committee. In lieu of Audit Committee pre-approval on an engagement-by-engagement basis, each category of</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20"/>
          </w:cols>
          <w:pgMar w:left="240" w:top="455" w:right="2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permitted services, with reasonable detail as to the types of services contemplated, is pre-approved as part of the annual budget approval by the Audit Committee. Permitted services not contemplated during the budget process must be presented to the Audit Committee for approval prior to the commencement of the relevant engagement. The Audit Committee chair, or, if he is not available, any other member of the Audit Committee, may grant approval for any such engagement if approval is required prior to the next scheduled meeting of the Audit Committee. All of the fees paid to Deloitte &amp; Touche LLP in 2014 were pre-approved in accordance with these procedures, and there were no services for which the de minimus exception permitted in certain circumstances under SEC rules was utilized.</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80"/>
          </w:cols>
          <w:pgMar w:left="240" w:top="455" w:right="2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filed as part of this Report:</w:t>
      </w:r>
    </w:p>
    <w:p>
      <w:pPr>
        <w:spacing w:after="0" w:line="9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Financial Statements</w:t>
      </w:r>
    </w:p>
    <w:p>
      <w:pPr>
        <w:spacing w:after="0" w:line="92" w:lineRule="exact"/>
        <w:rPr>
          <w:rFonts w:ascii="Times New Roman" w:cs="Times New Roman" w:eastAsia="Times New Roman" w:hAnsi="Times New Roman"/>
          <w:sz w:val="18"/>
          <w:szCs w:val="18"/>
          <w:b w:val="1"/>
          <w:bCs w:val="1"/>
          <w:color w:val="auto"/>
        </w:rPr>
      </w:pPr>
    </w:p>
    <w:p>
      <w:pPr>
        <w:ind w:left="900" w:right="3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required to be filed in the Annual Report on Form 10-K are listed on page F-1 hereof and in Part II, Item 8 hereof.</w:t>
      </w:r>
    </w:p>
    <w:p>
      <w:pPr>
        <w:spacing w:after="0" w:line="158"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w:t>
      </w:r>
    </w:p>
    <w:p>
      <w:pPr>
        <w:spacing w:after="0" w:line="92" w:lineRule="exact"/>
        <w:rPr>
          <w:rFonts w:ascii="Times New Roman" w:cs="Times New Roman" w:eastAsia="Times New Roman" w:hAnsi="Times New Roman"/>
          <w:sz w:val="18"/>
          <w:szCs w:val="18"/>
          <w:b w:val="1"/>
          <w:bCs w:val="1"/>
          <w:color w:val="auto"/>
        </w:rPr>
      </w:pPr>
    </w:p>
    <w:p>
      <w:pPr>
        <w:ind w:left="900" w:right="1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 schedule required in the Annual Report on Form 10-K is listed on page F-1 hereof. The required schedule appears on pages F-2 through F-6 hereof.</w:t>
      </w:r>
    </w:p>
    <w:p>
      <w:pPr>
        <w:spacing w:after="0" w:line="158"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3.1</w:t>
            </w: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Certificate of Formation of the Registrant (incorporated by reference to Exhibit 3.1 to the Registrant’s Registration Statement (File No. 333-</w:t>
            </w:r>
          </w:p>
        </w:tc>
      </w:tr>
      <w:tr>
        <w:trPr>
          <w:trHeight w:val="228"/>
        </w:trPr>
        <w:tc>
          <w:tcPr>
            <w:tcW w:w="7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126751) on Form S-4 filed on July 21, 2005).</w:t>
            </w:r>
          </w:p>
        </w:tc>
      </w:tr>
      <w:tr>
        <w:trPr>
          <w:trHeight w:val="312"/>
        </w:trPr>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3.2</w:t>
            </w: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Certificate of Amendment of Certificate of Formation of the Registrant, changing name to Lazard Group LLC (incorporated by reference to</w:t>
            </w:r>
          </w:p>
        </w:tc>
      </w:tr>
      <w:tr>
        <w:trPr>
          <w:trHeight w:val="228"/>
        </w:trPr>
        <w:tc>
          <w:tcPr>
            <w:tcW w:w="7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Exhibit 3.2 to the Registrant’s Registration Statement (File No. 333-126751) on Form S-4 filed on July 21, 2005).</w:t>
            </w:r>
          </w:p>
        </w:tc>
      </w:tr>
      <w:tr>
        <w:trPr>
          <w:trHeight w:val="312"/>
        </w:trPr>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3.3</w:t>
            </w: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Operating Agreement of Lazard Group LLC, dated as of May 10, 2005 (incorporated by reference to Exhibit 10.2 to Lazard Ltd’s Quarterly</w:t>
            </w:r>
          </w:p>
        </w:tc>
      </w:tr>
      <w:tr>
        <w:trPr>
          <w:trHeight w:val="228"/>
        </w:trPr>
        <w:tc>
          <w:tcPr>
            <w:tcW w:w="7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Report (File No. 001-32492) on Form 10-Q filed on June 16, 2005).</w:t>
            </w:r>
          </w:p>
        </w:tc>
      </w:tr>
      <w:tr>
        <w:trPr>
          <w:trHeight w:val="312"/>
        </w:trPr>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3.4</w:t>
            </w: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Amendment No. 1 to the Operating Agreement of Lazard Group LLC, dated as of December 19, 2005 (incorporated by reference to Exhibit</w:t>
            </w:r>
          </w:p>
        </w:tc>
      </w:tr>
      <w:tr>
        <w:trPr>
          <w:trHeight w:val="228"/>
        </w:trPr>
        <w:tc>
          <w:tcPr>
            <w:tcW w:w="7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3.01 to the Registrant’s Current Report on Form 8-K (File No. 333-126751) filed on December 19, 2005).</w:t>
            </w:r>
          </w:p>
        </w:tc>
      </w:tr>
      <w:tr>
        <w:trPr>
          <w:trHeight w:val="312"/>
        </w:trPr>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3.5</w:t>
            </w: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Amendment No. 2, dated as of May 7, 2008, to the Operating Agreement of Lazard Group LLC, dated as of May 10, 2005 (incorporated by</w:t>
            </w:r>
          </w:p>
        </w:tc>
      </w:tr>
      <w:tr>
        <w:trPr>
          <w:trHeight w:val="228"/>
        </w:trPr>
        <w:tc>
          <w:tcPr>
            <w:tcW w:w="7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reference to Exhibit 3.1 to the Registrant’s Current Report on Form 8-K (File No. 333-126751) filed on May 8, 2008).</w:t>
            </w:r>
          </w:p>
        </w:tc>
      </w:tr>
      <w:tr>
        <w:trPr>
          <w:trHeight w:val="312"/>
        </w:trPr>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3.6</w:t>
            </w: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Amendment No. 3, dated as of April 27, 2010, to the Operating Agreement of Lazard Group LLC, dated as of May 10, 2005 (incorporated by</w:t>
            </w:r>
          </w:p>
        </w:tc>
      </w:tr>
      <w:tr>
        <w:trPr>
          <w:trHeight w:val="228"/>
        </w:trPr>
        <w:tc>
          <w:tcPr>
            <w:tcW w:w="7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reference to Exhibit 3.6 to the Registrant’s Quarterly Report (File No. 333-126751) on Form 10-Q filed on April 30, 2010).</w:t>
            </w:r>
          </w:p>
        </w:tc>
      </w:tr>
      <w:tr>
        <w:trPr>
          <w:trHeight w:val="312"/>
        </w:trPr>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4.1</w:t>
            </w: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Indenture, dated as of May 10, 2005, by and between the Registrant and The Bank of New York, as Trustee (incorporated by reference to</w:t>
            </w:r>
          </w:p>
        </w:tc>
      </w:tr>
      <w:tr>
        <w:trPr>
          <w:trHeight w:val="228"/>
        </w:trPr>
        <w:tc>
          <w:tcPr>
            <w:tcW w:w="7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Exhibit 4.1 to the Registrant’s Registration Statement (File No. 333-126751) on Form S-4 filed on July 21, 2005).</w:t>
            </w:r>
          </w:p>
        </w:tc>
      </w:tr>
      <w:tr>
        <w:trPr>
          <w:trHeight w:val="312"/>
        </w:trPr>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4.2</w:t>
            </w: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First Supplemental Indenture, dated as of May 10, 2005, by and between the Registrant and The Bank of New York, as trustee (incorporated</w:t>
            </w:r>
          </w:p>
        </w:tc>
      </w:tr>
      <w:tr>
        <w:trPr>
          <w:trHeight w:val="228"/>
        </w:trPr>
        <w:tc>
          <w:tcPr>
            <w:tcW w:w="7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 reference to Exhibit 4.2 to the Registrant’s Registration Statement (File No. 333-126751) on Form S-4 filed on July 21, 2005).</w:t>
            </w:r>
          </w:p>
        </w:tc>
      </w:tr>
      <w:tr>
        <w:trPr>
          <w:trHeight w:val="312"/>
        </w:trPr>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4.3</w:t>
            </w: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Fourth Supplemental Indenture, dated as of June 21, 2007, between the Registrant and The Bank of New York, as trustee (incorporated by</w:t>
            </w:r>
          </w:p>
        </w:tc>
      </w:tr>
      <w:tr>
        <w:trPr>
          <w:trHeight w:val="228"/>
        </w:trPr>
        <w:tc>
          <w:tcPr>
            <w:tcW w:w="7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reference to Exhibit 4.1 to the Registrant’s Current Report on Form 8-K (File No. 333-126751) filed on June 22, 2007).</w:t>
            </w:r>
          </w:p>
        </w:tc>
      </w:tr>
      <w:tr>
        <w:trPr>
          <w:trHeight w:val="312"/>
        </w:trPr>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4.4</w:t>
            </w: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Fifth Supplemental Indenture, dated as of November 14, 2013, between Lazard Group LLC and The Bank of New York Mellon, as trustee</w:t>
            </w:r>
          </w:p>
        </w:tc>
      </w:tr>
      <w:tr>
        <w:trPr>
          <w:trHeight w:val="228"/>
        </w:trPr>
        <w:tc>
          <w:tcPr>
            <w:tcW w:w="760" w:type="dxa"/>
            <w:vAlign w:val="bottom"/>
          </w:tcPr>
          <w:p>
            <w:pPr>
              <w:spacing w:after="0"/>
              <w:rPr>
                <w:sz w:val="19"/>
                <w:szCs w:val="19"/>
                <w:color w:val="auto"/>
              </w:rPr>
            </w:pP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(incorporated by reference to Exhibit 4.1 to the Registrant’s Current Report on Form 8-K (File No. 333-126751) filed on November 14, 2013).</w:t>
            </w:r>
          </w:p>
        </w:tc>
      </w:tr>
      <w:tr>
        <w:trPr>
          <w:trHeight w:val="324"/>
        </w:trPr>
        <w:tc>
          <w:tcPr>
            <w:tcW w:w="7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4.5</w:t>
            </w:r>
          </w:p>
        </w:tc>
        <w:tc>
          <w:tcPr>
            <w:tcW w:w="105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 of Senior Notes (included in Exhibits 4.2, 4.3 and 4.4).</w:t>
            </w:r>
          </w:p>
        </w:tc>
      </w:tr>
      <w:tr>
        <w:trPr>
          <w:trHeight w:val="365"/>
        </w:trPr>
        <w:tc>
          <w:tcPr>
            <w:tcW w:w="760" w:type="dxa"/>
            <w:vAlign w:val="bottom"/>
          </w:tcPr>
          <w:p>
            <w:pPr>
              <w:spacing w:after="0"/>
              <w:rPr>
                <w:sz w:val="24"/>
                <w:szCs w:val="24"/>
                <w:color w:val="auto"/>
              </w:rPr>
            </w:pPr>
          </w:p>
        </w:tc>
        <w:tc>
          <w:tcPr>
            <w:tcW w:w="1054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132</w:t>
            </w:r>
          </w:p>
        </w:tc>
      </w:tr>
    </w:tbl>
    <w:p>
      <w:pPr>
        <w:sectPr>
          <w:pgSz w:w="11900" w:h="16838" w:orient="portrait"/>
          <w:cols w:equalWidth="0" w:num="1">
            <w:col w:w="11400"/>
          </w:cols>
          <w:pgMar w:left="240" w:top="455" w:right="2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Amended and Restated Operating Agreement of Lazard Strategic Coordination Company LLC, dated as of January 1, 2002 (incorporated by</w:t>
            </w:r>
          </w:p>
        </w:tc>
      </w:tr>
      <w:tr>
        <w:trPr>
          <w:trHeight w:val="228"/>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reference to Exhibit 10.16 to Lazard Ltd’s Registration Statement (File No. 333-121407) on Form S-l/A filed on February 11,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Lease, dated as of January 27, 1994, by and between Rockefeller Center Properties and Lazard Frères &amp; Co. LLC (incorporated by reference</w:t>
            </w:r>
          </w:p>
        </w:tc>
      </w:tr>
      <w:tr>
        <w:trPr>
          <w:trHeight w:val="228"/>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 Exhibit 10.19 to Lazard Ltd’s Registration Statement (File No. 333-121407) on Form S-l/A filed on February 11,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Amendment dated as of February 16, 2001, by and among RCPI Landmark Properties, L.L.C. (as the successor in interest to Rockefeller</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Center Properties), RCPI 30 Rock 22234849, L.L.C. and Lazard Group LLC (as the successor in interest to Lazard Frères &amp; Co. LLC), to the</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Lease dated as of January 27, 1994, by and among Rockefeller Center Properties and Lazard Frères &amp; Co. LLC (incorporated by reference to</w:t>
            </w:r>
          </w:p>
        </w:tc>
      </w:tr>
      <w:tr>
        <w:trPr>
          <w:trHeight w:val="228"/>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Exhibit 10.15 to the Registrant’s Quarterly Report (File No. 333-126751) on Form 10-Q filed on April 29, 2011).</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Occupational Lease, dated as of August 9, 2002, by and among Burford (Stratton) Nominee 1 Limited, Burford (Stratton) Nominee 2 Limited,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Burford (Stratton) Limited, Lazard &amp; Co., Limited and Lazard LLC (incorporated by reference to Exhibit 10.21 to Lazard Ltd’s Registration</w:t>
            </w:r>
          </w:p>
        </w:tc>
      </w:tr>
      <w:tr>
        <w:trPr>
          <w:trHeight w:val="228"/>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Statement (File No. 333-121407) on Form S-l/A filed on February 11,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Lazard Ltd’s 2005 Equity Incentive Plan (incorporated by reference to Exhibit 10.21 to Lazard Ltd’s Registration Statement (File No. 333-</w:t>
            </w:r>
          </w:p>
        </w:tc>
      </w:tr>
      <w:tr>
        <w:trPr>
          <w:trHeight w:val="228"/>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121407) on Form S-l/A filed on May 2,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Lazard Ltd’s 2008 Incentive Compensation Plan (incorporated by reference to Annex B to Lazard Ltd’s Definitive Proxy Statement on</w:t>
            </w:r>
          </w:p>
        </w:tc>
      </w:tr>
      <w:tr>
        <w:trPr>
          <w:trHeight w:val="228"/>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Schedule 14A (File No. 001-32492) filed on March 24, 2008).</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Lazard Ltd’s 2005 Bonus Plan (incorporated by reference to Exhibit 10.23 to Lazard Ltd’s Registration Statement (File No. 333-121407) on</w:t>
            </w:r>
          </w:p>
        </w:tc>
      </w:tr>
      <w:tr>
        <w:trPr>
          <w:trHeight w:val="228"/>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S-l/A filed on March 21,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Agreement Relating to Retention and Noncompetition and Other Covenants, dated as of May 4, 2005, applicable to and related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Schedule I for, Scott D. Hoffman (incorporated by reference to Exhibit 10.26 to Lazard Ltd’s Quarterly Report (File No. 001-32492) on Form</w:t>
            </w:r>
          </w:p>
        </w:tc>
      </w:tr>
      <w:tr>
        <w:trPr>
          <w:trHeight w:val="228"/>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10-Q filed on June 16,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Form of First Amendment, dated as of May 7, 2008, to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of May 4, 2005, for Scott D. Hoffman (incorporated by reference to Exhibit 10.2 to the Registrant’s Current Report on Form 8-K (File No.</w:t>
            </w:r>
          </w:p>
        </w:tc>
      </w:tr>
      <w:tr>
        <w:trPr>
          <w:trHeight w:val="228"/>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333-126751) filed on May 9, 2008).</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Amendment, dated as of February 23,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May 4, 2005 and amended as of May 7, 2008 for Scott D. Hoffman (incorporated by reference to Exhibit 10.24 to the Registrant’s Quarterly</w:t>
            </w:r>
          </w:p>
        </w:tc>
      </w:tr>
      <w:tr>
        <w:trPr>
          <w:trHeight w:val="228"/>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Report (File No. 333-126751) on Form 10-Q filed on April 29, 2011).</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Agreement Relating to Retention and Noncompetition and other Covenants (incorporated by reference to Exhibit 10.27 to Lazard</w:t>
            </w:r>
          </w:p>
        </w:tc>
      </w:tr>
      <w:tr>
        <w:trPr>
          <w:trHeight w:val="228"/>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Ltd’s Registration Statement (File No. 333-121407) on Form S-l/A filed on April 11,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Alexander F. Stern (incorporated by reference to Exhibit 10.28 to Registrant’s Annual Report (File No. 333-126751) on Form 10-K filed on</w:t>
            </w:r>
          </w:p>
        </w:tc>
      </w:tr>
      <w:tr>
        <w:trPr>
          <w:trHeight w:val="228"/>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2, 2009).</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October 4, 2004, with Alexander F. Stern (incorporated by reference to Exhibit 10.2 to the Registrant’s Current Report on Form 8-K (File No.</w:t>
            </w:r>
          </w:p>
        </w:tc>
      </w:tr>
      <w:tr>
        <w:trPr>
          <w:trHeight w:val="228"/>
        </w:trPr>
        <w:tc>
          <w:tcPr>
            <w:tcW w:w="940" w:type="dxa"/>
            <w:vAlign w:val="bottom"/>
          </w:tcPr>
          <w:p>
            <w:pPr>
              <w:spacing w:after="0"/>
              <w:rPr>
                <w:sz w:val="19"/>
                <w:szCs w:val="19"/>
                <w:color w:val="auto"/>
              </w:rPr>
            </w:pPr>
          </w:p>
        </w:tc>
        <w:tc>
          <w:tcPr>
            <w:tcW w:w="10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333-126751) filed on March 23, 2010).</w:t>
            </w:r>
          </w:p>
        </w:tc>
      </w:tr>
      <w:tr>
        <w:trPr>
          <w:trHeight w:val="365"/>
        </w:trPr>
        <w:tc>
          <w:tcPr>
            <w:tcW w:w="940" w:type="dxa"/>
            <w:vAlign w:val="bottom"/>
          </w:tcPr>
          <w:p>
            <w:pPr>
              <w:spacing w:after="0"/>
              <w:rPr>
                <w:sz w:val="24"/>
                <w:szCs w:val="24"/>
                <w:color w:val="auto"/>
              </w:rPr>
            </w:pPr>
          </w:p>
        </w:tc>
        <w:tc>
          <w:tcPr>
            <w:tcW w:w="1044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133</w:t>
            </w:r>
          </w:p>
        </w:tc>
      </w:tr>
    </w:tbl>
    <w:p>
      <w:pPr>
        <w:sectPr>
          <w:pgSz w:w="11900" w:h="16838" w:orient="portrait"/>
          <w:cols w:equalWidth="0" w:num="1">
            <w:col w:w="11380"/>
          </w:cols>
          <w:pgMar w:left="240" w:top="455" w:right="27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Agreement Relating to Retention and Noncompetition and Other Covenants, dated as of March 18, 2005, by and between the Registrant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Kenneth M. Jacobs (incorporated by reference to Exhibit 10.29 to the Registrant’s Annual Report on Form 10-K (File No. 333-126751) filed</w:t>
            </w:r>
          </w:p>
        </w:tc>
      </w:tr>
      <w:tr>
        <w:trPr>
          <w:trHeight w:val="228"/>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March 1, 2010).</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March 18, 2005, with Kenneth M. Jacobs (incorporated by reference to Exhibit 10.1 to the Registrant’s Current Report on Form 8-K (File No.</w:t>
            </w:r>
          </w:p>
        </w:tc>
      </w:tr>
      <w:tr>
        <w:trPr>
          <w:trHeight w:val="228"/>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333-126751) filed on March 23, 2010).</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Matthieu Bucaille (incorporated by reference to Exhibit 10.30 to the Registrant’s Quarterly Report (File No. 333-126751) on Form 10-Q filed</w:t>
            </w:r>
          </w:p>
        </w:tc>
      </w:tr>
      <w:tr>
        <w:trPr>
          <w:trHeight w:val="228"/>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April 29, 2011).</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First Amendment, dated as of April 1,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October 4, 2004, between the Registrant and Matthieu Bucaille (incorporated by reference to Exhibit 10.31 to the Registrant’s Quarterly</w:t>
            </w:r>
          </w:p>
        </w:tc>
      </w:tr>
      <w:tr>
        <w:trPr>
          <w:trHeight w:val="228"/>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Report (File No. 333-126751) on Form 10-Q filed on April 29, 2011).</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Description of Non-Executive Director Compensation (incorporated by reference to Exhibit 10.33 to Lazard Ltd’s Quarterly Report (File No.</w:t>
            </w:r>
          </w:p>
        </w:tc>
      </w:tr>
      <w:tr>
        <w:trPr>
          <w:trHeight w:val="228"/>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001-32492) on Form 10-Q for the quarter ended June 30,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Award Letter for Annual Grant of Deferred Stock Units to Non-Executive Directors (incorporated by reference to Exhibit 99.1 to</w:t>
            </w:r>
          </w:p>
        </w:tc>
      </w:tr>
      <w:tr>
        <w:trPr>
          <w:trHeight w:val="228"/>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Lazard Ltd’s Current Report on Form 8-K (File No. 001-32492) filed on September 8, 2005).</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Form of Agreement evidencing a grant of Restricted Stock Units to Executive Officers under the 2005 Equity Incentive Plan (incorporated by</w:t>
            </w:r>
          </w:p>
        </w:tc>
      </w:tr>
      <w:tr>
        <w:trPr>
          <w:trHeight w:val="228"/>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reference to Exhibit 10.1 to Lazard Ltd’s Current Report on Form 8-K (File No. 001-32492) filed on January 26, 2006).</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Agreement evidencing a grant of Restricted Stock Units to Executive Officers under the 2008 Incentive Compensation Plan</w:t>
            </w:r>
          </w:p>
        </w:tc>
      </w:tr>
      <w:tr>
        <w:trPr>
          <w:trHeight w:val="228"/>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(incorporated by reference to Exhibit 10.41 to Lazard Ltd’s Annual Report (File No. 001-32492) on Form 10-K filed on March 2, 2009).</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Agreement evidencing a grant of Deferred Cash Award to Executive Officers under the 2008 incentive Compensation Plan</w:t>
            </w:r>
          </w:p>
        </w:tc>
      </w:tr>
      <w:tr>
        <w:trPr>
          <w:trHeight w:val="228"/>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(incorporated by reference to Exhibit 10.42 to Lazard Ltd’s Annual Report (File No. 001-32492) on Form 10-K filed on March 2, 2009).</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Directors Fee Deferral Unit Plan (incorporated by reference to Exhibit 10.39 to Lazard Ltd’s Quarterly Report (File No. 001-32492) on Form</w:t>
            </w:r>
          </w:p>
        </w:tc>
      </w:tr>
      <w:tr>
        <w:trPr>
          <w:trHeight w:val="228"/>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10-Q filed on May 11, 2006).</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First Amended Form of Agreement evidencing a grant of Restricted Stock Units to Executive Officers under the 2005 Equity Incentive Plan</w:t>
            </w:r>
          </w:p>
        </w:tc>
      </w:tr>
      <w:tr>
        <w:trPr>
          <w:trHeight w:val="228"/>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(incorporated by reference to Exhibit 10.43 to Lazard Ltd’s Annual Report (File No. 001-32492) on Form 10-K filed on March 1, 2007).</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Senior Revolving Credit Agreement, dated as of September 25, 2012, among the Registrant, the Banks from time to time parties thereto,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Citibank, N.A., as Administrative Agent (incorporated by reference to Exhibit 10.46 to the Registrant’s Quarterly Report (File No. 333-</w:t>
            </w:r>
          </w:p>
        </w:tc>
      </w:tr>
      <w:tr>
        <w:trPr>
          <w:trHeight w:val="228"/>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126751) on Form 10-Q filed on November 1, 2012).</w:t>
            </w:r>
          </w:p>
        </w:tc>
      </w:tr>
      <w:tr>
        <w:trPr>
          <w:trHeight w:val="3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Form of Agreement evidencing a grant of Restricted Stock under the 2008 Incentive Compensation Plan (incorporated by reference to Exhibit</w:t>
            </w:r>
          </w:p>
        </w:tc>
      </w:tr>
      <w:tr>
        <w:trPr>
          <w:trHeight w:val="228"/>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10.54 to the Registrant’s Quarterly Report (File No. 333-126751) on Form 10-Q filed on April 30, 2010).</w:t>
            </w:r>
          </w:p>
        </w:tc>
      </w:tr>
      <w:tr>
        <w:trPr>
          <w:trHeight w:val="365"/>
        </w:trPr>
        <w:tc>
          <w:tcPr>
            <w:tcW w:w="940" w:type="dxa"/>
            <w:vAlign w:val="bottom"/>
          </w:tcPr>
          <w:p>
            <w:pPr>
              <w:spacing w:after="0"/>
              <w:rPr>
                <w:sz w:val="24"/>
                <w:szCs w:val="24"/>
                <w:color w:val="auto"/>
              </w:rPr>
            </w:pPr>
          </w:p>
        </w:tc>
        <w:tc>
          <w:tcPr>
            <w:tcW w:w="1042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134</w:t>
            </w:r>
          </w:p>
        </w:tc>
      </w:tr>
    </w:tbl>
    <w:p>
      <w:pPr>
        <w:sectPr>
          <w:pgSz w:w="11900" w:h="16838" w:orient="portrait"/>
          <w:cols w:equalWidth="0" w:num="1">
            <w:col w:w="11360"/>
          </w:cols>
          <w:pgMar w:left="240" w:top="455" w:right="29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6"/>
              </w:rPr>
              <w:t>10.27*</w:t>
            </w: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Form of Agreement evidencing a grant of Lazard Fund Interests under the 2008 Incentive Compensation Plan (incorporated by reference to</w:t>
            </w:r>
          </w:p>
        </w:tc>
      </w:tr>
      <w:tr>
        <w:trPr>
          <w:trHeight w:val="228"/>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Exhibit 10.54 to the Registrant’s Quarterly Report (File No. 333-126751) on Form 10-Q filed on April 29, 2011).</w:t>
            </w:r>
          </w:p>
        </w:tc>
      </w:tr>
      <w:tr>
        <w:trPr>
          <w:trHeight w:val="312"/>
        </w:trPr>
        <w:tc>
          <w:tcPr>
            <w:tcW w:w="9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6"/>
              </w:rPr>
              <w:t>10.28*</w:t>
            </w: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Form of Agreement evidencing a grant of Restricted Stock Units and Restricted Stock to Executive Officers who are or may become eligible</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for retirement under the 2008 Incentive Compensation Plan (incorporated by reference to Exhibit 10.52 to the Registrant’s Quarterly Report</w:t>
            </w:r>
          </w:p>
        </w:tc>
      </w:tr>
      <w:tr>
        <w:trPr>
          <w:trHeight w:val="228"/>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(File No. 333-126751) on Form 10-Q filed on May 2, 2012).</w:t>
            </w:r>
          </w:p>
        </w:tc>
      </w:tr>
      <w:tr>
        <w:trPr>
          <w:trHeight w:val="312"/>
        </w:trPr>
        <w:tc>
          <w:tcPr>
            <w:tcW w:w="9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6"/>
              </w:rPr>
              <w:t>10.29*</w:t>
            </w: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First Amendment, dated as of August 2,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March 15, 2005, between the Registrant and Ashish Bhutani (incorporated by reference to Exhibit 10.55 to the Registrant’s Quarterly Report</w:t>
            </w:r>
          </w:p>
        </w:tc>
      </w:tr>
      <w:tr>
        <w:trPr>
          <w:trHeight w:val="228"/>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(File No. 333-126751) on Form 10-Q filed on August 4, 2011).</w:t>
            </w:r>
          </w:p>
        </w:tc>
      </w:tr>
      <w:tr>
        <w:trPr>
          <w:trHeight w:val="312"/>
        </w:trPr>
        <w:tc>
          <w:tcPr>
            <w:tcW w:w="9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6"/>
              </w:rPr>
              <w:t>10.30*</w:t>
            </w: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Second Amendment, dated as of October 24, 2012,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of March 18, 2005, and amended on March 23, 2010, among the Registrant, Lazard Ltd and Kenneth M. Jacobs (incorporated by reference to</w:t>
            </w:r>
          </w:p>
        </w:tc>
      </w:tr>
      <w:tr>
        <w:trPr>
          <w:trHeight w:val="228"/>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Exhibit 10.51 to the Registrant’s Quarterly Report (File No. 333-126751) on Form 10-Q filed on November 1, 2012).</w:t>
            </w:r>
          </w:p>
        </w:tc>
      </w:tr>
      <w:tr>
        <w:trPr>
          <w:trHeight w:val="312"/>
        </w:trPr>
        <w:tc>
          <w:tcPr>
            <w:tcW w:w="9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6"/>
              </w:rPr>
              <w:t>10.31*</w:t>
            </w: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 March 15, 2005 and amended on August 2, 2011, among the Registrant, Lazard Ltd and Ashish Bhutani (incorporated by reference to</w:t>
            </w:r>
          </w:p>
        </w:tc>
      </w:tr>
      <w:tr>
        <w:trPr>
          <w:trHeight w:val="228"/>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Exhibit 10.49 to the Registrant’s Quarterly Report (File No. 333-126751) on Form 10-Q filed on April 30, 2013).</w:t>
            </w:r>
          </w:p>
        </w:tc>
      </w:tr>
      <w:tr>
        <w:trPr>
          <w:trHeight w:val="312"/>
        </w:trPr>
        <w:tc>
          <w:tcPr>
            <w:tcW w:w="9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6"/>
              </w:rPr>
              <w:t>10.32*</w:t>
            </w: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 October 4, 2004 and amended on April 1, 2011, among the Registrant, Lazard Ltd and Matthieu Bucaille (incorporated by reference to</w:t>
            </w:r>
          </w:p>
        </w:tc>
      </w:tr>
      <w:tr>
        <w:trPr>
          <w:trHeight w:val="228"/>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Exhibit 10.50 to the Registrant’s Quarterly Report (File No. 333-126751) on Form 10-Q filed on April 30, 2013).</w:t>
            </w:r>
          </w:p>
        </w:tc>
      </w:tr>
      <w:tr>
        <w:trPr>
          <w:trHeight w:val="312"/>
        </w:trPr>
        <w:tc>
          <w:tcPr>
            <w:tcW w:w="9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6"/>
              </w:rPr>
              <w:t>10.33*</w:t>
            </w: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of May 4, 2005 and amended on May 7, 2008 and February 23, 2011, among the Registrant, Lazard Ltd and Scott D. Hoffman (incorporated</w:t>
            </w:r>
          </w:p>
        </w:tc>
      </w:tr>
      <w:tr>
        <w:trPr>
          <w:trHeight w:val="228"/>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 reference to Exhibit 10.51 to the Registrant’s Quarterly Report (File No. 333-126751) on Form 10-Q filed on April 30, 2013).</w:t>
            </w:r>
          </w:p>
        </w:tc>
      </w:tr>
      <w:tr>
        <w:trPr>
          <w:trHeight w:val="312"/>
        </w:trPr>
        <w:tc>
          <w:tcPr>
            <w:tcW w:w="9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6"/>
              </w:rPr>
              <w:t>10.34*</w:t>
            </w: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of October 4, 2004 and amended on March 23, 2010, among the Registrant, Lazard Ltd and Alexander F. Stern (incorporated by reference to</w:t>
            </w:r>
          </w:p>
        </w:tc>
      </w:tr>
      <w:tr>
        <w:trPr>
          <w:trHeight w:val="228"/>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Exhibit 10.52 to the Registrant’s Quarterly Report (File No. 333-126751) on Form 10-Q filed on April 30, 2013).</w:t>
            </w:r>
          </w:p>
        </w:tc>
      </w:tr>
      <w:tr>
        <w:trPr>
          <w:trHeight w:val="312"/>
        </w:trPr>
        <w:tc>
          <w:tcPr>
            <w:tcW w:w="9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6"/>
              </w:rPr>
              <w:t>10.35*</w:t>
            </w: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Agreement evidencing a grant of Performance-Based Stock Units under the 2008 Incentive Compensation Plan (incorporated by</w:t>
            </w:r>
          </w:p>
        </w:tc>
      </w:tr>
      <w:tr>
        <w:trPr>
          <w:trHeight w:val="228"/>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reference to Exhibit 10.53 to the Registrant’s Quarterly Report (File No. 333-126751) on Form 10-Q filed on April 30, 2013).</w:t>
            </w:r>
          </w:p>
        </w:tc>
      </w:tr>
      <w:tr>
        <w:trPr>
          <w:trHeight w:val="312"/>
        </w:trPr>
        <w:tc>
          <w:tcPr>
            <w:tcW w:w="9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6"/>
              </w:rPr>
              <w:t>10.36*</w:t>
            </w: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Form of Agreement evidencing a grant of Lazard Fund Interests to Named Executive Officers under the 2008 Incentive Compensation Plan</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(incorporated by reference to Exhibit 10.54 to the Registrant’s Quarterly Report (File No. 333-126751) on Form 10-Q filed on April 30,</w:t>
            </w:r>
          </w:p>
        </w:tc>
      </w:tr>
      <w:tr>
        <w:trPr>
          <w:trHeight w:val="228"/>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2013).</w:t>
            </w:r>
          </w:p>
        </w:tc>
      </w:tr>
      <w:tr>
        <w:trPr>
          <w:trHeight w:val="312"/>
        </w:trPr>
        <w:tc>
          <w:tcPr>
            <w:tcW w:w="9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96"/>
              </w:rPr>
              <w:t>10.37*</w:t>
            </w: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Form of Agreement evidencing a grant of Restricted Stock Units to Named Executive Officers under the 2008 Incentive Compensation Plan</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(incorporated by reference to Exhibit 10.55 to the Registrant’s Quarterly Report (File No. 333-126751) on Form 10-Q filed on April 30,</w:t>
            </w:r>
          </w:p>
        </w:tc>
      </w:tr>
      <w:tr>
        <w:trPr>
          <w:trHeight w:val="228"/>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2013).</w:t>
            </w:r>
          </w:p>
        </w:tc>
      </w:tr>
      <w:tr>
        <w:trPr>
          <w:trHeight w:val="365"/>
        </w:trPr>
        <w:tc>
          <w:tcPr>
            <w:tcW w:w="940" w:type="dxa"/>
            <w:vAlign w:val="bottom"/>
          </w:tcPr>
          <w:p>
            <w:pPr>
              <w:spacing w:after="0"/>
              <w:rPr>
                <w:sz w:val="24"/>
                <w:szCs w:val="24"/>
                <w:color w:val="auto"/>
              </w:rPr>
            </w:pPr>
          </w:p>
        </w:tc>
        <w:tc>
          <w:tcPr>
            <w:tcW w:w="1046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135</w:t>
            </w:r>
          </w:p>
        </w:tc>
      </w:tr>
    </w:tbl>
    <w:p>
      <w:pPr>
        <w:sectPr>
          <w:pgSz w:w="11900" w:h="16838" w:orient="portrait"/>
          <w:cols w:equalWidth="0" w:num="1">
            <w:col w:w="11400"/>
          </w:cols>
          <w:pgMar w:left="240" w:top="455" w:right="2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6"/>
              </w:rPr>
              <w:t>10.38*</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Form of Agreement evidencing a February 20, 2014 grant of Performance-Based Stock Units under the 2008 Incentive Compensation Plan</w:t>
            </w:r>
          </w:p>
        </w:tc>
      </w:tr>
      <w:tr>
        <w:trPr>
          <w:trHeight w:val="228"/>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(incorporated by reference to Exhibit 10.54 to the Registrant’s Quarterly Report (File No. 333-126751) on Form 10-Q filed on May 6, 2014).</w:t>
            </w:r>
          </w:p>
        </w:tc>
      </w:tr>
      <w:tr>
        <w:trPr>
          <w:trHeight w:val="312"/>
        </w:trPr>
        <w:tc>
          <w:tcPr>
            <w:tcW w:w="10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6"/>
              </w:rPr>
              <w:t>10.39*</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Agreement between Lazard Ltd and Kenneth M. Jacobs, dated as of February 20, 2014, evidencing a grant of Performance-Based Stock Units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under the 2008 Incentive Compensation Plan (incorporated by reference to Exhibit 10.55 to the Registrant’s Quarterly Report (File</w:t>
            </w:r>
          </w:p>
        </w:tc>
      </w:tr>
      <w:tr>
        <w:trPr>
          <w:trHeight w:val="228"/>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333-126751) on Form 10-Q filed on May 6, 2014).</w:t>
            </w:r>
          </w:p>
        </w:tc>
      </w:tr>
      <w:tr>
        <w:trPr>
          <w:trHeight w:val="324"/>
        </w:trPr>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12.1</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324"/>
        </w:trPr>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21.1</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Subsidiaries of Registrant.</w:t>
            </w:r>
          </w:p>
        </w:tc>
      </w:tr>
      <w:tr>
        <w:trPr>
          <w:trHeight w:val="324"/>
        </w:trPr>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23.1</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24"/>
        </w:trPr>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31.1</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Rule 13a-14(a) Certification of Kenneth M. Jacobs.</w:t>
            </w:r>
          </w:p>
        </w:tc>
      </w:tr>
      <w:tr>
        <w:trPr>
          <w:trHeight w:val="324"/>
        </w:trPr>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31.2</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Rule 13a-14(a) Certification of Matthieu Bucaille.</w:t>
            </w:r>
          </w:p>
        </w:tc>
      </w:tr>
      <w:tr>
        <w:trPr>
          <w:trHeight w:val="324"/>
        </w:trPr>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32.1</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1350 Certification for Kenneth M. Jacobs.</w:t>
            </w:r>
          </w:p>
        </w:tc>
      </w:tr>
      <w:tr>
        <w:trPr>
          <w:trHeight w:val="324"/>
        </w:trPr>
        <w:tc>
          <w:tcPr>
            <w:tcW w:w="10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32.2</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1350 Certification for Matthieu Bucaille.</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360"/>
          </w:cols>
          <w:pgMar w:left="240" w:top="455" w:right="29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FINANCIAL STATEMENTS AND FINANCIAL STATEMENT SCHEDULE</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ITEMS 15 (a)(1) AND 15 (a)(2)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5"/>
        </w:trPr>
        <w:tc>
          <w:tcPr>
            <w:tcW w:w="4800" w:type="dxa"/>
            <w:vAlign w:val="bottom"/>
            <w:gridSpan w:val="9"/>
            <w:vMerge w:val="restart"/>
          </w:tcPr>
          <w:p>
            <w:pPr>
              <w:spacing w:after="0"/>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Management’s Report on Internal Control Over Financial Reporting</w:t>
              </w:r>
            </w:hyperlink>
          </w:p>
        </w:tc>
        <w:tc>
          <w:tcPr>
            <w:tcW w:w="6020" w:type="dxa"/>
            <w:vAlign w:val="bottom"/>
            <w:gridSpan w:val="10"/>
            <w:vMerge w:val="restart"/>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161"/>
        </w:trPr>
        <w:tc>
          <w:tcPr>
            <w:tcW w:w="4800" w:type="dxa"/>
            <w:vAlign w:val="bottom"/>
            <w:tcBorders>
              <w:bottom w:val="single" w:sz="8" w:color="0000EE"/>
            </w:tcBorders>
            <w:gridSpan w:val="9"/>
            <w:vMerge w:val="continue"/>
          </w:tcPr>
          <w:p>
            <w:pPr>
              <w:spacing w:after="0"/>
              <w:rPr>
                <w:sz w:val="13"/>
                <w:szCs w:val="13"/>
                <w:color w:val="auto"/>
              </w:rPr>
            </w:pPr>
          </w:p>
        </w:tc>
        <w:tc>
          <w:tcPr>
            <w:tcW w:w="6020" w:type="dxa"/>
            <w:vAlign w:val="bottom"/>
            <w:gridSpan w:val="10"/>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73">
              <w:r>
                <w:rPr>
                  <w:rFonts w:ascii="Times New Roman" w:cs="Times New Roman" w:eastAsia="Times New Roman" w:hAnsi="Times New Roman"/>
                  <w:sz w:val="18"/>
                  <w:szCs w:val="18"/>
                  <w:color w:val="0000EE"/>
                  <w:w w:val="97"/>
                </w:rPr>
                <w:t>Reports of Independent Registered Public Accounting Firm</w:t>
              </w:r>
            </w:hyperlink>
          </w:p>
        </w:tc>
        <w:tc>
          <w:tcPr>
            <w:tcW w:w="6620" w:type="dxa"/>
            <w:vAlign w:val="bottom"/>
            <w:gridSpan w:val="11"/>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71-72</w:t>
            </w:r>
          </w:p>
        </w:tc>
        <w:tc>
          <w:tcPr>
            <w:tcW w:w="0" w:type="dxa"/>
            <w:vAlign w:val="bottom"/>
          </w:tcPr>
          <w:p>
            <w:pPr>
              <w:spacing w:after="0"/>
              <w:rPr>
                <w:sz w:val="1"/>
                <w:szCs w:val="1"/>
                <w:color w:val="auto"/>
              </w:rPr>
            </w:pPr>
          </w:p>
        </w:tc>
      </w:tr>
      <w:tr>
        <w:trPr>
          <w:trHeight w:val="451"/>
        </w:trPr>
        <w:tc>
          <w:tcPr>
            <w:tcW w:w="108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75">
              <w:r>
                <w:rPr>
                  <w:rFonts w:ascii="Times New Roman" w:cs="Times New Roman" w:eastAsia="Times New Roman" w:hAnsi="Times New Roman"/>
                  <w:sz w:val="18"/>
                  <w:szCs w:val="18"/>
                  <w:color w:val="0000EE"/>
                  <w:w w:val="97"/>
                </w:rPr>
                <w:t>Consolidated Statements of Financial Condition as of December 31, 2014 and 2013</w:t>
              </w:r>
            </w:hyperlink>
          </w:p>
        </w:tc>
        <w:tc>
          <w:tcPr>
            <w:tcW w:w="4940" w:type="dxa"/>
            <w:vAlign w:val="bottom"/>
            <w:gridSpan w:val="9"/>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64"/>
        </w:trPr>
        <w:tc>
          <w:tcPr>
            <w:tcW w:w="67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Consolidated Statements of Operations for the years ended December 31, 2014, 2013 and 2012</w:t>
              </w:r>
            </w:hyperlink>
          </w:p>
        </w:tc>
        <w:tc>
          <w:tcPr>
            <w:tcW w:w="4120" w:type="dxa"/>
            <w:vAlign w:val="bottom"/>
            <w:gridSpan w:val="7"/>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64"/>
        </w:trPr>
        <w:tc>
          <w:tcPr>
            <w:tcW w:w="10820" w:type="dxa"/>
            <w:vAlign w:val="bottom"/>
            <w:gridSpan w:val="19"/>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Consolidated Statements of Comprehensive Income for the years ended December 31, 2014, 2013</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78">
              <w:r>
                <w:rPr>
                  <w:rFonts w:ascii="Times New Roman" w:cs="Times New Roman" w:eastAsia="Times New Roman" w:hAnsi="Times New Roman"/>
                  <w:sz w:val="18"/>
                  <w:szCs w:val="18"/>
                  <w:color w:val="0000EE"/>
                  <w:w w:val="96"/>
                </w:rPr>
                <w:t>and 2012</w:t>
              </w:r>
            </w:hyperlink>
          </w:p>
        </w:tc>
        <w:tc>
          <w:tcPr>
            <w:tcW w:w="6020" w:type="dxa"/>
            <w:vAlign w:val="bottom"/>
            <w:tcBorders>
              <w:top w:val="single" w:sz="8" w:color="0000EE"/>
            </w:tcBorders>
            <w:gridSpan w:val="11"/>
          </w:tcPr>
          <w:p>
            <w:pPr>
              <w:spacing w:after="0"/>
              <w:rPr>
                <w:sz w:val="17"/>
                <w:szCs w:val="17"/>
                <w:color w:val="auto"/>
              </w:rPr>
            </w:pPr>
          </w:p>
        </w:tc>
        <w:tc>
          <w:tcPr>
            <w:tcW w:w="3920" w:type="dxa"/>
            <w:vAlign w:val="bottom"/>
            <w:gridSpan w:val="5"/>
          </w:tcPr>
          <w:p>
            <w:pPr>
              <w:spacing w:after="0"/>
              <w:rPr>
                <w:sz w:val="17"/>
                <w:szCs w:val="17"/>
                <w:color w:val="auto"/>
              </w:rPr>
            </w:pP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64"/>
        </w:trPr>
        <w:tc>
          <w:tcPr>
            <w:tcW w:w="10820" w:type="dxa"/>
            <w:vAlign w:val="bottom"/>
            <w:gridSpan w:val="19"/>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Consolidated Statements of Cash Flows for the years ended December 31, 2014, 2013 and 2012</w:t>
              </w:r>
            </w:hyperlink>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Changes in Members’ Equity for the years ended December 31, 2014, 2013 and 2012</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64"/>
        </w:trPr>
        <w:tc>
          <w:tcPr>
            <w:tcW w:w="802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Notes to Consolidated Financial Statements</w:t>
              </w:r>
            </w:hyperlink>
          </w:p>
        </w:tc>
        <w:tc>
          <w:tcPr>
            <w:tcW w:w="2800" w:type="dxa"/>
            <w:vAlign w:val="bottom"/>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412"/>
        </w:trPr>
        <w:tc>
          <w:tcPr>
            <w:tcW w:w="3080" w:type="dxa"/>
            <w:vAlign w:val="bottom"/>
            <w:tcBorders>
              <w:top w:val="single" w:sz="8" w:color="0000EE"/>
            </w:tcBorders>
            <w:gridSpan w:val="6"/>
          </w:tcPr>
          <w:p>
            <w:pPr>
              <w:spacing w:after="0"/>
              <w:rPr>
                <w:rFonts w:ascii="Times New Roman" w:cs="Times New Roman" w:eastAsia="Times New Roman" w:hAnsi="Times New Roman"/>
                <w:sz w:val="18"/>
                <w:szCs w:val="18"/>
                <w:b w:val="1"/>
                <w:bCs w:val="1"/>
                <w:color w:val="0000EE"/>
              </w:rPr>
            </w:pPr>
            <w:hyperlink w:anchor="page130">
              <w:r>
                <w:rPr>
                  <w:rFonts w:ascii="Times New Roman" w:cs="Times New Roman" w:eastAsia="Times New Roman" w:hAnsi="Times New Roman"/>
                  <w:sz w:val="18"/>
                  <w:szCs w:val="18"/>
                  <w:b w:val="1"/>
                  <w:bCs w:val="1"/>
                  <w:color w:val="0000EE"/>
                </w:rPr>
                <w:t>Supplemental Financial Information</w:t>
              </w:r>
            </w:hyperlink>
          </w:p>
        </w:tc>
        <w:tc>
          <w:tcPr>
            <w:tcW w:w="7740" w:type="dxa"/>
            <w:vAlign w:val="bottom"/>
            <w:gridSpan w:val="13"/>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Quarterly Results</w:t>
              </w:r>
            </w:hyperlink>
          </w:p>
        </w:tc>
        <w:tc>
          <w:tcPr>
            <w:tcW w:w="8080" w:type="dxa"/>
            <w:vAlign w:val="bottom"/>
            <w:gridSpan w:val="14"/>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380" w:type="dxa"/>
            <w:vAlign w:val="bottom"/>
            <w:gridSpan w:val="17"/>
          </w:tcPr>
          <w:p>
            <w:pPr>
              <w:spacing w:after="0"/>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Condensed Statements of Financial Condition as of December 31, 2014 and 2013</w:t>
              </w:r>
            </w:hyperlink>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5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141">
              <w:r>
                <w:rPr>
                  <w:rFonts w:ascii="Times New Roman" w:cs="Times New Roman" w:eastAsia="Times New Roman" w:hAnsi="Times New Roman"/>
                  <w:sz w:val="18"/>
                  <w:szCs w:val="18"/>
                  <w:color w:val="0000EE"/>
                  <w:w w:val="97"/>
                </w:rPr>
                <w:t>Condensed Statements of Operations for the years ended December 31, 2014, 2013 and 2012</w:t>
              </w:r>
            </w:hyperlink>
          </w:p>
        </w:tc>
        <w:tc>
          <w:tcPr>
            <w:tcW w:w="3840" w:type="dxa"/>
            <w:vAlign w:val="bottom"/>
            <w:gridSpan w:val="4"/>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380" w:type="dxa"/>
            <w:vAlign w:val="bottom"/>
            <w:gridSpan w:val="17"/>
          </w:tcPr>
          <w:p>
            <w:pPr>
              <w:spacing w:after="0"/>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Condensed Statements of Comprehensive Income for the years ended December 31, 2014, 2013 and 2012</w:t>
              </w:r>
            </w:hyperlink>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143">
              <w:r>
                <w:rPr>
                  <w:rFonts w:ascii="Times New Roman" w:cs="Times New Roman" w:eastAsia="Times New Roman" w:hAnsi="Times New Roman"/>
                  <w:sz w:val="18"/>
                  <w:szCs w:val="18"/>
                  <w:color w:val="0000EE"/>
                  <w:w w:val="97"/>
                </w:rPr>
                <w:t>Condensed Statements of Cash Flows for the years ended December 31, 2014, 2013 and 2012</w:t>
              </w:r>
            </w:hyperlink>
          </w:p>
        </w:tc>
        <w:tc>
          <w:tcPr>
            <w:tcW w:w="840" w:type="dxa"/>
            <w:vAlign w:val="bottom"/>
            <w:tcBorders>
              <w:top w:val="single" w:sz="8" w:color="0000EE"/>
            </w:tcBorders>
          </w:tcPr>
          <w:p>
            <w:pPr>
              <w:spacing w:after="0"/>
              <w:rPr>
                <w:sz w:val="22"/>
                <w:szCs w:val="22"/>
                <w:color w:val="auto"/>
              </w:rPr>
            </w:pPr>
          </w:p>
        </w:tc>
        <w:tc>
          <w:tcPr>
            <w:tcW w:w="2940" w:type="dxa"/>
            <w:vAlign w:val="bottom"/>
            <w:gridSpan w:val="2"/>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380" w:type="dxa"/>
            <w:vAlign w:val="bottom"/>
            <w:gridSpan w:val="17"/>
          </w:tcPr>
          <w:p>
            <w:pPr>
              <w:spacing w:after="0"/>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Notes to Condensed Financial Statements</w:t>
              </w:r>
            </w:hyperlink>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consolidated financial statements or notes thereto.</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320"/>
          </w:cols>
          <w:pgMar w:left="240" w:top="455" w:right="3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FINANCIAL CONDITION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 AND 2013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Due from subsidiaries of Lazard Ltd</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receivables, net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Investments in subsidiaries, equity method</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1,163,386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1,108,983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investments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net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Goodwill and intangible assets-net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2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2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1,996,382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1,984,851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6600" w:type="dxa"/>
            <w:vAlign w:val="bottom"/>
            <w:gridSpan w:val="2"/>
            <w:vMerge w:val="continue"/>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230,479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Due to subsidiaries of Lazard Ltd</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Senior debt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1,048,350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1,048,350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liabilities</w:t>
            </w: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1,564,836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1,515,379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MEMBERS’ EQUITY</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Members’ equity</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(163,288)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members’ equity</w:t>
            </w:r>
          </w:p>
        </w:tc>
        <w:tc>
          <w:tcPr>
            <w:tcW w:w="2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431,546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1,996,382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1,984,851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40" w:type="dxa"/>
            <w:vAlign w:val="bottom"/>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8540" w:type="dxa"/>
            <w:vAlign w:val="bottom"/>
          </w:tcPr>
          <w:p>
            <w:pPr>
              <w:spacing w:after="0"/>
              <w:rPr>
                <w:sz w:val="12"/>
                <w:szCs w:val="12"/>
                <w:color w:val="auto"/>
              </w:rPr>
            </w:pPr>
          </w:p>
        </w:tc>
        <w:tc>
          <w:tcPr>
            <w:tcW w:w="7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20" w:type="dxa"/>
            <w:vAlign w:val="bottom"/>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2"/>
                <w:szCs w:val="12"/>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$ 648,152</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$ 415,162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336,214</w:t>
            </w:r>
          </w:p>
        </w:tc>
        <w:tc>
          <w:tcPr>
            <w:tcW w:w="12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120" w:type="dxa"/>
            <w:vAlign w:val="bottom"/>
            <w:shd w:val="clear" w:color="auto" w:fill="CCEEFF"/>
          </w:tcPr>
          <w:p>
            <w:pPr>
              <w:spacing w:after="0"/>
              <w:rPr>
                <w:sz w:val="18"/>
                <w:szCs w:val="18"/>
                <w:color w:val="auto"/>
              </w:rPr>
            </w:pPr>
          </w:p>
        </w:tc>
      </w:tr>
      <w:tr>
        <w:trPr>
          <w:trHeight w:val="223"/>
        </w:trPr>
        <w:tc>
          <w:tcPr>
            <w:tcW w:w="8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(4,602)</w:t>
            </w:r>
          </w:p>
        </w:tc>
      </w:tr>
      <w:tr>
        <w:trPr>
          <w:trHeight w:val="216"/>
        </w:trPr>
        <w:tc>
          <w:tcPr>
            <w:tcW w:w="8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revenue</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662,478</w:t>
            </w:r>
          </w:p>
        </w:tc>
        <w:tc>
          <w:tcPr>
            <w:tcW w:w="3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344,065</w:t>
            </w:r>
          </w:p>
        </w:tc>
        <w:tc>
          <w:tcPr>
            <w:tcW w:w="120" w:type="dxa"/>
            <w:vAlign w:val="bottom"/>
            <w:shd w:val="clear" w:color="auto" w:fill="CCEEFF"/>
          </w:tcPr>
          <w:p>
            <w:pPr>
              <w:spacing w:after="0"/>
              <w:rPr>
                <w:sz w:val="18"/>
                <w:szCs w:val="18"/>
                <w:color w:val="auto"/>
              </w:rPr>
            </w:pPr>
          </w:p>
        </w:tc>
      </w:tr>
      <w:tr>
        <w:trPr>
          <w:trHeight w:val="223"/>
        </w:trPr>
        <w:tc>
          <w:tcPr>
            <w:tcW w:w="8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63,005</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83,127</w:t>
            </w:r>
          </w:p>
        </w:tc>
        <w:tc>
          <w:tcPr>
            <w:tcW w:w="12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revenue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599,473</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354,983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260,938</w:t>
            </w:r>
          </w:p>
        </w:tc>
        <w:tc>
          <w:tcPr>
            <w:tcW w:w="120" w:type="dxa"/>
            <w:vAlign w:val="bottom"/>
            <w:shd w:val="clear" w:color="auto" w:fill="CCEEFF"/>
          </w:tcPr>
          <w:p>
            <w:pPr>
              <w:spacing w:after="0"/>
              <w:rPr>
                <w:sz w:val="18"/>
                <w:szCs w:val="18"/>
                <w:color w:val="auto"/>
              </w:rPr>
            </w:pPr>
          </w:p>
        </w:tc>
      </w:tr>
      <w:tr>
        <w:trPr>
          <w:trHeight w:val="222"/>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8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123,409</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108,065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160,634</w:t>
            </w: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Professional 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5,825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20" w:type="dxa"/>
            <w:vAlign w:val="bottom"/>
          </w:tcPr>
          <w:p>
            <w:pPr>
              <w:spacing w:after="0"/>
              <w:rPr>
                <w:sz w:val="18"/>
                <w:szCs w:val="18"/>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r>
      <w:tr>
        <w:trPr>
          <w:trHeight w:val="223"/>
        </w:trPr>
        <w:tc>
          <w:tcPr>
            <w:tcW w:w="8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120" w:type="dxa"/>
            <w:vAlign w:val="bottom"/>
          </w:tcPr>
          <w:p>
            <w:pPr>
              <w:spacing w:after="0"/>
              <w:rPr>
                <w:sz w:val="19"/>
                <w:szCs w:val="19"/>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138,535</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172,066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172,436</w:t>
            </w:r>
          </w:p>
        </w:tc>
        <w:tc>
          <w:tcPr>
            <w:tcW w:w="120" w:type="dxa"/>
            <w:vAlign w:val="bottom"/>
            <w:shd w:val="clear" w:color="auto" w:fill="CCEEFF"/>
          </w:tcPr>
          <w:p>
            <w:pPr>
              <w:spacing w:after="0"/>
              <w:rPr>
                <w:sz w:val="18"/>
                <w:szCs w:val="18"/>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460,938</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88,502</w:t>
            </w:r>
          </w:p>
        </w:tc>
        <w:tc>
          <w:tcPr>
            <w:tcW w:w="120" w:type="dxa"/>
            <w:vAlign w:val="bottom"/>
          </w:tcPr>
          <w:p>
            <w:pPr>
              <w:spacing w:after="0"/>
              <w:rPr>
                <w:sz w:val="19"/>
                <w:szCs w:val="19"/>
                <w:color w:val="auto"/>
              </w:rPr>
            </w:pPr>
          </w:p>
        </w:tc>
      </w:tr>
      <w:tr>
        <w:trPr>
          <w:trHeight w:val="217"/>
        </w:trPr>
        <w:tc>
          <w:tcPr>
            <w:tcW w:w="8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shd w:val="clear" w:color="auto" w:fill="CCEEFF"/>
          </w:tcPr>
          <w:p>
            <w:pPr>
              <w:spacing w:after="0"/>
              <w:rPr>
                <w:sz w:val="18"/>
                <w:szCs w:val="18"/>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$ 457,004</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$ 183,063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87,609</w:t>
            </w:r>
          </w:p>
        </w:tc>
        <w:tc>
          <w:tcPr>
            <w:tcW w:w="12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5" w:right="2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8"/>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457,004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183,063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$ 87,609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(43,858)</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(3,342)</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21,703</w:t>
            </w: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interest rate hedge</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2,502</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1,055</w:t>
            </w: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Employee benefit plans:</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40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Actuarial loss (net of tax benefit of $9,045, $6,388 and $12,950 for the years ended December 31, 2014,</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84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2013 and 2012, respectively)</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(21,983)</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(13,500)</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(40,298)</w:t>
            </w:r>
          </w:p>
        </w:tc>
      </w:tr>
      <w:tr>
        <w:trPr>
          <w:trHeight w:val="203"/>
        </w:trPr>
        <w:tc>
          <w:tcPr>
            <w:tcW w:w="20" w:type="dxa"/>
            <w:vAlign w:val="bottom"/>
          </w:tcPr>
          <w:p>
            <w:pPr>
              <w:spacing w:after="0"/>
              <w:rPr>
                <w:sz w:val="17"/>
                <w:szCs w:val="17"/>
                <w:color w:val="auto"/>
              </w:rPr>
            </w:pPr>
          </w:p>
        </w:tc>
        <w:tc>
          <w:tcPr>
            <w:tcW w:w="8400" w:type="dxa"/>
            <w:vAlign w:val="bottom"/>
            <w:shd w:val="clear" w:color="auto" w:fill="CCEEFF"/>
          </w:tcPr>
          <w:p>
            <w:pPr>
              <w:ind w:left="860"/>
              <w:spacing w:after="0" w:line="203" w:lineRule="exact"/>
              <w:rPr>
                <w:sz w:val="20"/>
                <w:szCs w:val="20"/>
                <w:color w:val="auto"/>
              </w:rPr>
            </w:pPr>
            <w:r>
              <w:rPr>
                <w:rFonts w:ascii="Times New Roman" w:cs="Times New Roman" w:eastAsia="Times New Roman" w:hAnsi="Times New Roman"/>
                <w:sz w:val="18"/>
                <w:szCs w:val="18"/>
                <w:color w:val="auto"/>
              </w:rPr>
              <w:t>Adjustments for items reclassified to earnings (net of tax expense of $1,923, $1,929 and $1,145 for the</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4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years ended December 31, 2014, 2013 and 2012, respectively)</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4,749</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4,605</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4,399</w:t>
            </w:r>
          </w:p>
        </w:tc>
      </w:tr>
      <w:tr>
        <w:trPr>
          <w:trHeight w:val="230"/>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2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(61,092)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395,912</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173,328</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$ 74,468</w:t>
            </w: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2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72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2"/>
                <w:szCs w:val="12"/>
                <w:color w:val="auto"/>
              </w:rPr>
            </w:pPr>
          </w:p>
        </w:tc>
        <w:tc>
          <w:tcPr>
            <w:tcW w:w="1120" w:type="dxa"/>
            <w:vAlign w:val="bottom"/>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$ 457,004</w:t>
            </w:r>
          </w:p>
        </w:tc>
        <w:tc>
          <w:tcPr>
            <w:tcW w:w="60" w:type="dxa"/>
            <w:vAlign w:val="bottom"/>
          </w:tcPr>
          <w:p>
            <w:pPr>
              <w:spacing w:after="0"/>
              <w:rPr>
                <w:sz w:val="18"/>
                <w:szCs w:val="18"/>
                <w:color w:val="auto"/>
              </w:rPr>
            </w:pPr>
          </w:p>
        </w:tc>
        <w:tc>
          <w:tcPr>
            <w:tcW w:w="1540" w:type="dxa"/>
            <w:vAlign w:val="bottom"/>
            <w:gridSpan w:val="3"/>
          </w:tcPr>
          <w:p>
            <w:pPr>
              <w:jc w:val="right"/>
              <w:ind w:right="338"/>
              <w:spacing w:after="0"/>
              <w:rPr>
                <w:sz w:val="20"/>
                <w:szCs w:val="20"/>
                <w:color w:val="auto"/>
              </w:rPr>
            </w:pPr>
            <w:r>
              <w:rPr>
                <w:rFonts w:ascii="Times New Roman" w:cs="Times New Roman" w:eastAsia="Times New Roman" w:hAnsi="Times New Roman"/>
                <w:sz w:val="18"/>
                <w:szCs w:val="18"/>
                <w:color w:val="auto"/>
              </w:rPr>
              <w:t>$ 183,063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87,609</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(648,152)</w:t>
            </w:r>
          </w:p>
        </w:tc>
        <w:tc>
          <w:tcPr>
            <w:tcW w:w="1540" w:type="dxa"/>
            <w:vAlign w:val="bottom"/>
            <w:gridSpan w:val="3"/>
          </w:tcPr>
          <w:p>
            <w:pPr>
              <w:jc w:val="right"/>
              <w:ind w:right="278"/>
              <w:spacing w:after="0"/>
              <w:rPr>
                <w:sz w:val="20"/>
                <w:szCs w:val="20"/>
                <w:color w:val="auto"/>
              </w:rPr>
            </w:pPr>
            <w:r>
              <w:rPr>
                <w:rFonts w:ascii="Times New Roman" w:cs="Times New Roman" w:eastAsia="Times New Roman" w:hAnsi="Times New Roman"/>
                <w:sz w:val="18"/>
                <w:szCs w:val="18"/>
                <w:color w:val="auto"/>
              </w:rPr>
              <w:t>(415,162)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(336,214)</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338"/>
              <w:spacing w:after="0"/>
              <w:rPr>
                <w:sz w:val="20"/>
                <w:szCs w:val="20"/>
                <w:color w:val="auto"/>
              </w:rPr>
            </w:pPr>
            <w:r>
              <w:rPr>
                <w:rFonts w:ascii="Times New Roman" w:cs="Times New Roman" w:eastAsia="Times New Roman" w:hAnsi="Times New Roman"/>
                <w:sz w:val="18"/>
                <w:szCs w:val="18"/>
                <w:color w:val="auto"/>
              </w:rPr>
              <w:t>50,757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Loss on sale of intercompany receivable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5,638</w:t>
            </w: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of deferred expenses, share-based incentive compensation and interest rate hedge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277,800</w:t>
            </w:r>
          </w:p>
        </w:tc>
        <w:tc>
          <w:tcPr>
            <w:tcW w:w="60" w:type="dxa"/>
            <w:vAlign w:val="bottom"/>
          </w:tcPr>
          <w:p>
            <w:pPr>
              <w:spacing w:after="0"/>
              <w:rPr>
                <w:sz w:val="18"/>
                <w:szCs w:val="18"/>
                <w:color w:val="auto"/>
              </w:rPr>
            </w:pPr>
          </w:p>
        </w:tc>
        <w:tc>
          <w:tcPr>
            <w:tcW w:w="1540" w:type="dxa"/>
            <w:vAlign w:val="bottom"/>
            <w:gridSpan w:val="3"/>
          </w:tcPr>
          <w:p>
            <w:pPr>
              <w:jc w:val="right"/>
              <w:ind w:right="338"/>
              <w:spacing w:after="0"/>
              <w:rPr>
                <w:sz w:val="20"/>
                <w:szCs w:val="20"/>
                <w:color w:val="auto"/>
              </w:rPr>
            </w:pPr>
            <w:r>
              <w:rPr>
                <w:rFonts w:ascii="Times New Roman" w:cs="Times New Roman" w:eastAsia="Times New Roman" w:hAnsi="Times New Roman"/>
                <w:sz w:val="18"/>
                <w:szCs w:val="18"/>
                <w:color w:val="auto"/>
              </w:rPr>
              <w:t>290,693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340,157</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 of property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8,467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4,179</w:t>
            </w: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of intangible assets related to acquisitions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tcPr>
          <w:p>
            <w:pPr>
              <w:spacing w:after="0"/>
              <w:rPr>
                <w:sz w:val="18"/>
                <w:szCs w:val="18"/>
                <w:color w:val="auto"/>
              </w:rPr>
            </w:pPr>
          </w:p>
        </w:tc>
        <w:tc>
          <w:tcPr>
            <w:tcW w:w="1540" w:type="dxa"/>
            <w:vAlign w:val="bottom"/>
            <w:gridSpan w:val="3"/>
          </w:tcPr>
          <w:p>
            <w:pPr>
              <w:jc w:val="right"/>
              <w:ind w:right="338"/>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received from subsidiaries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563,036</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584,792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374,340</w:t>
            </w: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Due to/from subsidiaries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49,983</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50,926</w:t>
            </w: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investments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(54,235)</w:t>
            </w:r>
          </w:p>
        </w:tc>
        <w:tc>
          <w:tcPr>
            <w:tcW w:w="1540" w:type="dxa"/>
            <w:vAlign w:val="bottom"/>
            <w:gridSpan w:val="3"/>
          </w:tcPr>
          <w:p>
            <w:pPr>
              <w:jc w:val="right"/>
              <w:ind w:right="278"/>
              <w:spacing w:after="0"/>
              <w:rPr>
                <w:sz w:val="20"/>
                <w:szCs w:val="20"/>
                <w:color w:val="auto"/>
              </w:rPr>
            </w:pPr>
            <w:r>
              <w:rPr>
                <w:rFonts w:ascii="Times New Roman" w:cs="Times New Roman" w:eastAsia="Times New Roman" w:hAnsi="Times New Roman"/>
                <w:sz w:val="18"/>
                <w:szCs w:val="18"/>
                <w:color w:val="auto"/>
              </w:rPr>
              <w:t>(69,827)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(46,997)</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1540" w:type="dxa"/>
            <w:vAlign w:val="bottom"/>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(15,317)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37,667</w:t>
            </w:r>
          </w:p>
        </w:tc>
      </w:tr>
      <w:tr>
        <w:trPr>
          <w:trHeight w:val="230"/>
        </w:trPr>
        <w:tc>
          <w:tcPr>
            <w:tcW w:w="20" w:type="dxa"/>
            <w:vAlign w:val="bottom"/>
          </w:tcPr>
          <w:p>
            <w:pPr>
              <w:spacing w:after="0"/>
              <w:rPr>
                <w:sz w:val="20"/>
                <w:szCs w:val="20"/>
                <w:color w:val="auto"/>
              </w:rPr>
            </w:pPr>
          </w:p>
        </w:tc>
        <w:tc>
          <w:tcPr>
            <w:tcW w:w="82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640,127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617,643</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property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1540" w:type="dxa"/>
            <w:vAlign w:val="bottom"/>
            <w:gridSpan w:val="3"/>
          </w:tcPr>
          <w:p>
            <w:pPr>
              <w:jc w:val="right"/>
              <w:ind w:right="278"/>
              <w:spacing w:after="0"/>
              <w:rPr>
                <w:sz w:val="20"/>
                <w:szCs w:val="20"/>
                <w:color w:val="auto"/>
              </w:rPr>
            </w:pPr>
            <w:r>
              <w:rPr>
                <w:rFonts w:ascii="Times New Roman" w:cs="Times New Roman" w:eastAsia="Times New Roman" w:hAnsi="Times New Roman"/>
                <w:sz w:val="18"/>
                <w:szCs w:val="18"/>
                <w:color w:val="auto"/>
              </w:rPr>
              <w:t>(34,556)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(58,668)</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contribution to subsidiaries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1540" w:type="dxa"/>
            <w:vAlign w:val="bottom"/>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(33,705)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(39,978)</w:t>
            </w:r>
          </w:p>
        </w:tc>
      </w:tr>
      <w:tr>
        <w:trPr>
          <w:trHeight w:val="230"/>
        </w:trPr>
        <w:tc>
          <w:tcPr>
            <w:tcW w:w="20" w:type="dxa"/>
            <w:vAlign w:val="bottom"/>
          </w:tcPr>
          <w:p>
            <w:pPr>
              <w:spacing w:after="0"/>
              <w:rPr>
                <w:sz w:val="20"/>
                <w:szCs w:val="20"/>
                <w:color w:val="auto"/>
              </w:rPr>
            </w:pPr>
          </w:p>
        </w:tc>
        <w:tc>
          <w:tcPr>
            <w:tcW w:w="82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(68,261)</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(98,646)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Excess tax benefit from share-based incentive 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1,108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Sale of intercompany receivable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81,105</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Issuance of senior debt, net of expenses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493,398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for:</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Senior debt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278"/>
              <w:spacing w:after="0"/>
              <w:rPr>
                <w:sz w:val="20"/>
                <w:szCs w:val="20"/>
                <w:color w:val="auto"/>
              </w:rPr>
            </w:pPr>
            <w:r>
              <w:rPr>
                <w:rFonts w:ascii="Times New Roman" w:cs="Times New Roman" w:eastAsia="Times New Roman" w:hAnsi="Times New Roman"/>
                <w:sz w:val="18"/>
                <w:szCs w:val="18"/>
                <w:color w:val="auto"/>
              </w:rPr>
              <w:t>(578,464)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540" w:type="dxa"/>
            <w:vAlign w:val="bottom"/>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Distributions to members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(322,369)</w:t>
            </w:r>
          </w:p>
        </w:tc>
        <w:tc>
          <w:tcPr>
            <w:tcW w:w="1540" w:type="dxa"/>
            <w:vAlign w:val="bottom"/>
            <w:gridSpan w:val="3"/>
          </w:tcPr>
          <w:p>
            <w:pPr>
              <w:jc w:val="right"/>
              <w:ind w:right="278"/>
              <w:spacing w:after="0"/>
              <w:rPr>
                <w:sz w:val="20"/>
                <w:szCs w:val="20"/>
                <w:color w:val="auto"/>
              </w:rPr>
            </w:pPr>
            <w:r>
              <w:rPr>
                <w:rFonts w:ascii="Times New Roman" w:cs="Times New Roman" w:eastAsia="Times New Roman" w:hAnsi="Times New Roman"/>
                <w:sz w:val="18"/>
                <w:szCs w:val="18"/>
                <w:color w:val="auto"/>
              </w:rPr>
              <w:t>(125,516)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(140,278)</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Settlement of vested share-based incentive compensation</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(85,442)</w:t>
            </w:r>
          </w:p>
        </w:tc>
        <w:tc>
          <w:tcPr>
            <w:tcW w:w="1540" w:type="dxa"/>
            <w:vAlign w:val="bottom"/>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(132,533)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(44,883)</w:t>
            </w:r>
          </w:p>
        </w:tc>
      </w:tr>
      <w:tr>
        <w:trPr>
          <w:trHeight w:val="216"/>
        </w:trPr>
        <w:tc>
          <w:tcPr>
            <w:tcW w:w="20" w:type="dxa"/>
            <w:vAlign w:val="bottom"/>
          </w:tcPr>
          <w:p>
            <w:pPr>
              <w:spacing w:after="0"/>
              <w:rPr>
                <w:sz w:val="18"/>
                <w:szCs w:val="18"/>
                <w:color w:val="auto"/>
              </w:rPr>
            </w:pPr>
          </w:p>
        </w:tc>
        <w:tc>
          <w:tcPr>
            <w:tcW w:w="8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Purchase of Lazard Ltd Class A common stock</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(141,192)</w:t>
            </w:r>
          </w:p>
        </w:tc>
        <w:tc>
          <w:tcPr>
            <w:tcW w:w="1540" w:type="dxa"/>
            <w:vAlign w:val="bottom"/>
            <w:gridSpan w:val="3"/>
          </w:tcPr>
          <w:p>
            <w:pPr>
              <w:jc w:val="right"/>
              <w:ind w:right="278"/>
              <w:spacing w:after="0"/>
              <w:rPr>
                <w:sz w:val="20"/>
                <w:szCs w:val="20"/>
                <w:color w:val="auto"/>
              </w:rPr>
            </w:pPr>
            <w:r>
              <w:rPr>
                <w:rFonts w:ascii="Times New Roman" w:cs="Times New Roman" w:eastAsia="Times New Roman" w:hAnsi="Times New Roman"/>
                <w:sz w:val="18"/>
                <w:szCs w:val="18"/>
                <w:color w:val="auto"/>
              </w:rPr>
              <w:t>(132,477)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(332,095)</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540" w:type="dxa"/>
            <w:vAlign w:val="bottom"/>
            <w:gridSpan w:val="3"/>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(2,866)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w:t>
            </w:r>
          </w:p>
        </w:tc>
      </w:tr>
      <w:tr>
        <w:trPr>
          <w:trHeight w:val="230"/>
        </w:trPr>
        <w:tc>
          <w:tcPr>
            <w:tcW w:w="20" w:type="dxa"/>
            <w:vAlign w:val="bottom"/>
          </w:tcPr>
          <w:p>
            <w:pPr>
              <w:spacing w:after="0"/>
              <w:rPr>
                <w:sz w:val="20"/>
                <w:szCs w:val="20"/>
                <w:color w:val="auto"/>
              </w:rPr>
            </w:pPr>
          </w:p>
        </w:tc>
        <w:tc>
          <w:tcPr>
            <w:tcW w:w="82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(549,577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(477,429</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(441,421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66,090</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71,953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(22,362)</w:t>
            </w: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January 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130,570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December 31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$ 196,660</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$ 130,570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58,617</w:t>
            </w: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10" w:lineRule="exact"/>
        <w:rPr>
          <w:sz w:val="20"/>
          <w:szCs w:val="20"/>
          <w:color w:val="auto"/>
        </w:rPr>
      </w:pPr>
    </w:p>
    <w:p>
      <w:pPr>
        <w:ind w:left="460" w:hanging="452"/>
        <w:spacing w:after="0"/>
        <w:tabs>
          <w:tab w:leader="none" w:pos="460" w:val="left"/>
        </w:tabs>
        <w:numPr>
          <w:ilvl w:val="0"/>
          <w:numId w:val="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accompanying Lazard Group LLC condensed financial statements (the “Parent Company Financial Statements”), including the notes thereto, should be read in conjunction with the consolidated financial statements of Lazard Group LLC and its subsidiaries (the “Company”) and the notes thereto.</w:t>
      </w:r>
    </w:p>
    <w:p>
      <w:pPr>
        <w:spacing w:after="0" w:line="12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Parent Company Financial Statements as of December 31, 2014 and 2013, and for each of the three years in the period ended December 31, 2014,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Parent Company Financial Statements include investments in subsidiaries, accounted for under the equity method.</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6" w:right="2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2015</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LAZARD GROUP LLC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Times New Roman" w:cs="Times New Roman" w:eastAsia="Times New Roman" w:hAnsi="Times New Roman"/>
          <w:sz w:val="18"/>
          <w:szCs w:val="18"/>
          <w:color w:val="auto"/>
        </w:rPr>
        <w:t>By:  /s/</w:t>
      </w:r>
      <w:r>
        <w:rPr>
          <w:sz w:val="20"/>
          <w:szCs w:val="20"/>
          <w:color w:val="auto"/>
        </w:rPr>
        <w:tab/>
      </w:r>
      <w:r>
        <w:rPr>
          <w:rFonts w:ascii="Times New Roman" w:cs="Times New Roman" w:eastAsia="Times New Roman" w:hAnsi="Times New Roman"/>
          <w:sz w:val="16"/>
          <w:szCs w:val="16"/>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165"/>
        </w:trPr>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000" w:type="dxa"/>
            <w:vAlign w:val="bottom"/>
          </w:tcPr>
          <w:p>
            <w:pPr>
              <w:spacing w:after="0"/>
              <w:rPr>
                <w:sz w:val="14"/>
                <w:szCs w:val="14"/>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220" w:type="dxa"/>
            <w:vAlign w:val="bottom"/>
          </w:tcPr>
          <w:p>
            <w:pPr>
              <w:spacing w:after="0"/>
              <w:rPr>
                <w:sz w:val="14"/>
                <w:szCs w:val="14"/>
                <w:color w:val="auto"/>
              </w:rPr>
            </w:pPr>
          </w:p>
        </w:tc>
        <w:tc>
          <w:tcPr>
            <w:tcW w:w="8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Kenneth M. Jacobs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Chief Executive Officer and Director</w:t>
            </w:r>
          </w:p>
        </w:tc>
        <w:tc>
          <w:tcPr>
            <w:tcW w:w="20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8"/>
              </w:rPr>
              <w:t>February 26, 2015</w:t>
            </w:r>
          </w:p>
        </w:tc>
      </w:tr>
      <w:tr>
        <w:trPr>
          <w:trHeight w:val="224"/>
        </w:trPr>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Kenneth M. Jacobs</w:t>
            </w:r>
          </w:p>
        </w:tc>
        <w:tc>
          <w:tcPr>
            <w:tcW w:w="200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23"/>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Matthieu Bucaille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8"/>
              </w:rPr>
              <w:t>February 26, 2015</w:t>
            </w:r>
          </w:p>
        </w:tc>
      </w:tr>
      <w:tr>
        <w:trPr>
          <w:trHeight w:val="224"/>
        </w:trPr>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Matthieu Bucaille</w:t>
            </w:r>
          </w:p>
        </w:tc>
        <w:tc>
          <w:tcPr>
            <w:tcW w:w="200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24"/>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Dominick Ragone</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0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8"/>
              </w:rPr>
              <w:t>February 26, 2015</w:t>
            </w:r>
          </w:p>
        </w:tc>
      </w:tr>
      <w:tr>
        <w:trPr>
          <w:trHeight w:val="223"/>
        </w:trPr>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Dominick Ragone</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24"/>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Andrew M. Alper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8"/>
              </w:rPr>
              <w:t>February 26, 2015</w:t>
            </w:r>
          </w:p>
        </w:tc>
      </w:tr>
      <w:tr>
        <w:trPr>
          <w:trHeight w:val="223"/>
        </w:trPr>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Andrew M. Alper</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24"/>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Ashish Bhutani</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8"/>
              </w:rPr>
              <w:t>February 26, 2015</w:t>
            </w:r>
          </w:p>
        </w:tc>
      </w:tr>
      <w:tr>
        <w:trPr>
          <w:trHeight w:val="223"/>
        </w:trPr>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Ashish Bhutani</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24"/>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Steven J. Heyer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8"/>
              </w:rPr>
              <w:t>February 26, 2015</w:t>
            </w:r>
          </w:p>
        </w:tc>
      </w:tr>
      <w:tr>
        <w:trPr>
          <w:trHeight w:val="223"/>
        </w:trPr>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Steven J. Heyer</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24"/>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Sylvia Jay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8"/>
              </w:rPr>
              <w:t>February 26, 2015</w:t>
            </w:r>
          </w:p>
        </w:tc>
      </w:tr>
      <w:tr>
        <w:trPr>
          <w:trHeight w:val="223"/>
        </w:trPr>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Sylvia Jay</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24"/>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Philip A. Laskawy</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8"/>
              </w:rPr>
              <w:t>February 26, 2015</w:t>
            </w:r>
          </w:p>
        </w:tc>
      </w:tr>
      <w:tr>
        <w:trPr>
          <w:trHeight w:val="223"/>
        </w:trPr>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Philip A. Laskawy</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24"/>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Laurent Mignon</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8"/>
              </w:rPr>
              <w:t>February 26, 2015</w:t>
            </w:r>
          </w:p>
        </w:tc>
      </w:tr>
      <w:tr>
        <w:trPr>
          <w:trHeight w:val="223"/>
        </w:trPr>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Laurent Mignon</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24"/>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Richard D. Parsons</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8"/>
              </w:rPr>
              <w:t>February 26, 2015</w:t>
            </w:r>
          </w:p>
        </w:tc>
      </w:tr>
      <w:tr>
        <w:trPr>
          <w:trHeight w:val="223"/>
        </w:trPr>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Richard D. Parsons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24"/>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Hal S. Scott</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8"/>
              </w:rPr>
              <w:t>February 26, 2015</w:t>
            </w:r>
          </w:p>
        </w:tc>
      </w:tr>
      <w:tr>
        <w:trPr>
          <w:trHeight w:val="223"/>
        </w:trPr>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Hal S. Scott</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24"/>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1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Michael J. Turner</w:t>
            </w:r>
          </w:p>
        </w:tc>
        <w:tc>
          <w:tcPr>
            <w:tcW w:w="2000" w:type="dxa"/>
            <w:vAlign w:val="bottom"/>
            <w:tcBorders>
              <w:bottom w:val="single" w:sz="8" w:color="auto"/>
            </w:tcBorders>
          </w:tcPr>
          <w:p>
            <w:pPr>
              <w:spacing w:after="0"/>
              <w:rPr>
                <w:sz w:val="24"/>
                <w:szCs w:val="24"/>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8"/>
              </w:rPr>
              <w:t>February 26, 2015</w:t>
            </w:r>
          </w:p>
        </w:tc>
      </w:tr>
      <w:tr>
        <w:trPr>
          <w:trHeight w:val="223"/>
        </w:trPr>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Michael J. Turner</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64"/>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II-1</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60"/>
          </w:cols>
          <w:pgMar w:left="240" w:top="455" w:right="29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OF RATIO OF EARNINGS TO FIXED CHARGES (a)</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ratio of earnings to fixed charges for Lazard Group LLC and its subsidiaries on a consolidated basis.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4"/>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540,975</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219,009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5"/>
              </w:rPr>
              <w:t>121,593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241,791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$ 246,809</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Add—Fixed charges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111,317</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5"/>
              </w:rPr>
              <w:t>116,255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5"/>
              </w:rPr>
              <w:t>114,998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121,656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Operating income (loss) before</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fixed charges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632,666</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330,326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5"/>
              </w:rPr>
              <w:t>237,848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356,789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$ 368,465</w:t>
            </w: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(b)</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68,205</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87,039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91,359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94,211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$ 102,249</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24,896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20,787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91,691</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111,317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5"/>
              </w:rPr>
              <w:t>116,255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114,998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$ 121,656</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80" w:type="dxa"/>
            <w:vAlign w:val="bottom"/>
          </w:tcPr>
          <w:p>
            <w:pPr>
              <w:spacing w:after="0"/>
              <w:rPr>
                <w:sz w:val="19"/>
                <w:szCs w:val="19"/>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2.97(d)</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2.05(e)</w:t>
            </w: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3.10</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2"/>
              </w:rPr>
              <w:t>3.03(f)</w:t>
            </w:r>
          </w:p>
        </w:tc>
      </w:tr>
      <w:tr>
        <w:trPr>
          <w:trHeight w:val="20"/>
        </w:trPr>
        <w:tc>
          <w:tcPr>
            <w:tcW w:w="5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Deficiency in the coverage of operating income (loss) before 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charges to total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(dollars in thousands):</w:t>
      </w:r>
    </w:p>
    <w:p>
      <w:pPr>
        <w:spacing w:after="0" w:line="21" w:lineRule="exact"/>
        <w:rPr>
          <w:sz w:val="20"/>
          <w:szCs w:val="20"/>
          <w:color w:val="auto"/>
        </w:rPr>
      </w:pPr>
    </w:p>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ratio of earnings to fixed charges:</w:t>
      </w:r>
    </w:p>
    <w:p>
      <w:pPr>
        <w:spacing w:after="0" w:line="7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periods presented represent income before income taxes and fixed charges,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charges represent the interest expense and the portion of rental expense which represents an appropriate interest factor.</w:t>
      </w:r>
    </w:p>
    <w:p>
      <w:pPr>
        <w:spacing w:after="0" w:line="90"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fixed charges consist of the interest factor in rentals.</w:t>
      </w:r>
    </w:p>
    <w:p>
      <w:pPr>
        <w:spacing w:after="0" w:line="90" w:lineRule="exact"/>
        <w:rPr>
          <w:rFonts w:ascii="Times New Roman" w:cs="Times New Roman" w:eastAsia="Times New Roman" w:hAnsi="Times New Roman"/>
          <w:sz w:val="18"/>
          <w:szCs w:val="18"/>
          <w:color w:val="auto"/>
        </w:rPr>
      </w:pPr>
    </w:p>
    <w:p>
      <w:pPr>
        <w:ind w:left="460" w:right="20" w:hanging="452"/>
        <w:spacing w:after="0" w:line="289" w:lineRule="auto"/>
        <w:tabs>
          <w:tab w:leader="none" w:pos="4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w:t>
      </w:r>
    </w:p>
    <w:p>
      <w:pPr>
        <w:spacing w:after="0" w:line="1" w:lineRule="exact"/>
        <w:rPr>
          <w:rFonts w:ascii="Times New Roman" w:cs="Times New Roman" w:eastAsia="Times New Roman" w:hAnsi="Times New Roman"/>
          <w:sz w:val="16"/>
          <w:szCs w:val="16"/>
          <w:color w:val="auto"/>
        </w:rPr>
      </w:pPr>
    </w:p>
    <w:p>
      <w:pPr>
        <w:ind w:left="460" w:right="6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(iii) $12,203 relating to private equity incentive compensation. Excluding the impact of such charge, the ratio of earnings to fixed charges would have been 4.14.</w:t>
      </w:r>
    </w:p>
    <w:p>
      <w:pPr>
        <w:spacing w:after="0" w:line="50" w:lineRule="exact"/>
        <w:rPr>
          <w:rFonts w:ascii="Times New Roman" w:cs="Times New Roman" w:eastAsia="Times New Roman" w:hAnsi="Times New Roman"/>
          <w:sz w:val="16"/>
          <w:szCs w:val="16"/>
          <w:color w:val="auto"/>
        </w:rPr>
      </w:pPr>
    </w:p>
    <w:p>
      <w:pPr>
        <w:ind w:left="460" w:right="160" w:hanging="452"/>
        <w:spacing w:after="0" w:line="301" w:lineRule="auto"/>
        <w:tabs>
          <w:tab w:leader="none" w:pos="4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3.14.</w:t>
      </w:r>
    </w:p>
    <w:p>
      <w:pPr>
        <w:spacing w:after="0" w:line="22" w:lineRule="exact"/>
        <w:rPr>
          <w:rFonts w:ascii="Times New Roman" w:cs="Times New Roman" w:eastAsia="Times New Roman" w:hAnsi="Times New Roman"/>
          <w:sz w:val="16"/>
          <w:szCs w:val="16"/>
          <w:color w:val="auto"/>
        </w:rPr>
      </w:pPr>
    </w:p>
    <w:p>
      <w:pPr>
        <w:ind w:left="460" w:right="40" w:hanging="452"/>
        <w:spacing w:after="0" w:line="262"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year ended December 31, 2010 is presented after giving effect to (i) a restructuring charge of $87,108 and (ii) a charge of $24,860 relating to the amendment of Lazard’s retirement policy with respect to RSU awards. Excluding the impact of such items, the ratio of earnings to fixed charges would have been 3.95.</w:t>
      </w:r>
    </w:p>
    <w:p>
      <w:pPr>
        <w:sectPr>
          <w:pgSz w:w="11900" w:h="16838" w:orient="portrait"/>
          <w:cols w:equalWidth="0" w:num="1">
            <w:col w:w="11420"/>
          </w:cols>
          <w:pgMar w:left="240" w:top="123" w:right="2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7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r>
      <w:tr>
        <w:trPr>
          <w:trHeight w:val="373"/>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COUNTRY OF ORGANIZATION</w:t>
            </w:r>
          </w:p>
        </w:tc>
      </w:tr>
      <w:tr>
        <w:trPr>
          <w:trHeight w:val="189"/>
        </w:trPr>
        <w:tc>
          <w:tcPr>
            <w:tcW w:w="16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Lazard International</w:t>
            </w:r>
          </w:p>
        </w:tc>
        <w:tc>
          <w:tcPr>
            <w:tcW w:w="2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Holdings, Inc.</w:t>
            </w:r>
          </w:p>
        </w:tc>
        <w:tc>
          <w:tcPr>
            <w:tcW w:w="24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Frères &amp; Co.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Asset Management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&amp; Co., Holdings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&amp; Co.,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&amp; Co., Services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Compagnie Financière Lazard Frères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Frères Gestion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Lazard Frères Banque SA</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Maison Lazard SAS</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bl>
    <w:p>
      <w:pPr>
        <w:sectPr>
          <w:pgSz w:w="11900" w:h="16838" w:orient="portrait"/>
          <w:cols w:equalWidth="0" w:num="1">
            <w:col w:w="11420"/>
          </w:cols>
          <w:pgMar w:left="240" w:top="123" w:right="2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333-196350 on Form S-3 of our reports dated February 26, 2015, relating to the consolidated financial statements and financial statement schedule of Lazard Group LLC, and the effectiveness of Lazard Group LLC’s internal control over financial reporting appearing in this Annual Report on Form 10-K of Lazard Group LLC for the year ended December 31, 2014.</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2015</w:t>
      </w:r>
    </w:p>
    <w:p>
      <w:pPr>
        <w:sectPr>
          <w:pgSz w:w="11900" w:h="16838" w:orient="portrait"/>
          <w:cols w:equalWidth="0" w:num="1">
            <w:col w:w="11420"/>
          </w:cols>
          <w:pgMar w:left="240" w:top="123" w:right="2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2014 of Lazard Group LLC (the “Registrant”);</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3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1"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460" w:right="760" w:firstLine="443"/>
        <w:spacing w:after="0" w:line="275" w:lineRule="auto"/>
        <w:tabs>
          <w:tab w:leader="none" w:pos="113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jc w:val="both"/>
        <w:ind w:left="460" w:right="160" w:firstLine="443"/>
        <w:spacing w:after="0" w:line="262" w:lineRule="auto"/>
        <w:tabs>
          <w:tab w:leader="none" w:pos="114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400" w:firstLine="464"/>
        <w:spacing w:after="0" w:line="275" w:lineRule="auto"/>
        <w:tabs>
          <w:tab w:leader="none" w:pos="63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3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14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2015</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123" w:right="2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2014 of Lazard Group LLC (the “Registrant”);</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280" w:firstLine="464"/>
        <w:spacing w:after="0" w:line="262" w:lineRule="auto"/>
        <w:tabs>
          <w:tab w:leader="none" w:pos="63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3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1"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460" w:right="760" w:firstLine="443"/>
        <w:spacing w:after="0" w:line="275" w:lineRule="auto"/>
        <w:tabs>
          <w:tab w:leader="none" w:pos="113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jc w:val="both"/>
        <w:ind w:left="460" w:right="160" w:firstLine="443"/>
        <w:spacing w:after="0" w:line="262" w:lineRule="auto"/>
        <w:tabs>
          <w:tab w:leader="none" w:pos="114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400" w:firstLine="464"/>
        <w:spacing w:after="0" w:line="275" w:lineRule="auto"/>
        <w:tabs>
          <w:tab w:leader="none" w:pos="63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3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460" w:right="120" w:firstLine="443"/>
        <w:spacing w:after="0" w:line="275" w:lineRule="auto"/>
        <w:tabs>
          <w:tab w:leader="none" w:pos="114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2015</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Matthieu Bucaille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3" w:right="2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Group LLC (the “Registrant”) hereby certifies that the Registrant’s Annual Report on Form 10-K for the year ended December 31,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9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72"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3" w:right="2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Pursuant to 18 U.S.C. § 1350, the undersigned officer of Lazard Group LLC (the “Registrant”) hereby certifies that the Registrant’s Annual Report on Form 10-K for the year ended December 31,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9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Matthieu Bucaille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1)"/>
      <w:numFmt w:val="lowerLetter"/>
      <w:start w:val="3"/>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1)"/>
      <w:numFmt w:val="lowerRoman"/>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1)"/>
      <w:numFmt w:val="lowerLetter"/>
      <w:start w:val="1"/>
    </w:lvl>
  </w:abstractNum>
  <w:abstractNum w:abstractNumId="24">
    <w:nsid w:val="354FE9F9"/>
    <w:multiLevelType w:val="hybridMultilevel"/>
    <w:lvl w:ilvl="0">
      <w:lvlJc w:val="left"/>
      <w:lvlText w:val="(%1)"/>
      <w:numFmt w:val="lowerLetter"/>
      <w:start w:val="1"/>
    </w:lvl>
  </w:abstractNum>
  <w:abstractNum w:abstractNumId="25">
    <w:nsid w:val="15B5AF5C"/>
    <w:multiLevelType w:val="hybridMultilevel"/>
    <w:lvl w:ilvl="0">
      <w:lvlJc w:val="left"/>
      <w:lvlText w:val="(%1)"/>
      <w:numFmt w:val="lowerLetter"/>
      <w:start w:val="2"/>
    </w:lvl>
  </w:abstractNum>
  <w:abstractNum w:abstractNumId="26">
    <w:nsid w:val="741226BB"/>
    <w:multiLevelType w:val="hybridMultilevel"/>
    <w:lvl w:ilvl="0">
      <w:lvlJc w:val="left"/>
      <w:lvlText w:val="(%1)"/>
      <w:numFmt w:val="lowerLetter"/>
      <w:start w:val="1"/>
    </w:lvl>
  </w:abstractNum>
  <w:abstractNum w:abstractNumId="27">
    <w:nsid w:val="D34B6A8"/>
    <w:multiLevelType w:val="hybridMultilevel"/>
    <w:lvl w:ilvl="0">
      <w:lvlJc w:val="left"/>
      <w:lvlText w:val="(%1)"/>
      <w:numFmt w:val="lowerLetter"/>
      <w:start w:val="1"/>
    </w:lvl>
  </w:abstractNum>
  <w:abstractNum w:abstractNumId="28">
    <w:nsid w:val="10233C99"/>
    <w:multiLevelType w:val="hybridMultilevel"/>
    <w:lvl w:ilvl="0">
      <w:lvlJc w:val="left"/>
      <w:lvlText w:val="(%1)"/>
      <w:numFmt w:val="lowerLetter"/>
      <w:start w:val="1"/>
    </w:lvl>
  </w:abstractNum>
  <w:abstractNum w:abstractNumId="29">
    <w:nsid w:val="3F6AB60F"/>
    <w:multiLevelType w:val="hybridMultilevel"/>
    <w:lvl w:ilvl="0">
      <w:lvlJc w:val="left"/>
      <w:lvlText w:val="(%1)"/>
      <w:numFmt w:val="lowerLetter"/>
      <w:start w:val="1"/>
    </w:lvl>
  </w:abstractNum>
  <w:abstractNum w:abstractNumId="30">
    <w:nsid w:val="61574095"/>
    <w:multiLevelType w:val="hybridMultilevel"/>
    <w:lvl w:ilvl="0">
      <w:lvlJc w:val="left"/>
      <w:lvlText w:val="(%1)"/>
      <w:numFmt w:val="lowerLetter"/>
      <w:start w:val="1"/>
    </w:lvl>
  </w:abstractNum>
  <w:abstractNum w:abstractNumId="31">
    <w:nsid w:val="7E0C57B1"/>
    <w:multiLevelType w:val="hybridMultilevel"/>
    <w:lvl w:ilvl="0">
      <w:lvlJc w:val="left"/>
      <w:lvlText w:val="(%1)"/>
      <w:numFmt w:val="lowerLetter"/>
      <w:start w:val="1"/>
    </w:lvl>
  </w:abstractNum>
  <w:abstractNum w:abstractNumId="32">
    <w:nsid w:val="77AE35EB"/>
    <w:multiLevelType w:val="hybridMultilevel"/>
    <w:lvl w:ilvl="0">
      <w:lvlJc w:val="left"/>
      <w:lvlText w:val="(%1)"/>
      <w:numFmt w:val="lowerLetter"/>
      <w:start w:val="2"/>
    </w:lvl>
  </w:abstractNum>
  <w:abstractNum w:abstractNumId="33">
    <w:nsid w:val="579BE4F1"/>
    <w:multiLevelType w:val="hybridMultilevel"/>
    <w:lvl w:ilvl="0">
      <w:lvlJc w:val="left"/>
      <w:lvlText w:val="(%1)"/>
      <w:numFmt w:val="lowerLetter"/>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1)"/>
      <w:numFmt w:val="lowerLetter"/>
      <w:start w:val="1"/>
    </w:lvl>
  </w:abstractNum>
  <w:abstractNum w:abstractNumId="38">
    <w:nsid w:val="1DBABF00"/>
    <w:multiLevelType w:val="hybridMultilevel"/>
    <w:lvl w:ilvl="0">
      <w:lvlJc w:val="left"/>
      <w:lvlText w:val="(%1)"/>
      <w:numFmt w:val="lowerLetter"/>
      <w:start w:val="2"/>
    </w:lvl>
  </w:abstractNum>
  <w:abstractNum w:abstractNumId="39">
    <w:nsid w:val="4AD084E9"/>
    <w:multiLevelType w:val="hybridMultilevel"/>
    <w:lvl w:ilvl="0">
      <w:lvlJc w:val="left"/>
      <w:lvlText w:val="(%1)"/>
      <w:numFmt w:val="lowerLetter"/>
      <w:start w:val="6"/>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1."/>
      <w:numFmt w:val="decimal"/>
      <w:start w:val="2"/>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decimal"/>
      <w:start w:val="3"/>
    </w:lvl>
  </w:abstractNum>
  <w:abstractNum w:abstractNumId="52">
    <w:nsid w:val="1EBA5D23"/>
    <w:multiLevelType w:val="hybridMultilevel"/>
    <w:lvl w:ilvl="0">
      <w:lvlJc w:val="left"/>
      <w:lvlText w:val="%1."/>
      <w:numFmt w:val="decimal"/>
      <w:start w:val="4"/>
    </w:lvl>
  </w:abstractNum>
  <w:abstractNum w:abstractNumId="53">
    <w:nsid w:val="661E3F1E"/>
    <w:multiLevelType w:val="hybridMultilevel"/>
    <w:lvl w:ilvl="0">
      <w:lvlJc w:val="left"/>
      <w:lvlText w:val="%1."/>
      <w:numFmt w:val="decimal"/>
      <w:start w:val="5"/>
    </w:lvl>
  </w:abstractNum>
  <w:abstractNum w:abstractNumId="54">
    <w:nsid w:val="5DC79EA8"/>
    <w:multiLevelType w:val="hybridMultilevel"/>
    <w:lvl w:ilvl="0">
      <w:lvlJc w:val="left"/>
      <w:lvlText w:val="(%1)"/>
      <w:numFmt w:val="lowerLetter"/>
      <w:start w:val="1"/>
    </w:lvl>
  </w:abstractNum>
  <w:abstractNum w:abstractNumId="55">
    <w:nsid w:val="540A471C"/>
    <w:multiLevelType w:val="hybridMultilevel"/>
    <w:lvl w:ilvl="0">
      <w:lvlJc w:val="left"/>
      <w:lvlText w:val="%1."/>
      <w:numFmt w:val="decimal"/>
      <w:start w:val="6"/>
    </w:lvl>
  </w:abstractNum>
  <w:abstractNum w:abstractNumId="56">
    <w:nsid w:val="7BD3EE7B"/>
    <w:multiLevelType w:val="hybridMultilevel"/>
    <w:lvl w:ilvl="0">
      <w:lvlJc w:val="left"/>
      <w:lvlText w:val="(%1)"/>
      <w:numFmt w:val="lowerLetter"/>
      <w:start w:val="1"/>
    </w:lvl>
  </w:abstractNum>
  <w:abstractNum w:abstractNumId="57">
    <w:nsid w:val="51D9C564"/>
    <w:multiLevelType w:val="hybridMultilevel"/>
    <w:lvl w:ilvl="0">
      <w:lvlJc w:val="left"/>
      <w:lvlText w:val="(%1)"/>
      <w:numFmt w:val="lowerLetter"/>
      <w:start w:val="1"/>
    </w:lvl>
  </w:abstractNum>
  <w:abstractNum w:abstractNumId="58">
    <w:nsid w:val="613EFDC5"/>
    <w:multiLevelType w:val="hybridMultilevel"/>
    <w:lvl w:ilvl="0">
      <w:lvlJc w:val="left"/>
      <w:lvlText w:val="(%1)"/>
      <w:numFmt w:val="lowerLetter"/>
      <w:start w:val="1"/>
    </w:lvl>
  </w:abstractNum>
  <w:abstractNum w:abstractNumId="59">
    <w:nsid w:val="BF72B14"/>
    <w:multiLevelType w:val="hybridMultilevel"/>
    <w:lvl w:ilvl="0">
      <w:lvlJc w:val="left"/>
      <w:lvlText w:val="%1."/>
      <w:numFmt w:val="decimal"/>
      <w:start w:val="7"/>
    </w:lvl>
  </w:abstractNum>
  <w:abstractNum w:abstractNumId="60">
    <w:nsid w:val="11447B73"/>
    <w:multiLevelType w:val="hybridMultilevel"/>
    <w:lvl w:ilvl="0">
      <w:lvlJc w:val="left"/>
      <w:lvlText w:val="(%1)"/>
      <w:numFmt w:val="lowerLetter"/>
      <w:start w:val="1"/>
    </w:lvl>
  </w:abstractNum>
  <w:abstractNum w:abstractNumId="61">
    <w:nsid w:val="42963E5A"/>
    <w:multiLevelType w:val="hybridMultilevel"/>
    <w:lvl w:ilvl="0">
      <w:lvlJc w:val="left"/>
      <w:lvlText w:val="%1."/>
      <w:numFmt w:val="decimal"/>
      <w:start w:val="8"/>
    </w:lvl>
  </w:abstractNum>
  <w:abstractNum w:abstractNumId="62">
    <w:nsid w:val="A0382C5"/>
    <w:multiLevelType w:val="hybridMultilevel"/>
    <w:lvl w:ilvl="0">
      <w:lvlJc w:val="left"/>
      <w:lvlText w:val="%1."/>
      <w:numFmt w:val="decimal"/>
      <w:start w:val="9"/>
    </w:lvl>
  </w:abstractNum>
  <w:abstractNum w:abstractNumId="63">
    <w:nsid w:val="8F2B15E"/>
    <w:multiLevelType w:val="hybridMultilevel"/>
    <w:lvl w:ilvl="0">
      <w:lvlJc w:val="left"/>
      <w:lvlText w:val="%1"/>
      <w:numFmt w:val="decimal"/>
      <w:start w:val="1"/>
    </w:lvl>
    <w:lvl w:ilvl="1">
      <w:lvlJc w:val="left"/>
      <w:lvlText w:val="(%2)"/>
      <w:numFmt w:val="lowerLetter"/>
      <w:start w:val="1"/>
    </w:lvl>
  </w:abstractNum>
  <w:abstractNum w:abstractNumId="64">
    <w:nsid w:val="1A32234B"/>
    <w:multiLevelType w:val="hybridMultilevel"/>
    <w:lvl w:ilvl="0">
      <w:lvlJc w:val="left"/>
      <w:lvlText w:val="%1."/>
      <w:numFmt w:val="decimal"/>
      <w:start w:val="10"/>
    </w:lvl>
    <w:lvl w:ilvl="1">
      <w:lvlJc w:val="left"/>
      <w:lvlText w:val="%2"/>
      <w:numFmt w:val="lowerLetter"/>
      <w:start w:val="1"/>
    </w:lvl>
  </w:abstractNum>
  <w:abstractNum w:abstractNumId="65">
    <w:nsid w:val="3B0FD379"/>
    <w:multiLevelType w:val="hybridMultilevel"/>
    <w:lvl w:ilvl="0">
      <w:lvlJc w:val="left"/>
      <w:lvlText w:val="%1."/>
      <w:numFmt w:val="decimal"/>
      <w:start w:val="11"/>
    </w:lvl>
  </w:abstractNum>
  <w:abstractNum w:abstractNumId="66">
    <w:nsid w:val="68EB2F63"/>
    <w:multiLevelType w:val="hybridMultilevel"/>
    <w:lvl w:ilvl="0">
      <w:lvlJc w:val="left"/>
      <w:lvlText w:val="(%1)"/>
      <w:numFmt w:val="lowerLetter"/>
      <w:start w:val="1"/>
    </w:lvl>
  </w:abstractNum>
  <w:abstractNum w:abstractNumId="67">
    <w:nsid w:val="4962813B"/>
    <w:multiLevelType w:val="hybridMultilevel"/>
    <w:lvl w:ilvl="0">
      <w:lvlJc w:val="left"/>
      <w:lvlText w:val="%1."/>
      <w:numFmt w:val="decimal"/>
      <w:start w:val="12"/>
    </w:lvl>
  </w:abstractNum>
  <w:abstractNum w:abstractNumId="68">
    <w:nsid w:val="60B6DF70"/>
    <w:multiLevelType w:val="hybridMultilevel"/>
    <w:lvl w:ilvl="0">
      <w:lvlJc w:val="left"/>
      <w:lvlText w:val="(%1)"/>
      <w:numFmt w:val="lowerLetter"/>
      <w:start w:val="1"/>
    </w:lvl>
  </w:abstractNum>
  <w:abstractNum w:abstractNumId="69">
    <w:nsid w:val="6A5EE64"/>
    <w:multiLevelType w:val="hybridMultilevel"/>
    <w:lvl w:ilvl="0">
      <w:lvlJc w:val="left"/>
      <w:lvlText w:val="%1."/>
      <w:numFmt w:val="decimal"/>
      <w:start w:val="13"/>
    </w:lvl>
  </w:abstractNum>
  <w:abstractNum w:abstractNumId="70">
    <w:nsid w:val="14330624"/>
    <w:multiLevelType w:val="hybridMultilevel"/>
    <w:lvl w:ilvl="0">
      <w:lvlJc w:val="left"/>
      <w:lvlText w:val="(%1)"/>
      <w:numFmt w:val="lowerLetter"/>
      <w:start w:val="1"/>
    </w:lvl>
  </w:abstractNum>
  <w:abstractNum w:abstractNumId="71">
    <w:nsid w:val="7FFFCA11"/>
    <w:multiLevelType w:val="hybridMultilevel"/>
    <w:lvl w:ilvl="0">
      <w:lvlJc w:val="left"/>
      <w:lvlText w:val="%1."/>
      <w:numFmt w:val="decimal"/>
      <w:start w:val="14"/>
    </w:lvl>
  </w:abstractNum>
  <w:abstractNum w:abstractNumId="72">
    <w:nsid w:val="1A27709E"/>
    <w:multiLevelType w:val="hybridMultilevel"/>
    <w:lvl w:ilvl="0">
      <w:lvlJc w:val="left"/>
      <w:lvlText w:val="(%1)"/>
      <w:numFmt w:val="lowerLetter"/>
      <w:start w:val="1"/>
    </w:lvl>
  </w:abstractNum>
  <w:abstractNum w:abstractNumId="73">
    <w:nsid w:val="71EA1109"/>
    <w:multiLevelType w:val="hybridMultilevel"/>
    <w:lvl w:ilvl="0">
      <w:lvlJc w:val="left"/>
      <w:lvlText w:val="(%1)"/>
      <w:numFmt w:val="lowerLetter"/>
      <w:start w:val="1"/>
    </w:lvl>
  </w:abstractNum>
  <w:abstractNum w:abstractNumId="74">
    <w:nsid w:val="100F59DC"/>
    <w:multiLevelType w:val="hybridMultilevel"/>
    <w:lvl w:ilvl="0">
      <w:lvlJc w:val="left"/>
      <w:lvlText w:val="(%1)"/>
      <w:numFmt w:val="lowerLetter"/>
      <w:start w:val="1"/>
    </w:lvl>
  </w:abstractNum>
  <w:abstractNum w:abstractNumId="75">
    <w:nsid w:val="7FB7E0AA"/>
    <w:multiLevelType w:val="hybridMultilevel"/>
    <w:lvl w:ilvl="0">
      <w:lvlJc w:val="left"/>
      <w:lvlText w:val="(%1)"/>
      <w:numFmt w:val="lowerLetter"/>
      <w:start w:val="1"/>
    </w:lvl>
  </w:abstractNum>
  <w:abstractNum w:abstractNumId="76">
    <w:nsid w:val="6EB5BD4"/>
    <w:multiLevelType w:val="hybridMultilevel"/>
    <w:lvl w:ilvl="0">
      <w:lvlJc w:val="left"/>
      <w:lvlText w:val="%1."/>
      <w:numFmt w:val="decimal"/>
      <w:start w:val="15"/>
    </w:lvl>
  </w:abstractNum>
  <w:abstractNum w:abstractNumId="77">
    <w:nsid w:val="6F6DD9AC"/>
    <w:multiLevelType w:val="hybridMultilevel"/>
    <w:lvl w:ilvl="0">
      <w:lvlJc w:val="left"/>
      <w:lvlText w:val="(%1)"/>
      <w:numFmt w:val="lowerLetter"/>
      <w:start w:val="1"/>
    </w:lvl>
  </w:abstractNum>
  <w:abstractNum w:abstractNumId="78">
    <w:nsid w:val="94211F2"/>
    <w:multiLevelType w:val="hybridMultilevel"/>
    <w:lvl w:ilvl="0">
      <w:lvlJc w:val="left"/>
      <w:lvlText w:val="%1."/>
      <w:numFmt w:val="decimal"/>
      <w:start w:val="16"/>
    </w:lvl>
  </w:abstractNum>
  <w:abstractNum w:abstractNumId="79">
    <w:nsid w:val="885E1B"/>
    <w:multiLevelType w:val="hybridMultilevel"/>
    <w:lvl w:ilvl="0">
      <w:lvlJc w:val="left"/>
      <w:lvlText w:val="%1."/>
      <w:numFmt w:val="decimal"/>
      <w:start w:val="17"/>
    </w:lvl>
  </w:abstractNum>
  <w:abstractNum w:abstractNumId="80">
    <w:nsid w:val="76272110"/>
    <w:multiLevelType w:val="hybridMultilevel"/>
    <w:lvl w:ilvl="0">
      <w:lvlJc w:val="left"/>
      <w:lvlText w:val="(%1)"/>
      <w:numFmt w:val="lowerRoman"/>
      <w:start w:val="1"/>
    </w:lvl>
  </w:abstractNum>
  <w:abstractNum w:abstractNumId="81">
    <w:nsid w:val="4C04A8AF"/>
    <w:multiLevelType w:val="hybridMultilevel"/>
    <w:lvl w:ilvl="0">
      <w:lvlJc w:val="left"/>
      <w:lvlText w:val="%1."/>
      <w:numFmt w:val="decimal"/>
      <w:start w:val="19"/>
    </w:lvl>
  </w:abstractNum>
  <w:abstractNum w:abstractNumId="82">
    <w:nsid w:val="1716703B"/>
    <w:multiLevelType w:val="hybridMultilevel"/>
    <w:lvl w:ilvl="0">
      <w:lvlJc w:val="left"/>
      <w:lvlText w:val="%1."/>
      <w:numFmt w:val="decimal"/>
      <w:start w:val="20"/>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1)"/>
      <w:numFmt w:val="lowerLetter"/>
      <w:start w:val="1"/>
    </w:lvl>
  </w:abstractNum>
  <w:abstractNum w:abstractNumId="85">
    <w:nsid w:val="74DE0EE3"/>
    <w:multiLevelType w:val="hybridMultilevel"/>
    <w:lvl w:ilvl="0">
      <w:lvlJc w:val="left"/>
      <w:lvlText w:val="(%1)"/>
      <w:numFmt w:val="lowerLetter"/>
      <w:start w:val="2"/>
    </w:lvl>
  </w:abstractNum>
  <w:abstractNum w:abstractNumId="86">
    <w:nsid w:val="68EBC550"/>
    <w:multiLevelType w:val="hybridMultilevel"/>
    <w:lvl w:ilvl="0">
      <w:lvlJc w:val="left"/>
      <w:lvlText w:val="(%1)"/>
      <w:numFmt w:val="lowerLetter"/>
      <w:start w:val="1"/>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1)"/>
      <w:numFmt w:val="lowerLetter"/>
      <w:start w:val="1"/>
    </w:lvl>
    <w:lvl w:ilvl="1">
      <w:lvlJc w:val="left"/>
      <w:lvlText w:val="%2."/>
      <w:numFmt w:val="decimal"/>
      <w:start w:val="1"/>
    </w:lvl>
  </w:abstractNum>
  <w:abstractNum w:abstractNumId="89">
    <w:nsid w:val="4A2AC315"/>
    <w:multiLevelType w:val="hybridMultilevel"/>
    <w:lvl w:ilvl="0">
      <w:lvlJc w:val="left"/>
      <w:lvlText w:val="%1."/>
      <w:numFmt w:val="decimal"/>
      <w:start w:val="1"/>
    </w:lvl>
  </w:abstractNum>
  <w:abstractNum w:abstractNumId="90">
    <w:nsid w:val="39EE015C"/>
    <w:multiLevelType w:val="hybridMultilevel"/>
    <w:lvl w:ilvl="0">
      <w:lvlJc w:val="left"/>
      <w:lvlText w:val="(%1)"/>
      <w:numFmt w:val="lowerLetter"/>
      <w:start w:val="1"/>
    </w:lvl>
    <w:lvl w:ilvl="1">
      <w:lvlJc w:val="left"/>
      <w:lvlText w:val="•"/>
      <w:numFmt w:val="bullet"/>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2019-12-29T18:45:00Z</dcterms:created>
  <dcterms:modified xsi:type="dcterms:W3CDTF">2019-12-29T18:45:00Z</dcterms:modified>
</cp:coreProperties>
</file>