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b w:val="1"/>
          <w:bCs w:val="1"/>
          <w:u w:val="single" w:color="auto"/>
          <w:color w:val="0000EE"/>
        </w:rPr>
      </w:pP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7256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56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151765</wp:posOffset>
            </wp:positionV>
            <wp:extent cx="1518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161290</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3" w:lineRule="exact"/>
        <w:rPr>
          <w:sz w:val="24"/>
          <w:szCs w:val="24"/>
          <w:color w:val="auto"/>
        </w:rPr>
      </w:pPr>
    </w:p>
    <w:p>
      <w:pPr>
        <w:ind w:left="560" w:hanging="559"/>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2015</w:t>
      </w:r>
    </w:p>
    <w:p>
      <w:pPr>
        <w:spacing w:after="0" w:line="1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3" w:lineRule="exact"/>
        <w:rPr>
          <w:sz w:val="24"/>
          <w:szCs w:val="24"/>
          <w:color w:val="auto"/>
        </w:rPr>
      </w:pPr>
    </w:p>
    <w:p>
      <w:pPr>
        <w:ind w:left="560" w:hanging="559"/>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9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980" w:type="dxa"/>
            <w:vAlign w:val="bottom"/>
            <w:tcBorders>
              <w:bottom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r>
        <w:trPr>
          <w:trHeight w:val="328"/>
        </w:trPr>
        <w:tc>
          <w:tcPr>
            <w:tcW w:w="2140" w:type="dxa"/>
            <w:vAlign w:val="bottom"/>
          </w:tcPr>
          <w:p>
            <w:pPr>
              <w:spacing w:after="0"/>
              <w:rPr>
                <w:sz w:val="24"/>
                <w:szCs w:val="24"/>
                <w:color w:val="auto"/>
              </w:rPr>
            </w:pPr>
          </w:p>
        </w:tc>
        <w:tc>
          <w:tcPr>
            <w:tcW w:w="39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001-32492</w:t>
            </w:r>
          </w:p>
        </w:tc>
      </w:tr>
      <w:tr>
        <w:trPr>
          <w:trHeight w:val="218"/>
        </w:trPr>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left="758"/>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135890</wp:posOffset>
            </wp:positionV>
            <wp:extent cx="151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LAZARD LTD</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380"/>
          </w:cols>
          <w:pgMar w:left="240" w:top="220" w:right="279" w:bottom="1440" w:gutter="0" w:footer="0" w:header="0"/>
        </w:sectPr>
      </w:pPr>
    </w:p>
    <w:p>
      <w:pPr>
        <w:spacing w:after="0" w:line="109"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98-0437848</w:t>
      </w:r>
    </w:p>
    <w:p>
      <w:pPr>
        <w:spacing w:after="0" w:line="34" w:lineRule="exact"/>
        <w:rPr>
          <w:sz w:val="24"/>
          <w:szCs w:val="24"/>
          <w:color w:val="auto"/>
        </w:rPr>
      </w:pPr>
    </w:p>
    <w:p>
      <w:pPr>
        <w:sectPr>
          <w:pgSz w:w="11900" w:h="16838" w:orient="portrait"/>
          <w:cols w:equalWidth="0" w:num="2">
            <w:col w:w="7640" w:space="720"/>
            <w:col w:w="3020"/>
          </w:cols>
          <w:pgMar w:left="240" w:top="220" w:right="279" w:bottom="1440" w:gutter="0" w:footer="0" w:header="0"/>
          <w:type w:val="continuous"/>
        </w:sectPr>
      </w:pP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3"/>
          <w:szCs w:val="13"/>
          <w:b w:val="1"/>
          <w:bCs w:val="1"/>
          <w:color w:val="auto"/>
        </w:rPr>
        <w:t>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135890</wp:posOffset>
            </wp:positionV>
            <wp:extent cx="1518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351" w:lineRule="exact"/>
        <w:rPr>
          <w:sz w:val="24"/>
          <w:szCs w:val="24"/>
          <w:color w:val="auto"/>
        </w:rPr>
      </w:pPr>
    </w:p>
    <w:p>
      <w:pPr>
        <w:sectPr>
          <w:pgSz w:w="11900" w:h="16838" w:orient="portrait"/>
          <w:cols w:equalWidth="0" w:num="2">
            <w:col w:w="7060" w:space="720"/>
            <w:col w:w="3600"/>
          </w:cols>
          <w:pgMar w:left="240" w:top="220" w:right="279" w:bottom="1440" w:gutter="0" w:footer="0" w:header="0"/>
          <w:type w:val="continuous"/>
        </w:sectPr>
      </w:pPr>
    </w:p>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Clarendon House</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(441) 295-1422</w:t>
      </w:r>
    </w:p>
    <w:p>
      <w:pPr>
        <w:spacing w:after="0" w:line="147" w:lineRule="exact"/>
        <w:rPr>
          <w:sz w:val="24"/>
          <w:szCs w:val="24"/>
          <w:color w:val="auto"/>
        </w:rPr>
      </w:pPr>
    </w:p>
    <w:p>
      <w:pPr>
        <w:jc w:val="both"/>
        <w:ind w:right="320" w:firstLine="343"/>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260" w:firstLine="343"/>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firstLine="343"/>
        <w:spacing w:after="0" w:line="30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4" w:lineRule="exact"/>
        <w:rPr>
          <w:sz w:val="24"/>
          <w:szCs w:val="24"/>
          <w:color w:val="auto"/>
        </w:rPr>
      </w:pPr>
    </w:p>
    <w:tbl>
      <w:tblPr>
        <w:tblLayout w:type="fixed"/>
        <w:tblInd w:w="340" w:type="dxa"/>
        <w:tblCellMar>
          <w:top w:w="0" w:type="dxa"/>
          <w:left w:w="0" w:type="dxa"/>
          <w:bottom w:w="0" w:type="dxa"/>
          <w:right w:w="0" w:type="dxa"/>
        </w:tblCellMar>
      </w:tblPr>
      <w:tr>
        <w:trPr>
          <w:trHeight w:val="201"/>
        </w:trPr>
        <w:tc>
          <w:tcPr>
            <w:tcW w:w="1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9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110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6"/>
        </w:trPr>
        <w:tc>
          <w:tcPr>
            <w:tcW w:w="1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7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October 16, 2015, there were 129,766,091 shares of the Registrant’s Class A common stock outstanding (including 4,280,678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6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ectPr>
          <w:pgSz w:w="11900" w:h="16838" w:orient="portrait"/>
          <w:cols w:equalWidth="0" w:num="1">
            <w:col w:w="11380"/>
          </w:cols>
          <w:pgMar w:left="240" w:top="220" w:right="279" w:bottom="1440" w:gutter="0" w:footer="0" w:header="0"/>
          <w:type w:val="continuous"/>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95" w:lineRule="exact"/>
        <w:rPr>
          <w:sz w:val="20"/>
          <w:szCs w:val="20"/>
          <w:color w:val="auto"/>
        </w:rPr>
      </w:pPr>
    </w:p>
    <w:p>
      <w:pPr>
        <w:ind w:right="80" w:firstLine="457"/>
        <w:spacing w:after="0" w:line="276" w:lineRule="auto"/>
        <w:rPr>
          <w:sz w:val="20"/>
          <w:szCs w:val="20"/>
          <w:color w:val="auto"/>
        </w:rPr>
      </w:pPr>
      <w:r>
        <w:rPr>
          <w:rFonts w:ascii="Times New Roman" w:cs="Times New Roman" w:eastAsia="Times New Roman" w:hAnsi="Times New Roman"/>
          <w:sz w:val="16"/>
          <w:szCs w:val="16"/>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September 30, 2015 of all of the common membership interests in Lazard Group and its controlling interest in Lazard Group.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80" w:type="dxa"/>
            <w:vAlign w:val="bottom"/>
            <w:gridSpan w:val="15"/>
            <w:vMerge w:val="restart"/>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Part I. Financial Information</w:t>
              </w:r>
            </w:hyperlink>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Page</w:t>
            </w:r>
          </w:p>
        </w:tc>
        <w:tc>
          <w:tcPr>
            <w:tcW w:w="0" w:type="dxa"/>
            <w:vAlign w:val="bottom"/>
          </w:tcPr>
          <w:p>
            <w:pPr>
              <w:spacing w:after="0"/>
              <w:rPr>
                <w:sz w:val="1"/>
                <w:szCs w:val="1"/>
                <w:color w:val="auto"/>
              </w:rPr>
            </w:pPr>
          </w:p>
        </w:tc>
      </w:tr>
      <w:tr>
        <w:trPr>
          <w:trHeight w:val="144"/>
        </w:trPr>
        <w:tc>
          <w:tcPr>
            <w:tcW w:w="11080" w:type="dxa"/>
            <w:vAlign w:val="bottom"/>
            <w:gridSpan w:val="15"/>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0" w:type="dxa"/>
            <w:vAlign w:val="bottom"/>
          </w:tcPr>
          <w:p>
            <w:pPr>
              <w:spacing w:after="0"/>
              <w:rPr>
                <w:sz w:val="24"/>
                <w:szCs w:val="24"/>
                <w:color w:val="auto"/>
              </w:rPr>
            </w:pPr>
          </w:p>
        </w:tc>
        <w:tc>
          <w:tcPr>
            <w:tcW w:w="10680" w:type="dxa"/>
            <w:vAlign w:val="bottom"/>
            <w:gridSpan w:val="14"/>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Item 1. Financial Statements (Unaudited)</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0" w:type="dxa"/>
            <w:vAlign w:val="bottom"/>
          </w:tcPr>
          <w:p>
            <w:pPr>
              <w:spacing w:after="0"/>
              <w:rPr>
                <w:sz w:val="24"/>
                <w:szCs w:val="24"/>
                <w:color w:val="auto"/>
              </w:rPr>
            </w:pPr>
          </w:p>
        </w:tc>
        <w:tc>
          <w:tcPr>
            <w:tcW w:w="63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w:anchor="page44">
              <w:r>
                <w:rPr>
                  <w:rFonts w:ascii="Times New Roman" w:cs="Times New Roman" w:eastAsia="Times New Roman" w:hAnsi="Times New Roman"/>
                  <w:sz w:val="16"/>
                  <w:szCs w:val="16"/>
                  <w:color w:val="0000EE"/>
                </w:rPr>
                <w:t>Item 2. Management’s Discussion and Analysis of Financial Condition and Results of Operations</w:t>
              </w:r>
            </w:hyperlink>
          </w:p>
        </w:tc>
        <w:tc>
          <w:tcPr>
            <w:tcW w:w="4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w:anchor="page79">
              <w:r>
                <w:rPr>
                  <w:rFonts w:ascii="Times New Roman" w:cs="Times New Roman" w:eastAsia="Times New Roman" w:hAnsi="Times New Roman"/>
                  <w:sz w:val="16"/>
                  <w:szCs w:val="16"/>
                  <w:color w:val="0000EE"/>
                </w:rPr>
                <w:t>Item 3. Quantitative and Qualitative Disclosures About Market Risk</w:t>
              </w:r>
            </w:hyperlink>
          </w:p>
        </w:tc>
        <w:tc>
          <w:tcPr>
            <w:tcW w:w="62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21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80">
              <w:r>
                <w:rPr>
                  <w:rFonts w:ascii="Times New Roman" w:cs="Times New Roman" w:eastAsia="Times New Roman" w:hAnsi="Times New Roman"/>
                  <w:sz w:val="16"/>
                  <w:szCs w:val="16"/>
                  <w:color w:val="0000EE"/>
                </w:rPr>
                <w:t>Item 4. Controls and Procedures</w:t>
              </w:r>
            </w:hyperlink>
          </w:p>
        </w:tc>
        <w:tc>
          <w:tcPr>
            <w:tcW w:w="856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82"/>
        </w:trPr>
        <w:tc>
          <w:tcPr>
            <w:tcW w:w="188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EE"/>
              </w:rPr>
            </w:pPr>
            <w:hyperlink w:anchor="page81">
              <w:r>
                <w:rPr>
                  <w:rFonts w:ascii="Times New Roman" w:cs="Times New Roman" w:eastAsia="Times New Roman" w:hAnsi="Times New Roman"/>
                  <w:sz w:val="16"/>
                  <w:szCs w:val="16"/>
                  <w:b w:val="1"/>
                  <w:bCs w:val="1"/>
                  <w:color w:val="0000EE"/>
                </w:rPr>
                <w:t>Part II. Other Information</w:t>
              </w:r>
            </w:hyperlink>
          </w:p>
        </w:tc>
        <w:tc>
          <w:tcPr>
            <w:tcW w:w="9200" w:type="dxa"/>
            <w:vAlign w:val="bottom"/>
            <w:gridSpan w:val="10"/>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10680" w:type="dxa"/>
            <w:vAlign w:val="bottom"/>
            <w:gridSpan w:val="14"/>
          </w:tcPr>
          <w:p>
            <w:pPr>
              <w:spacing w:after="0"/>
              <w:rPr>
                <w:rFonts w:ascii="Times New Roman" w:cs="Times New Roman" w:eastAsia="Times New Roman" w:hAnsi="Times New Roman"/>
                <w:sz w:val="16"/>
                <w:szCs w:val="16"/>
                <w:color w:val="0000EE"/>
              </w:rPr>
            </w:pPr>
            <w:hyperlink w:anchor="page81">
              <w:r>
                <w:rPr>
                  <w:rFonts w:ascii="Times New Roman" w:cs="Times New Roman" w:eastAsia="Times New Roman" w:hAnsi="Times New Roman"/>
                  <w:sz w:val="16"/>
                  <w:szCs w:val="16"/>
                  <w:color w:val="0000EE"/>
                </w:rPr>
                <w:t>Item 1. Legal Proceedings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Times New Roman" w:cs="Times New Roman" w:eastAsia="Times New Roman" w:hAnsi="Times New Roman"/>
                <w:sz w:val="16"/>
                <w:szCs w:val="16"/>
                <w:color w:val="0000EE"/>
              </w:rPr>
            </w:pPr>
            <w:hyperlink w:anchor="page81">
              <w:r>
                <w:rPr>
                  <w:rFonts w:ascii="Times New Roman" w:cs="Times New Roman" w:eastAsia="Times New Roman" w:hAnsi="Times New Roman"/>
                  <w:sz w:val="16"/>
                  <w:szCs w:val="16"/>
                  <w:color w:val="0000EE"/>
                </w:rPr>
                <w:t>Item 1A. Risk Factors</w:t>
              </w:r>
            </w:hyperlink>
          </w:p>
        </w:tc>
        <w:tc>
          <w:tcPr>
            <w:tcW w:w="896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0" w:type="dxa"/>
            <w:vAlign w:val="bottom"/>
          </w:tcPr>
          <w:p>
            <w:pPr>
              <w:spacing w:after="0"/>
              <w:rPr>
                <w:sz w:val="24"/>
                <w:szCs w:val="24"/>
                <w:color w:val="auto"/>
              </w:rPr>
            </w:pPr>
          </w:p>
        </w:tc>
        <w:tc>
          <w:tcPr>
            <w:tcW w:w="10680" w:type="dxa"/>
            <w:vAlign w:val="bottom"/>
            <w:gridSpan w:val="14"/>
          </w:tcPr>
          <w:p>
            <w:pPr>
              <w:spacing w:after="0"/>
              <w:rPr>
                <w:rFonts w:ascii="Times New Roman" w:cs="Times New Roman" w:eastAsia="Times New Roman" w:hAnsi="Times New Roman"/>
                <w:sz w:val="16"/>
                <w:szCs w:val="16"/>
                <w:color w:val="0000EE"/>
              </w:rPr>
            </w:pPr>
            <w:hyperlink w:anchor="page81">
              <w:r>
                <w:rPr>
                  <w:rFonts w:ascii="Times New Roman" w:cs="Times New Roman" w:eastAsia="Times New Roman" w:hAnsi="Times New Roman"/>
                  <w:sz w:val="16"/>
                  <w:szCs w:val="16"/>
                  <w:color w:val="0000EE"/>
                </w:rPr>
                <w:t>Item 2. Unregistered Sales of Equity Securities and Use of Proceeds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446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82">
              <w:r>
                <w:rPr>
                  <w:rFonts w:ascii="Times New Roman" w:cs="Times New Roman" w:eastAsia="Times New Roman" w:hAnsi="Times New Roman"/>
                  <w:sz w:val="16"/>
                  <w:szCs w:val="16"/>
                  <w:color w:val="0000EE"/>
                </w:rPr>
                <w:t>Item 3. Defaults Upon Senior Securities</w:t>
              </w:r>
            </w:hyperlink>
          </w:p>
        </w:tc>
        <w:tc>
          <w:tcPr>
            <w:tcW w:w="622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EE"/>
              </w:rPr>
            </w:pPr>
            <w:hyperlink w:anchor="page82">
              <w:r>
                <w:rPr>
                  <w:rFonts w:ascii="Times New Roman" w:cs="Times New Roman" w:eastAsia="Times New Roman" w:hAnsi="Times New Roman"/>
                  <w:sz w:val="16"/>
                  <w:szCs w:val="16"/>
                  <w:color w:val="0000EE"/>
                </w:rPr>
                <w:t>Item 4. Mine Safety Disclosures</w:t>
              </w:r>
            </w:hyperlink>
          </w:p>
        </w:tc>
        <w:tc>
          <w:tcPr>
            <w:tcW w:w="500" w:type="dxa"/>
            <w:vAlign w:val="bottom"/>
            <w:tcBorders>
              <w:top w:val="single" w:sz="8" w:color="0000EE"/>
            </w:tcBorders>
          </w:tcPr>
          <w:p>
            <w:pPr>
              <w:spacing w:after="0"/>
              <w:rPr>
                <w:sz w:val="24"/>
                <w:szCs w:val="24"/>
                <w:color w:val="auto"/>
              </w:rPr>
            </w:pPr>
          </w:p>
        </w:tc>
        <w:tc>
          <w:tcPr>
            <w:tcW w:w="80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10680" w:type="dxa"/>
            <w:vAlign w:val="bottom"/>
            <w:gridSpan w:val="14"/>
          </w:tcPr>
          <w:p>
            <w:pPr>
              <w:spacing w:after="0"/>
              <w:rPr>
                <w:rFonts w:ascii="Times New Roman" w:cs="Times New Roman" w:eastAsia="Times New Roman" w:hAnsi="Times New Roman"/>
                <w:sz w:val="16"/>
                <w:szCs w:val="16"/>
                <w:color w:val="0000EE"/>
              </w:rPr>
            </w:pPr>
            <w:hyperlink w:anchor="page82">
              <w:r>
                <w:rPr>
                  <w:rFonts w:ascii="Times New Roman" w:cs="Times New Roman" w:eastAsia="Times New Roman" w:hAnsi="Times New Roman"/>
                  <w:sz w:val="16"/>
                  <w:szCs w:val="16"/>
                  <w:color w:val="0000EE"/>
                </w:rPr>
                <w:t>Item 5. Other Information</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rPr>
            </w:pPr>
            <w:hyperlink w:anchor="page83">
              <w:r>
                <w:rPr>
                  <w:rFonts w:ascii="Times New Roman" w:cs="Times New Roman" w:eastAsia="Times New Roman" w:hAnsi="Times New Roman"/>
                  <w:sz w:val="16"/>
                  <w:szCs w:val="16"/>
                  <w:color w:val="0000EE"/>
                </w:rPr>
                <w:t>Item 6. Exhibits</w:t>
              </w:r>
            </w:hyperlink>
          </w:p>
        </w:tc>
        <w:tc>
          <w:tcPr>
            <w:tcW w:w="640" w:type="dxa"/>
            <w:vAlign w:val="bottom"/>
            <w:tcBorders>
              <w:top w:val="single" w:sz="8" w:color="0000EE"/>
            </w:tcBorders>
            <w:gridSpan w:val="4"/>
          </w:tcPr>
          <w:p>
            <w:pPr>
              <w:spacing w:after="0"/>
              <w:rPr>
                <w:sz w:val="24"/>
                <w:szCs w:val="24"/>
                <w:color w:val="auto"/>
              </w:rPr>
            </w:pPr>
          </w:p>
        </w:tc>
        <w:tc>
          <w:tcPr>
            <w:tcW w:w="898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82"/>
        </w:trPr>
        <w:tc>
          <w:tcPr>
            <w:tcW w:w="11080" w:type="dxa"/>
            <w:vAlign w:val="bottom"/>
            <w:gridSpan w:val="15"/>
          </w:tcPr>
          <w:p>
            <w:pPr>
              <w:spacing w:after="0"/>
              <w:rPr>
                <w:rFonts w:ascii="Times New Roman" w:cs="Times New Roman" w:eastAsia="Times New Roman" w:hAnsi="Times New Roman"/>
                <w:sz w:val="16"/>
                <w:szCs w:val="16"/>
                <w:b w:val="1"/>
                <w:bCs w:val="1"/>
                <w:color w:val="0000EE"/>
              </w:rPr>
            </w:pPr>
            <w:hyperlink w:anchor="page88">
              <w:r>
                <w:rPr>
                  <w:rFonts w:ascii="Times New Roman" w:cs="Times New Roman" w:eastAsia="Times New Roman" w:hAnsi="Times New Roman"/>
                  <w:sz w:val="16"/>
                  <w:szCs w:val="16"/>
                  <w:b w:val="1"/>
                  <w:bCs w:val="1"/>
                  <w:color w:val="0000EE"/>
                </w:rPr>
                <w:t>Signatures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357"/>
        </w:trPr>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34" w:right="319"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gridSpan w:val="6"/>
          </w:tcPr>
          <w:p>
            <w:pPr>
              <w:jc w:val="center"/>
              <w:ind w:right="330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032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Financial Statements (Unaudited)</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080" w:type="dxa"/>
            <w:vAlign w:val="bottom"/>
            <w:gridSpan w:val="10"/>
            <w:vMerge w:val="restart"/>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Consolidated Statements of Financial Condition as of September 30, 2015 and December 31, 2014</w:t>
              </w:r>
            </w:hyperlink>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Page</w:t>
            </w:r>
          </w:p>
        </w:tc>
        <w:tc>
          <w:tcPr>
            <w:tcW w:w="0" w:type="dxa"/>
            <w:vAlign w:val="bottom"/>
          </w:tcPr>
          <w:p>
            <w:pPr>
              <w:spacing w:after="0"/>
              <w:rPr>
                <w:sz w:val="1"/>
                <w:szCs w:val="1"/>
                <w:color w:val="auto"/>
              </w:rPr>
            </w:pPr>
          </w:p>
        </w:tc>
      </w:tr>
      <w:tr>
        <w:trPr>
          <w:trHeight w:val="144"/>
        </w:trPr>
        <w:tc>
          <w:tcPr>
            <w:tcW w:w="11080" w:type="dxa"/>
            <w:vAlign w:val="bottom"/>
            <w:gridSpan w:val="10"/>
            <w:vMerge w:val="continue"/>
          </w:tcPr>
          <w:p>
            <w:pPr>
              <w:spacing w:after="0"/>
              <w:rPr>
                <w:sz w:val="12"/>
                <w:szCs w:val="12"/>
                <w:color w:val="auto"/>
              </w:rPr>
            </w:pPr>
          </w:p>
        </w:tc>
        <w:tc>
          <w:tcPr>
            <w:tcW w:w="260" w:type="dxa"/>
            <w:vAlign w:val="bottom"/>
          </w:tcPr>
          <w:p>
            <w:pPr>
              <w:jc w:val="right"/>
              <w:spacing w:after="0" w:line="131"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95"/>
        </w:trPr>
        <w:tc>
          <w:tcPr>
            <w:tcW w:w="66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Operations for the three month and nine month periods ended</w:t>
              </w:r>
            </w:hyperlink>
          </w:p>
        </w:tc>
        <w:tc>
          <w:tcPr>
            <w:tcW w:w="620" w:type="dxa"/>
            <w:vAlign w:val="bottom"/>
            <w:tcBorders>
              <w:top w:val="single" w:sz="8" w:color="0000EE"/>
            </w:tcBorders>
          </w:tcPr>
          <w:p>
            <w:pPr>
              <w:spacing w:after="0"/>
              <w:rPr>
                <w:sz w:val="24"/>
                <w:szCs w:val="24"/>
                <w:color w:val="auto"/>
              </w:rPr>
            </w:pPr>
          </w:p>
        </w:tc>
        <w:tc>
          <w:tcPr>
            <w:tcW w:w="382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0880" w:type="dxa"/>
            <w:vAlign w:val="bottom"/>
            <w:gridSpan w:val="9"/>
          </w:tcPr>
          <w:p>
            <w:pPr>
              <w:spacing w:after="0" w:line="181" w:lineRule="exact"/>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September 30, 2015 and 2014</w:t>
              </w:r>
            </w:hyperlink>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948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Condensed Consolidated Statements of Comprehensive Income for the three month and nine month periods ended September 30, 2015 and 2014</w:t>
              </w:r>
            </w:hyperlink>
          </w:p>
        </w:tc>
        <w:tc>
          <w:tcPr>
            <w:tcW w:w="1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82"/>
        </w:trPr>
        <w:tc>
          <w:tcPr>
            <w:tcW w:w="11080" w:type="dxa"/>
            <w:vAlign w:val="bottom"/>
            <w:gridSpan w:val="10"/>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Condensed Consolidated Statements of Cash Flows for the nine month periods ended September 30, 2015 and 2014</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640" w:type="dxa"/>
            <w:vAlign w:val="bottom"/>
            <w:gridSpan w:val="4"/>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98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Condensed Consolidated Statements of Changes in Stockholders’ Equity for the nine month periods ended September 30, 2015 and 2014</w:t>
              </w:r>
            </w:hyperlink>
          </w:p>
        </w:tc>
        <w:tc>
          <w:tcPr>
            <w:tcW w:w="21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82"/>
        </w:trPr>
        <w:tc>
          <w:tcPr>
            <w:tcW w:w="364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rPr>
            </w:pPr>
            <w:hyperlink w:anchor="page11">
              <w:r>
                <w:rPr>
                  <w:rFonts w:ascii="Times New Roman" w:cs="Times New Roman" w:eastAsia="Times New Roman" w:hAnsi="Times New Roman"/>
                  <w:sz w:val="16"/>
                  <w:szCs w:val="16"/>
                  <w:color w:val="0000EE"/>
                </w:rPr>
                <w:t>Notes to Condensed Consolidated Financial Statements</w:t>
              </w:r>
            </w:hyperlink>
          </w:p>
        </w:tc>
        <w:tc>
          <w:tcPr>
            <w:tcW w:w="744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57"/>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80" w:type="dxa"/>
            <w:vAlign w:val="bottom"/>
            <w:gridSpan w:val="3"/>
          </w:tcPr>
          <w:p>
            <w:pPr>
              <w:jc w:val="right"/>
              <w:ind w:right="798"/>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34" w:right="319"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FINANCIAL CONDITION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2015 AND DECEMBER 31,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00" w:type="dxa"/>
            <w:vAlign w:val="bottom"/>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859,984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with banks and short-term investments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276,585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Cash deposited with clearing organizations and other segregated 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34,859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 of allowance for doubtful accounts of $20,327 and $23,540 at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2015 and December 31, 2014, respectively):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426,441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Customers and other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75,968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502,409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575,204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(net of accumulated amortization and depreciation of $261,856 and $256,286 at September 30, 2015 and December 31, 2014,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209,814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 and other intangible assets (net of accumulated amortization of $55,141 and $51,754 at September 30, 2015 and December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2014, respectively)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325,624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1,113,060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250,498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4,148,037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434" w:right="23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FINANCIAL CONDITION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2015 AND DECEMBER 31,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2015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 and other customer payables</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399,824</w:t>
            </w:r>
          </w:p>
        </w:tc>
        <w:tc>
          <w:tcPr>
            <w:tcW w:w="2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455,966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Senior debt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998,350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Tax receivable agreement obligation</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548,432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2,936,164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par value $.01 per share; 15,000,000 shares authorized: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Series A - 7,921 shares issued and outstanding at September 30, 2015 and December 31, 2014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Series B - no shares issued and outstanding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Class A, par value $.01 per share (500,000,000 shares authorized;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129,766,091 shares issued at September 30, 2015 and December 31, 2014, including shares held by subsidiaries as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indicated below)</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1,014,145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(252,525)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(200,766)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1,332,453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Class A common stock held by subsidiaries, at cost (4,264,125 and 7,450,745 shares at September 30, 2015 and</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December 31, 2014, respectively)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(177,798)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(261,243)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Lazard Ltd Stockholders’ Equity</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1,154,655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1,211,873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4,148,037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434" w:right="23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 AND NINE MONTH PERIODS ENDED SEPTEMBER 30, 2015 AND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6"/>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39"/>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59"/>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banking and other advisory fees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330,408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290,604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946,057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Asset management fees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253,752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276,940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784,461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3,393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65,879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585,316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581,723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1,799,790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11,798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39,431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573,518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566,211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1,760,359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1,666,507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319,565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338,612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984,786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Occupancy and equipment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29,400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80,889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Marketing and business development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19,127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55,758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Technology and information services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22,923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68,850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36,100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Fund administration and outsourced services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14,367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 related to acquisitions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3,401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pursuant to tax receivable agreement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(420,792)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547,691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90,845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570,744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113,712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(155,969)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170,954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(993,560)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399,790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89,920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837,591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 NET INCOME ATTRIBUTABLE TO NONCONTROLLING INTERESTS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LAZARD LTD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398,521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88,859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828,587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ATTRIBUTABLE TO LAZARD LTD CLASS A COMMON STOCKHOLDERS: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04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 SHARES OF COMMON STOCK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125,925,006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122,206,914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125,264,447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122,366,632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133,115,419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133,566,684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133,219,137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DIVIDENDS DECLARED PER SHARE OF COMMON STOCK</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434" w:right="23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 AND NINE MONTH PERIODS ENDED SEPTEMBER 30, 2015 AND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96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96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3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$ 399,790</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5"/>
              </w:rPr>
              <w:t>89,920</w:t>
            </w:r>
          </w:p>
        </w:tc>
        <w:tc>
          <w:tcPr>
            <w:tcW w:w="3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$ 837,591</w:t>
            </w:r>
          </w:p>
        </w:tc>
        <w:tc>
          <w:tcPr>
            <w:tcW w:w="3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(19,034)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(29,100)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(41,376)</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(18,640)</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Employee benefit plans: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Actuarial gain (loss) (net of tax (expense) benefit of $(253) and $(1,731) for the three months ended</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September 30, 2015 and 2014, respectively, and $7,753 and $1,919 for the nine months ended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September 30, 2015 and 2014, respectively)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3,251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(14,140)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Adjustment for items reclassified to earnings (net of tax expense of $368 and $528 for the three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months ended September 30, 2015 and 2014, respectively, and $1,469 and $1,391 for the nine</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months ended September 30, 2015 and 2014, respectively)</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1,145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3,757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NET OF TAX</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(17,176)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(24,704)</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(51,759)</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(18,621)</w:t>
            </w:r>
          </w:p>
        </w:tc>
        <w:tc>
          <w:tcPr>
            <w:tcW w:w="0" w:type="dxa"/>
            <w:vAlign w:val="bottom"/>
          </w:tcPr>
          <w:p>
            <w:pPr>
              <w:spacing w:after="0"/>
              <w:rPr>
                <w:sz w:val="1"/>
                <w:szCs w:val="1"/>
                <w:color w:val="auto"/>
              </w:rPr>
            </w:pPr>
          </w:p>
        </w:tc>
      </w:tr>
      <w:tr>
        <w:trPr>
          <w:trHeight w:val="206"/>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382,614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5"/>
              </w:rPr>
              <w:t>65,216</w:t>
            </w:r>
          </w:p>
        </w:tc>
        <w:tc>
          <w:tcPr>
            <w:tcW w:w="3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785,832</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LESS - COMPREHENSIVE INCOME ATTRIBUTABLE TO NONCONTROLLING INTERESTS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1,061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9,004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LAZARD LTD</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$ 381,345</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5"/>
              </w:rPr>
              <w:t>64,155</w:t>
            </w:r>
          </w:p>
        </w:tc>
        <w:tc>
          <w:tcPr>
            <w:tcW w:w="3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$ 776,828</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434" w:right="23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 PERIODS ENDED SEPTEMBER 30, 2015 AND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93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r>
      <w:tr>
        <w:trPr>
          <w:trHeight w:val="181"/>
        </w:trPr>
        <w:tc>
          <w:tcPr>
            <w:tcW w:w="20" w:type="dxa"/>
            <w:vAlign w:val="bottom"/>
          </w:tcPr>
          <w:p>
            <w:pPr>
              <w:spacing w:after="0"/>
              <w:rPr>
                <w:sz w:val="15"/>
                <w:szCs w:val="15"/>
                <w:color w:val="auto"/>
              </w:rPr>
            </w:pPr>
          </w:p>
        </w:tc>
        <w:tc>
          <w:tcPr>
            <w:tcW w:w="93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837,591</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261,258</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 of property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26,332</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Amortization of deferred expenses and share-based incentive compensation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246,129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227,896</w:t>
            </w: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Amortization of intangible assets related to acquisitions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(1,056,659)</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w:t>
            </w: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Provision pursuant to tax receivable agreement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547,691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Gain on disposal of subsidiaries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(24,388)</w:t>
            </w: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operating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Deposits with banks and short-term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(84,386)</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(18,626)</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Cash deposited with clearing organizations and other segregated cash</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Receivables-net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(12,982)</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(78,820)</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(105,902)</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(114,012)</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Deposits and other payables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105,215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25,666</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compensation and benefits and other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(109,770)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58,227</w:t>
            </w:r>
          </w:p>
        </w:tc>
        <w:tc>
          <w:tcPr>
            <w:tcW w:w="12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93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519,394</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415,422</w:t>
            </w:r>
          </w:p>
        </w:tc>
        <w:tc>
          <w:tcPr>
            <w:tcW w:w="1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(18,479)</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(14,161)</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Disposals of property</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93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(13,138)</w:t>
            </w:r>
          </w:p>
        </w:tc>
        <w:tc>
          <w:tcPr>
            <w:tcW w:w="1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shd w:val="clear" w:color="auto" w:fill="CCEEFF"/>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Issuance of senior debt, net of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396,272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Excess tax benefits from share-based incentive compensation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Senior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(509,098)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(1,435)</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(1,738)</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(15,367)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(9,182)</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Payments under tax receivable agreement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(1,276)</w:t>
            </w: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Partial extinguishment of tax receivable agreement obligation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(42,222)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(159,471)</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(192,657)</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Class A common stock dividends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(246,759)</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(109,592)</w:t>
            </w:r>
          </w:p>
        </w:tc>
      </w:tr>
      <w:tr>
        <w:trPr>
          <w:trHeight w:val="201"/>
        </w:trPr>
        <w:tc>
          <w:tcPr>
            <w:tcW w:w="20" w:type="dxa"/>
            <w:vAlign w:val="bottom"/>
          </w:tcPr>
          <w:p>
            <w:pPr>
              <w:spacing w:after="0"/>
              <w:rPr>
                <w:sz w:val="17"/>
                <w:szCs w:val="17"/>
                <w:color w:val="auto"/>
              </w:rPr>
            </w:pPr>
          </w:p>
        </w:tc>
        <w:tc>
          <w:tcPr>
            <w:tcW w:w="934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Settlement of vested share-based incentive compensation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(105,007)</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(83,783)</w:t>
            </w: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(1,998)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(1,754)</w:t>
            </w:r>
          </w:p>
        </w:tc>
      </w:tr>
      <w:tr>
        <w:trPr>
          <w:trHeight w:val="212"/>
        </w:trPr>
        <w:tc>
          <w:tcPr>
            <w:tcW w:w="20" w:type="dxa"/>
            <w:vAlign w:val="bottom"/>
          </w:tcPr>
          <w:p>
            <w:pPr>
              <w:spacing w:after="0"/>
              <w:rPr>
                <w:sz w:val="18"/>
                <w:szCs w:val="18"/>
                <w:color w:val="auto"/>
              </w:rPr>
            </w:pPr>
          </w:p>
        </w:tc>
        <w:tc>
          <w:tcPr>
            <w:tcW w:w="93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(676,577)</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(396,096)</w:t>
            </w:r>
          </w:p>
        </w:tc>
        <w:tc>
          <w:tcPr>
            <w:tcW w:w="1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(31,405)</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(27,086)</w:t>
            </w:r>
          </w:p>
        </w:tc>
      </w:tr>
      <w:tr>
        <w:trPr>
          <w:trHeight w:val="206"/>
        </w:trPr>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(206,596)</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(20,898)</w:t>
            </w:r>
          </w:p>
        </w:tc>
        <w:tc>
          <w:tcPr>
            <w:tcW w:w="1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EQUIVALENTS—January 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1,066,580</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841,482</w:t>
            </w:r>
          </w:p>
        </w:tc>
        <w:tc>
          <w:tcPr>
            <w:tcW w:w="120" w:type="dxa"/>
            <w:vAlign w:val="bottom"/>
            <w:shd w:val="clear" w:color="auto" w:fill="CCEEFF"/>
          </w:tcPr>
          <w:p>
            <w:pPr>
              <w:spacing w:after="0"/>
              <w:rPr>
                <w:sz w:val="17"/>
                <w:szCs w:val="17"/>
                <w:color w:val="auto"/>
              </w:rPr>
            </w:pPr>
          </w:p>
        </w:tc>
      </w:tr>
      <w:tr>
        <w:trPr>
          <w:trHeight w:val="206"/>
        </w:trPr>
        <w:tc>
          <w:tcPr>
            <w:tcW w:w="9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EQUIVALENTS—September 30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859,984</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820,584</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434" w:right="23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 PERIOD ENDED SEPTEMBER 30, 2014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3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3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720" w:type="dxa"/>
            <w:vAlign w:val="bottom"/>
            <w:gridSpan w:val="3"/>
            <w:vMerge w:val="restart"/>
          </w:tcPr>
          <w:p>
            <w:pPr>
              <w:jc w:val="center"/>
              <w:ind w:left="137"/>
              <w:spacing w:after="0" w:line="139"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360" w:type="dxa"/>
            <w:vAlign w:val="bottom"/>
            <w:gridSpan w:val="5"/>
            <w:vMerge w:val="restart"/>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3"/>
            <w:vMerge w:val="restart"/>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vMerge w:val="restart"/>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3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Lazard Ltd</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right"/>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920" w:type="dxa"/>
            <w:vAlign w:val="bottom"/>
            <w:gridSpan w:val="4"/>
            <w:vMerge w:val="restart"/>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40" w:type="dxa"/>
            <w:vAlign w:val="bottom"/>
          </w:tcPr>
          <w:p>
            <w:pPr>
              <w:spacing w:after="0"/>
              <w:rPr>
                <w:sz w:val="4"/>
                <w:szCs w:val="4"/>
                <w:color w:val="auto"/>
              </w:rPr>
            </w:pPr>
          </w:p>
        </w:tc>
        <w:tc>
          <w:tcPr>
            <w:tcW w:w="1140" w:type="dxa"/>
            <w:vAlign w:val="bottom"/>
            <w:gridSpan w:val="3"/>
            <w:vMerge w:val="restart"/>
          </w:tcPr>
          <w:p>
            <w:pPr>
              <w:ind w:left="160"/>
              <w:spacing w:after="0" w:line="134"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60" w:type="dxa"/>
            <w:vAlign w:val="bottom"/>
            <w:gridSpan w:val="4"/>
            <w:vMerge w:val="restart"/>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Held By Subsidiaries</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2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b w:val="1"/>
                <w:bCs w:val="1"/>
                <w:color w:val="auto"/>
                <w:w w:val="90"/>
              </w:rPr>
              <w:t>Paid-In-</w:t>
            </w: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60" w:type="dxa"/>
            <w:vAlign w:val="bottom"/>
          </w:tcPr>
          <w:p>
            <w:pPr>
              <w:spacing w:after="0"/>
              <w:rPr>
                <w:sz w:val="10"/>
                <w:szCs w:val="10"/>
                <w:color w:val="auto"/>
              </w:rPr>
            </w:pPr>
          </w:p>
        </w:tc>
        <w:tc>
          <w:tcPr>
            <w:tcW w:w="100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6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January 1, 2014</w:t>
            </w:r>
          </w:p>
        </w:tc>
        <w:tc>
          <w:tcPr>
            <w:tcW w:w="4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7,921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tcBorders>
            <w:shd w:val="clear" w:color="auto" w:fill="CCEEFF"/>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8"/>
              </w:rPr>
              <w:t>129,056,082</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$1,291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737,899</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6"/>
              </w:rPr>
              <w:t>$ 203,236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(133,004)</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w w:val="92"/>
              </w:rPr>
              <w:t>8,317,065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87"/>
              </w:rPr>
              <w:t>$(249,213)</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560,209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69,789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629,998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Comprehensive income (loss):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254,893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254,893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6,365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261,258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auto"/>
              </w:rPr>
              <w:t>Other comprehensive loss - net of tax</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(18,621)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(18,621)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(18,621)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Amortization of share-based incentive</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compensation</w:t>
            </w: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159,095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159,095</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159,095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Dividend-equivalents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13,489</w:t>
            </w:r>
          </w:p>
        </w:tc>
        <w:tc>
          <w:tcPr>
            <w:tcW w:w="100" w:type="dxa"/>
            <w:vAlign w:val="bottom"/>
          </w:tcPr>
          <w:p>
            <w:pPr>
              <w:spacing w:after="0"/>
              <w:rPr>
                <w:sz w:val="12"/>
                <w:szCs w:val="12"/>
                <w:color w:val="auto"/>
              </w:rPr>
            </w:pPr>
          </w:p>
        </w:tc>
        <w:tc>
          <w:tcPr>
            <w:tcW w:w="66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(15,243)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(1,754)</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(1,754)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Class A common stock dividends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(109,592)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(109,592)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(109,592)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Purchase of Class A 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4,114,206</w:t>
            </w:r>
          </w:p>
        </w:tc>
        <w:tc>
          <w:tcPr>
            <w:tcW w:w="680" w:type="dxa"/>
            <w:vAlign w:val="bottom"/>
            <w:gridSpan w:val="3"/>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(192,657)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(192,657)</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(192,657)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w w:val="99"/>
              </w:rPr>
              <w:t>Delivery of Class A common stock in connection</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w w:val="98"/>
              </w:rPr>
              <w:t>with shared-based incentive compensation and</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related tax benefit of $1,409</w:t>
            </w: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(257,127)</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(4,828,479)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174,753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(82,374)</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(82,374)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Class A common stock issued in exchange for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Lazard Group common membership interests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710,009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Business acquisitions and related equity</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transactions:</w:t>
            </w: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auto"/>
              </w:rPr>
              <w:t>Class A common stock issuable (including</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related amortization)</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387</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Distributions to noncontrolling interests, net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(8,080)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Adjustments related to noncontrolling interests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3,543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(559)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2,984</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(2,984)</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Balance – September 30, 2014</w:t>
            </w:r>
          </w:p>
        </w:tc>
        <w:tc>
          <w:tcPr>
            <w:tcW w:w="4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7,921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8"/>
              </w:rPr>
              <w:t>129,766,091</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u w:val="single" w:color="auto"/>
                <w:color w:val="auto"/>
                <w:w w:val="94"/>
              </w:rPr>
              <w:t>$</w:t>
            </w:r>
            <w:r>
              <w:rPr>
                <w:rFonts w:ascii="Times New Roman" w:cs="Times New Roman" w:eastAsia="Times New Roman" w:hAnsi="Times New Roman"/>
                <w:sz w:val="13"/>
                <w:szCs w:val="13"/>
                <w:b w:val="1"/>
                <w:bCs w:val="1"/>
                <w:color w:val="auto"/>
                <w:w w:val="94"/>
              </w:rPr>
              <w:t>1,298</w:t>
            </w: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657,279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$ 333,294</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(152,184)</w:t>
            </w:r>
          </w:p>
        </w:tc>
        <w:tc>
          <w:tcPr>
            <w:tcW w:w="58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7,602,792</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(267,117)</w:t>
            </w:r>
          </w:p>
        </w:tc>
        <w:tc>
          <w:tcPr>
            <w:tcW w:w="10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572,570</w:t>
            </w:r>
          </w:p>
        </w:tc>
        <w:tc>
          <w:tcPr>
            <w:tcW w:w="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65,090</w:t>
            </w:r>
          </w:p>
        </w:tc>
        <w:tc>
          <w:tcPr>
            <w:tcW w:w="1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637,660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340" w:right="220" w:hanging="339"/>
        <w:spacing w:after="0" w:line="185" w:lineRule="auto"/>
        <w:tabs>
          <w:tab w:leader="none" w:pos="3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129,056,081 and 129,766,091 shares of the Company’s Class A common stock issued at January 1, 2014 and September 30, 2014, respectively, and 1 share of the Company’s Class B common stock issued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-206375</wp:posOffset>
            </wp:positionV>
            <wp:extent cx="727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434" w:right="239" w:bottom="1440" w:gutter="0" w:footer="0" w:header="0"/>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NINE MONTH PERIOD ENDED SEPTEMBER 30, 2015</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7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7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80" w:type="dxa"/>
            <w:vAlign w:val="bottom"/>
            <w:gridSpan w:val="4"/>
            <w:vMerge w:val="restart"/>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720" w:type="dxa"/>
            <w:vAlign w:val="bottom"/>
            <w:gridSpan w:val="4"/>
            <w:vMerge w:val="restart"/>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3"/>
            <w:vMerge w:val="restart"/>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720" w:type="dxa"/>
            <w:vAlign w:val="bottom"/>
            <w:gridSpan w:val="4"/>
            <w:vMerge w:val="continue"/>
          </w:tcPr>
          <w:p>
            <w:pPr>
              <w:spacing w:after="0"/>
              <w:rPr>
                <w:sz w:val="7"/>
                <w:szCs w:val="7"/>
                <w:color w:val="auto"/>
              </w:rPr>
            </w:pPr>
          </w:p>
        </w:tc>
        <w:tc>
          <w:tcPr>
            <w:tcW w:w="840" w:type="dxa"/>
            <w:vAlign w:val="bottom"/>
            <w:gridSpan w:val="3"/>
            <w:vMerge w:val="restart"/>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Lazard Ltd</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60" w:type="dxa"/>
            <w:vAlign w:val="bottom"/>
            <w:gridSpan w:val="5"/>
            <w:vMerge w:val="restart"/>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2"/>
              </w:rPr>
              <w:t>Preferred Stock</w:t>
            </w:r>
          </w:p>
        </w:tc>
        <w:tc>
          <w:tcPr>
            <w:tcW w:w="120" w:type="dxa"/>
            <w:vAlign w:val="bottom"/>
          </w:tcPr>
          <w:p>
            <w:pPr>
              <w:spacing w:after="0"/>
              <w:rPr>
                <w:sz w:val="4"/>
                <w:szCs w:val="4"/>
                <w:color w:val="auto"/>
              </w:rPr>
            </w:pPr>
          </w:p>
        </w:tc>
        <w:tc>
          <w:tcPr>
            <w:tcW w:w="1460" w:type="dxa"/>
            <w:vAlign w:val="bottom"/>
            <w:gridSpan w:val="3"/>
            <w:vMerge w:val="restart"/>
          </w:tcPr>
          <w:p>
            <w:pPr>
              <w:jc w:val="right"/>
              <w:ind w:right="238"/>
              <w:spacing w:after="0" w:line="134"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580" w:type="dxa"/>
            <w:vAlign w:val="bottom"/>
            <w:gridSpan w:val="3"/>
            <w:vMerge w:val="restart"/>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Held By Subsidiaries</w:t>
            </w:r>
          </w:p>
        </w:tc>
        <w:tc>
          <w:tcPr>
            <w:tcW w:w="1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0"/>
                <w:szCs w:val="10"/>
                <w:color w:val="auto"/>
              </w:rPr>
            </w:pPr>
          </w:p>
        </w:tc>
        <w:tc>
          <w:tcPr>
            <w:tcW w:w="76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40" w:type="dxa"/>
            <w:vAlign w:val="bottom"/>
          </w:tcPr>
          <w:p>
            <w:pPr>
              <w:spacing w:after="0"/>
              <w:rPr>
                <w:sz w:val="10"/>
                <w:szCs w:val="10"/>
                <w:color w:val="auto"/>
              </w:rPr>
            </w:pPr>
          </w:p>
        </w:tc>
        <w:tc>
          <w:tcPr>
            <w:tcW w:w="98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Income (Loss),</w:t>
            </w:r>
          </w:p>
        </w:tc>
        <w:tc>
          <w:tcPr>
            <w:tcW w:w="15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4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spacing w:after="0"/>
              <w:rPr>
                <w:sz w:val="13"/>
                <w:szCs w:val="13"/>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Net of Tax</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Balance – January 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7,921</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129,766,091</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shd w:val="clear" w:color="auto" w:fill="CCEEFF"/>
              </w:rPr>
              <w:t>$1,298</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$ 702,800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464,655</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(200,766)</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7,450,745</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3"/>
                <w:shd w:val="clear" w:color="auto" w:fill="CCEEFF"/>
              </w:rPr>
              <w:t>$(261,243)</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706,744</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63,313</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770,057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828,587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837,591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 net of tax</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(51,759)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(51,759)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(51,759)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share-</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based incentive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174,823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174,823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174,823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Dividend-equivalents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30,340</w:t>
            </w: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(246,759)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(246,759)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(246,759)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Class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3,141,526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(159,471)</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(159,471)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(159,471)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of Class A</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in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 with share-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based incentive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tax benefit of</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$9,495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(337,101)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(6,300,830)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(95,512)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(95,512)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acquisitions and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equity</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Delivery of Class A</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(27,316)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(15,099)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September 30,</w:t>
            </w: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7,921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$1,298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$ 569,535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1,014,145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(252,525)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4,264,125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$(177,798)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1,154,655</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57,218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1,211,873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520"/>
          </w:cols>
          <w:pgMar w:left="240" w:top="434" w:right="13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90" w:lineRule="exact"/>
        <w:rPr>
          <w:sz w:val="20"/>
          <w:szCs w:val="20"/>
          <w:color w:val="auto"/>
        </w:rPr>
      </w:pPr>
    </w:p>
    <w:p>
      <w:pPr>
        <w:ind w:right="7260" w:firstLine="1"/>
        <w:spacing w:after="0" w:line="363" w:lineRule="auto"/>
        <w:tabs>
          <w:tab w:leader="none" w:pos="453"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ORGANIZATION AND BASIS OF PRESENTATION Organization</w:t>
      </w:r>
    </w:p>
    <w:p>
      <w:pPr>
        <w:spacing w:after="0" w:line="1" w:lineRule="exact"/>
        <w:rPr>
          <w:sz w:val="20"/>
          <w:szCs w:val="20"/>
          <w:color w:val="auto"/>
        </w:rPr>
      </w:pPr>
    </w:p>
    <w:p>
      <w:pPr>
        <w:jc w:val="both"/>
        <w:ind w:right="280" w:firstLine="457"/>
        <w:spacing w:after="0" w:line="275" w:lineRule="auto"/>
        <w:rPr>
          <w:sz w:val="20"/>
          <w:szCs w:val="20"/>
          <w:color w:val="auto"/>
        </w:rPr>
      </w:pPr>
      <w:r>
        <w:rPr>
          <w:rFonts w:ascii="Times New Roman" w:cs="Times New Roman" w:eastAsia="Times New Roman" w:hAnsi="Times New Roman"/>
          <w:sz w:val="16"/>
          <w:szCs w:val="16"/>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13" w:lineRule="exact"/>
        <w:rPr>
          <w:sz w:val="20"/>
          <w:szCs w:val="20"/>
          <w:color w:val="auto"/>
        </w:rPr>
      </w:pPr>
    </w:p>
    <w:p>
      <w:pPr>
        <w:ind w:firstLine="457"/>
        <w:spacing w:after="0" w:line="267" w:lineRule="auto"/>
        <w:rPr>
          <w:sz w:val="20"/>
          <w:szCs w:val="20"/>
          <w:color w:val="auto"/>
        </w:rPr>
      </w:pPr>
      <w:r>
        <w:rPr>
          <w:rFonts w:ascii="Times New Roman" w:cs="Times New Roman" w:eastAsia="Times New Roman" w:hAnsi="Times New Roman"/>
          <w:sz w:val="16"/>
          <w:szCs w:val="16"/>
          <w:color w:val="auto"/>
        </w:rPr>
        <w:t>Lazard Ltd indirectly held 100% of all outstanding Lazard Group common membership interests as of September 30, 2015 and December 31, 2014. Lazard Ltd, through its control of the managing members of Lazard Group, controls Lazard Group, which is governed by an Amended and Restated Operating Agreement dated as of October 26, 2015 (the “Operating Agreement”).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21" w:lineRule="exact"/>
        <w:rPr>
          <w:sz w:val="20"/>
          <w:szCs w:val="20"/>
          <w:color w:val="auto"/>
        </w:rPr>
      </w:pPr>
    </w:p>
    <w:p>
      <w:pPr>
        <w:ind w:right="440" w:firstLine="457"/>
        <w:spacing w:after="0" w:line="301" w:lineRule="auto"/>
        <w:rPr>
          <w:sz w:val="20"/>
          <w:szCs w:val="20"/>
          <w:color w:val="auto"/>
        </w:rPr>
      </w:pPr>
      <w:r>
        <w:rPr>
          <w:rFonts w:ascii="Times New Roman" w:cs="Times New Roman" w:eastAsia="Times New Roman" w:hAnsi="Times New Roman"/>
          <w:sz w:val="16"/>
          <w:szCs w:val="16"/>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17" w:lineRule="exact"/>
        <w:rPr>
          <w:sz w:val="20"/>
          <w:szCs w:val="20"/>
          <w:color w:val="auto"/>
        </w:rPr>
      </w:pPr>
    </w:p>
    <w:p>
      <w:pPr>
        <w:jc w:val="both"/>
        <w:ind w:left="900" w:right="220" w:hanging="333"/>
        <w:spacing w:after="0" w:line="282"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31" w:lineRule="exact"/>
        <w:rPr>
          <w:rFonts w:ascii="Times New Roman" w:cs="Times New Roman" w:eastAsia="Times New Roman" w:hAnsi="Times New Roman"/>
          <w:sz w:val="16"/>
          <w:szCs w:val="16"/>
          <w:color w:val="auto"/>
        </w:rPr>
      </w:pPr>
    </w:p>
    <w:p>
      <w:pPr>
        <w:ind w:left="900" w:right="380" w:hanging="333"/>
        <w:spacing w:after="0" w:line="282"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07" w:lineRule="exact"/>
        <w:rPr>
          <w:sz w:val="20"/>
          <w:szCs w:val="20"/>
          <w:color w:val="auto"/>
        </w:rPr>
      </w:pPr>
    </w:p>
    <w:p>
      <w:pPr>
        <w:ind w:right="220" w:firstLine="457"/>
        <w:spacing w:after="0" w:line="301" w:lineRule="auto"/>
        <w:rPr>
          <w:sz w:val="20"/>
          <w:szCs w:val="20"/>
          <w:color w:val="auto"/>
        </w:rPr>
      </w:pPr>
      <w:r>
        <w:rPr>
          <w:rFonts w:ascii="Times New Roman" w:cs="Times New Roman" w:eastAsia="Times New Roman" w:hAnsi="Times New Roman"/>
          <w:sz w:val="16"/>
          <w:szCs w:val="16"/>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92" w:lineRule="exact"/>
        <w:rPr>
          <w:sz w:val="20"/>
          <w:szCs w:val="20"/>
          <w:color w:val="auto"/>
        </w:rPr>
      </w:pPr>
    </w:p>
    <w:p>
      <w:pPr>
        <w:jc w:val="both"/>
        <w:ind w:right="400" w:firstLine="457"/>
        <w:spacing w:after="0" w:line="282" w:lineRule="auto"/>
        <w:rPr>
          <w:sz w:val="20"/>
          <w:szCs w:val="20"/>
          <w:color w:val="auto"/>
        </w:rPr>
      </w:pPr>
      <w:r>
        <w:rPr>
          <w:rFonts w:ascii="Times New Roman" w:cs="Times New Roman" w:eastAsia="Times New Roman" w:hAnsi="Times New Roman"/>
          <w:sz w:val="16"/>
          <w:szCs w:val="16"/>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80"/>
          </w:cols>
          <w:pgMar w:left="240" w:top="434" w:right="27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97" w:lineRule="exact"/>
        <w:rPr>
          <w:sz w:val="20"/>
          <w:szCs w:val="20"/>
          <w:color w:val="auto"/>
        </w:rPr>
      </w:pPr>
    </w:p>
    <w:p>
      <w:pPr>
        <w:ind w:right="40" w:firstLine="457"/>
        <w:spacing w:after="0" w:line="268"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324"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13" w:lineRule="exact"/>
        <w:rPr>
          <w:sz w:val="20"/>
          <w:szCs w:val="20"/>
          <w:color w:val="auto"/>
        </w:rPr>
      </w:pPr>
    </w:p>
    <w:p>
      <w:pPr>
        <w:ind w:right="580" w:firstLine="457"/>
        <w:spacing w:after="0" w:line="301" w:lineRule="auto"/>
        <w:rPr>
          <w:sz w:val="20"/>
          <w:szCs w:val="20"/>
          <w:color w:val="auto"/>
        </w:rPr>
      </w:pPr>
      <w:r>
        <w:rPr>
          <w:rFonts w:ascii="Times New Roman" w:cs="Times New Roman" w:eastAsia="Times New Roman" w:hAnsi="Times New Roman"/>
          <w:sz w:val="16"/>
          <w:szCs w:val="16"/>
          <w:color w:val="auto"/>
        </w:rPr>
        <w:t>The consolidated results of operations for the three month and nine month periods ended September 30, 2015 are not necessarily indicative of the results to be expected for any future interim or annual period.</w:t>
      </w:r>
    </w:p>
    <w:p>
      <w:pPr>
        <w:spacing w:after="0" w:line="92"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15" w:lineRule="exact"/>
        <w:rPr>
          <w:sz w:val="20"/>
          <w:szCs w:val="20"/>
          <w:color w:val="auto"/>
        </w:rPr>
      </w:pPr>
    </w:p>
    <w:p>
      <w:pPr>
        <w:jc w:val="both"/>
        <w:ind w:right="100" w:firstLine="457"/>
        <w:spacing w:after="0" w:line="268" w:lineRule="auto"/>
        <w:rPr>
          <w:sz w:val="20"/>
          <w:szCs w:val="20"/>
          <w:color w:val="auto"/>
        </w:rPr>
      </w:pPr>
      <w:r>
        <w:rPr>
          <w:rFonts w:ascii="Times New Roman" w:cs="Times New Roman" w:eastAsia="Times New Roman" w:hAnsi="Times New Roman"/>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w:t>
      </w:r>
    </w:p>
    <w:p>
      <w:pPr>
        <w:spacing w:after="0" w:line="285" w:lineRule="auto"/>
        <w:rPr>
          <w:sz w:val="20"/>
          <w:szCs w:val="20"/>
          <w:color w:val="auto"/>
        </w:rPr>
      </w:pPr>
      <w:r>
        <w:rPr>
          <w:rFonts w:ascii="Times New Roman" w:cs="Times New Roman" w:eastAsia="Times New Roman" w:hAnsi="Times New Roman"/>
          <w:sz w:val="16"/>
          <w:szCs w:val="16"/>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04" w:lineRule="exact"/>
        <w:rPr>
          <w:sz w:val="20"/>
          <w:szCs w:val="20"/>
          <w:color w:val="auto"/>
        </w:rPr>
      </w:pPr>
    </w:p>
    <w:p>
      <w:pPr>
        <w:ind w:right="240" w:firstLine="457"/>
        <w:spacing w:after="0" w:line="301" w:lineRule="auto"/>
        <w:rPr>
          <w:sz w:val="20"/>
          <w:szCs w:val="20"/>
          <w:color w:val="auto"/>
        </w:rPr>
      </w:pPr>
      <w:r>
        <w:rPr>
          <w:rFonts w:ascii="Times New Roman" w:cs="Times New Roman" w:eastAsia="Times New Roman" w:hAnsi="Times New Roman"/>
          <w:sz w:val="16"/>
          <w:szCs w:val="16"/>
          <w:color w:val="auto"/>
        </w:rPr>
        <w:t>Certain prior period amounts have been reclassified to conform to the current period presentation, primarily by separately presenting deferred tax assets and the tax receivable agreement obligation in the condensed consolidated statements of financial condition and the condensed consolidated statements of cash flows.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380"/>
          </w:cols>
          <w:pgMar w:left="240" w:top="434" w:right="27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RECENT ACCOUNTING DEVELOPMENTS</w:t>
      </w:r>
    </w:p>
    <w:p>
      <w:pPr>
        <w:spacing w:after="0" w:line="95" w:lineRule="exact"/>
        <w:rPr>
          <w:sz w:val="20"/>
          <w:szCs w:val="20"/>
          <w:color w:val="auto"/>
        </w:rPr>
      </w:pPr>
    </w:p>
    <w:p>
      <w:pPr>
        <w:ind w:right="20" w:firstLine="457"/>
        <w:spacing w:after="0" w:line="270" w:lineRule="auto"/>
        <w:rPr>
          <w:sz w:val="20"/>
          <w:szCs w:val="20"/>
          <w:color w:val="auto"/>
        </w:rPr>
      </w:pP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—In May 2014, the Financial Accounting Standards Board (the “FASB”) issued comprehensive new revenue recognition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17" w:lineRule="exact"/>
        <w:rPr>
          <w:sz w:val="20"/>
          <w:szCs w:val="20"/>
          <w:color w:val="auto"/>
        </w:rPr>
      </w:pPr>
    </w:p>
    <w:p>
      <w:pPr>
        <w:ind w:right="40" w:firstLine="457"/>
        <w:spacing w:after="0" w:line="276" w:lineRule="auto"/>
        <w:rPr>
          <w:sz w:val="20"/>
          <w:szCs w:val="20"/>
          <w:color w:val="auto"/>
        </w:rPr>
      </w:pPr>
      <w:r>
        <w:rPr>
          <w:rFonts w:ascii="Times New Roman" w:cs="Times New Roman" w:eastAsia="Times New Roman" w:hAnsi="Times New Roman"/>
          <w:sz w:val="16"/>
          <w:szCs w:val="16"/>
          <w:i w:val="1"/>
          <w:iCs w:val="1"/>
          <w:color w:val="auto"/>
        </w:rPr>
        <w:t>Amendments to the Consolidation Analysis</w:t>
      </w:r>
      <w:r>
        <w:rPr>
          <w:rFonts w:ascii="Times New Roman" w:cs="Times New Roman" w:eastAsia="Times New Roman" w:hAnsi="Times New Roman"/>
          <w:sz w:val="16"/>
          <w:szCs w:val="16"/>
          <w:color w:val="auto"/>
        </w:rPr>
        <w:t>—In February 2015, the FASB issued updated guidance for the consolidation of certain legal entities. The updated guidance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10" w:lineRule="exact"/>
        <w:rPr>
          <w:sz w:val="20"/>
          <w:szCs w:val="20"/>
          <w:color w:val="auto"/>
        </w:rPr>
      </w:pPr>
    </w:p>
    <w:p>
      <w:pPr>
        <w:ind w:right="40" w:firstLine="457"/>
        <w:spacing w:after="0" w:line="276" w:lineRule="auto"/>
        <w:rPr>
          <w:sz w:val="20"/>
          <w:szCs w:val="20"/>
          <w:color w:val="auto"/>
        </w:rPr>
      </w:pPr>
      <w:r>
        <w:rPr>
          <w:rFonts w:ascii="Times New Roman" w:cs="Times New Roman" w:eastAsia="Times New Roman" w:hAnsi="Times New Roman"/>
          <w:sz w:val="16"/>
          <w:szCs w:val="16"/>
          <w:i w:val="1"/>
          <w:iCs w:val="1"/>
          <w:color w:val="auto"/>
        </w:rPr>
        <w:t>Interest—Imputation of Interest</w:t>
      </w:r>
      <w:r>
        <w:rPr>
          <w:rFonts w:ascii="Times New Roman" w:cs="Times New Roman" w:eastAsia="Times New Roman" w:hAnsi="Times New Roman"/>
          <w:sz w:val="16"/>
          <w:szCs w:val="16"/>
          <w:color w:val="auto"/>
        </w:rPr>
        <w:t>—In April 2015, the FASB issued updated guidance which requires a company to classify debt issuance costs related to a recognized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110"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—In May 2015, the FASB issued updated guidance for the classification and disclosure of certain investments using the net asset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condensed consolidated financial statements and related disclosures.</w:t>
      </w:r>
    </w:p>
    <w:p>
      <w:pPr>
        <w:spacing w:after="0" w:line="228" w:lineRule="exact"/>
        <w:rPr>
          <w:sz w:val="20"/>
          <w:szCs w:val="20"/>
          <w:color w:val="auto"/>
        </w:rPr>
      </w:pPr>
    </w:p>
    <w:p>
      <w:pPr>
        <w:ind w:left="460" w:hanging="459"/>
        <w:spacing w:after="0"/>
        <w:tabs>
          <w:tab w:leader="none" w:pos="460"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RECEIVABLES</w:t>
      </w:r>
    </w:p>
    <w:p>
      <w:pPr>
        <w:spacing w:after="0" w:line="96"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Company’s receivables represent fee receivables and amounts due from customers and other receivables.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434" w:right="23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jc w:val="both"/>
        <w:ind w:right="40" w:firstLine="457"/>
        <w:spacing w:after="0" w:line="282" w:lineRule="auto"/>
        <w:rPr>
          <w:sz w:val="20"/>
          <w:szCs w:val="20"/>
          <w:color w:val="auto"/>
        </w:rPr>
      </w:pPr>
      <w:r>
        <w:rPr>
          <w:rFonts w:ascii="Times New Roman" w:cs="Times New Roman" w:eastAsia="Times New Roman" w:hAnsi="Times New Roman"/>
          <w:sz w:val="16"/>
          <w:szCs w:val="16"/>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2015 and 2014 was as follows: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2"/>
                <w:szCs w:val="12"/>
                <w:color w:val="auto"/>
              </w:rPr>
            </w:pPr>
          </w:p>
        </w:tc>
        <w:tc>
          <w:tcPr>
            <w:tcW w:w="170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3"/>
                <w:szCs w:val="13"/>
                <w:color w:val="auto"/>
              </w:rPr>
            </w:pPr>
          </w:p>
        </w:tc>
        <w:tc>
          <w:tcPr>
            <w:tcW w:w="170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31"/>
        </w:trPr>
        <w:tc>
          <w:tcPr>
            <w:tcW w:w="6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7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top w:val="single" w:sz="8" w:color="auto"/>
            </w:tcBorders>
          </w:tcPr>
          <w:p>
            <w:pPr>
              <w:jc w:val="right"/>
              <w:ind w:right="9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r>
      <w:tr>
        <w:trPr>
          <w:trHeight w:val="194"/>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$21,071</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$29,943</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$23,540</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$28,777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Bad debt expense, net of recoveries</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100" w:type="dxa"/>
            <w:vAlign w:val="bottom"/>
          </w:tcPr>
          <w:p>
            <w:pPr>
              <w:spacing w:after="0"/>
              <w:rPr>
                <w:sz w:val="17"/>
                <w:szCs w:val="17"/>
                <w:color w:val="auto"/>
              </w:rPr>
            </w:pPr>
          </w:p>
        </w:tc>
      </w:tr>
      <w:tr>
        <w:trPr>
          <w:trHeight w:val="20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Charge-offs, foreign currency translation and other adjustments</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(488)</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(2,148)</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(6,250)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(8,485)</w:t>
            </w:r>
          </w:p>
        </w:tc>
      </w:tr>
      <w:tr>
        <w:trPr>
          <w:trHeight w:val="206"/>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20,327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29,859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20,327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29,859</w:t>
            </w:r>
          </w:p>
        </w:tc>
        <w:tc>
          <w:tcPr>
            <w:tcW w:w="10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Bad debt expense, net of recoveries is included in “investment banking and other advisory fees” on the condensed consolidated statements of operations.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 September 30, 2015 and December 31, 2014, the Company had receivables past due or deemed uncollectible of $27,474 and $24,578, respectively.</w:t>
      </w:r>
    </w:p>
    <w:p>
      <w:pPr>
        <w:spacing w:after="0" w:line="168"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Of the Company’s fee receivables at September 30, 2015 and December 31, 2014, $82,681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07" w:lineRule="exact"/>
        <w:rPr>
          <w:sz w:val="20"/>
          <w:szCs w:val="20"/>
          <w:color w:val="auto"/>
        </w:rPr>
      </w:pPr>
    </w:p>
    <w:p>
      <w:pPr>
        <w:ind w:right="400" w:firstLine="457"/>
        <w:spacing w:after="0" w:line="301" w:lineRule="auto"/>
        <w:rPr>
          <w:sz w:val="20"/>
          <w:szCs w:val="20"/>
          <w:color w:val="auto"/>
        </w:rPr>
      </w:pPr>
      <w:r>
        <w:rPr>
          <w:rFonts w:ascii="Times New Roman" w:cs="Times New Roman" w:eastAsia="Times New Roman" w:hAnsi="Times New Roman"/>
          <w:sz w:val="16"/>
          <w:szCs w:val="16"/>
          <w:color w:val="auto"/>
        </w:rPr>
        <w:t>The aggregate carrying amount of our non-interest bearing receivables of $419,728 and $471,375 at September 30, 2015 and December 31, 2014, respectively, approximates fair value.</w:t>
      </w:r>
    </w:p>
    <w:p>
      <w:pPr>
        <w:spacing w:after="0" w:line="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60"/>
          </w:cols>
          <w:pgMar w:left="240" w:top="434" w:right="39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Company’s investments and securities sold, not yet purchased, consist of the following at September 30, 2015 and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56,441</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Equities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46,576</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Alternative investments (a)</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Debt (a)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(a)</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Private equity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463,749</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method</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575,204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Equity method</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512,061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sold, not yet purchased, at fair value (included in “other 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60" w:type="dxa"/>
            <w:vAlign w:val="bottom"/>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3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hanging="459"/>
        <w:spacing w:after="0" w:line="27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in alternative investment funds, debt funds and equity funds include investments with fair values of $12,001, $31,116 and $153,627, respectively, at September 30,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15"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Interest-bearing deposits have original maturities of greater than three months but equal to or less than one year and are carried at cost that approximates fair value due to their short-term maturities.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Debt securities primarily consist of seed investments invested in debt securities held within separately managed accounts related to our Asset Management business.</w:t>
      </w:r>
    </w:p>
    <w:p>
      <w:pPr>
        <w:spacing w:after="0" w:line="168"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Alternative investment funds primarily consist of interests in various Lazard-managed hedge funds, funds of funds and mutual funds.</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434" w:right="23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280" w:firstLine="457"/>
        <w:spacing w:after="0" w:line="301" w:lineRule="auto"/>
        <w:rPr>
          <w:sz w:val="20"/>
          <w:szCs w:val="20"/>
          <w:color w:val="auto"/>
        </w:rPr>
      </w:pPr>
      <w:r>
        <w:rPr>
          <w:rFonts w:ascii="Times New Roman" w:cs="Times New Roman" w:eastAsia="Times New Roman" w:hAnsi="Times New Roman"/>
          <w:sz w:val="16"/>
          <w:szCs w:val="16"/>
          <w:color w:val="auto"/>
        </w:rPr>
        <w:t>Debt funds primarily consist of seed investments in funds related to our Asset Management business that invest in debt securities, amounts related to LFI discussed above and an investment in a Lazard-managed debt fund held by a broker-dealer subsidiary of the Company.</w:t>
      </w:r>
    </w:p>
    <w:p>
      <w:pPr>
        <w:spacing w:after="0" w:line="92" w:lineRule="exact"/>
        <w:rPr>
          <w:sz w:val="20"/>
          <w:szCs w:val="20"/>
          <w:color w:val="auto"/>
        </w:rPr>
      </w:pPr>
    </w:p>
    <w:p>
      <w:pPr>
        <w:ind w:right="420" w:firstLine="457"/>
        <w:spacing w:after="0" w:line="301" w:lineRule="auto"/>
        <w:rPr>
          <w:sz w:val="20"/>
          <w:szCs w:val="20"/>
          <w:color w:val="auto"/>
        </w:rPr>
      </w:pPr>
      <w:r>
        <w:rPr>
          <w:rFonts w:ascii="Times New Roman" w:cs="Times New Roman" w:eastAsia="Times New Roman" w:hAnsi="Times New Roman"/>
          <w:sz w:val="16"/>
          <w:szCs w:val="16"/>
          <w:color w:val="auto"/>
        </w:rPr>
        <w:t>Equity funds primarily consist of seed investments in funds related to our Asset Management business that invest in equity securities, and amounts related to LFI discussed above.</w:t>
      </w:r>
    </w:p>
    <w:p>
      <w:pPr>
        <w:spacing w:after="0" w:line="92" w:lineRule="exact"/>
        <w:rPr>
          <w:sz w:val="20"/>
          <w:szCs w:val="20"/>
          <w:color w:val="auto"/>
        </w:rPr>
      </w:pPr>
    </w:p>
    <w:p>
      <w:pPr>
        <w:ind w:right="40" w:firstLine="457"/>
        <w:spacing w:after="0" w:line="268" w:lineRule="auto"/>
        <w:rPr>
          <w:sz w:val="20"/>
          <w:szCs w:val="20"/>
          <w:color w:val="auto"/>
        </w:rPr>
      </w:pPr>
      <w:r>
        <w:rPr>
          <w:rFonts w:ascii="Times New Roman" w:cs="Times New Roman" w:eastAsia="Times New Roman" w:hAnsi="Times New Roman"/>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nine month period ended September 30, 2015. See Note 5 of Notes to Condensed Consolidated Financial Statements.</w:t>
      </w:r>
    </w:p>
    <w:p>
      <w:pPr>
        <w:spacing w:after="0" w:line="118" w:lineRule="exact"/>
        <w:rPr>
          <w:sz w:val="20"/>
          <w:szCs w:val="20"/>
          <w:color w:val="auto"/>
        </w:rPr>
      </w:pPr>
    </w:p>
    <w:p>
      <w:pPr>
        <w:ind w:right="220" w:firstLine="457"/>
        <w:spacing w:after="0" w:line="301" w:lineRule="auto"/>
        <w:rPr>
          <w:sz w:val="20"/>
          <w:szCs w:val="20"/>
          <w:color w:val="auto"/>
        </w:rPr>
      </w:pPr>
      <w:r>
        <w:rPr>
          <w:rFonts w:ascii="Times New Roman" w:cs="Times New Roman" w:eastAsia="Times New Roman" w:hAnsi="Times New Roman"/>
          <w:sz w:val="16"/>
          <w:szCs w:val="16"/>
          <w:color w:val="auto"/>
        </w:rPr>
        <w:t>Private equity investments consolidated but not owned by Lazard relate to the economic interests that are owned by the management team and other investors in the Edgewater Funds (“Edgewater”).</w:t>
      </w:r>
    </w:p>
    <w:p>
      <w:pPr>
        <w:spacing w:after="0" w:line="92" w:lineRule="exact"/>
        <w:rPr>
          <w:sz w:val="20"/>
          <w:szCs w:val="20"/>
          <w:color w:val="auto"/>
        </w:rPr>
      </w:pPr>
    </w:p>
    <w:p>
      <w:pPr>
        <w:ind w:right="620" w:firstLine="457"/>
        <w:spacing w:after="0" w:line="301" w:lineRule="auto"/>
        <w:rPr>
          <w:sz w:val="20"/>
          <w:szCs w:val="20"/>
          <w:color w:val="auto"/>
        </w:rPr>
      </w:pPr>
      <w:r>
        <w:rPr>
          <w:rFonts w:ascii="Times New Roman" w:cs="Times New Roman" w:eastAsia="Times New Roman" w:hAnsi="Times New Roman"/>
          <w:sz w:val="16"/>
          <w:szCs w:val="16"/>
          <w:color w:val="auto"/>
        </w:rPr>
        <w:t>During the three month and nine month periods ended September 30, 2015 and 2014, the Company reported in “revenue-other” on its condensed consolidated statements of operations net unrealized investment gains and losses pertaining to “trading” securities still held as of the reporting date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40" w:type="dxa"/>
            <w:vAlign w:val="bottom"/>
          </w:tcPr>
          <w:p>
            <w:pPr>
              <w:spacing w:after="0"/>
              <w:rPr>
                <w:sz w:val="12"/>
                <w:szCs w:val="12"/>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r>
      <w:tr>
        <w:trPr>
          <w:trHeight w:val="153"/>
        </w:trPr>
        <w:tc>
          <w:tcPr>
            <w:tcW w:w="5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40" w:type="dxa"/>
            <w:vAlign w:val="bottom"/>
          </w:tcPr>
          <w:p>
            <w:pPr>
              <w:spacing w:after="0"/>
              <w:rPr>
                <w:sz w:val="13"/>
                <w:szCs w:val="13"/>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31"/>
        </w:trPr>
        <w:tc>
          <w:tcPr>
            <w:tcW w:w="53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66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920" w:type="dxa"/>
            <w:vAlign w:val="bottom"/>
            <w:tcBorders>
              <w:top w:val="single" w:sz="8" w:color="auto"/>
            </w:tcBorders>
            <w:gridSpan w:val="2"/>
          </w:tcPr>
          <w:p>
            <w:pPr>
              <w:jc w:val="right"/>
              <w:ind w:right="7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r>
      <w:tr>
        <w:trPr>
          <w:trHeight w:val="194"/>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7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$(24,962)</w:t>
            </w: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 (13,897)</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(26,077)</w:t>
            </w:r>
          </w:p>
        </w:tc>
        <w:tc>
          <w:tcPr>
            <w:tcW w:w="3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(75)</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248" w:lineRule="exact"/>
        <w:rPr>
          <w:sz w:val="20"/>
          <w:szCs w:val="20"/>
          <w:color w:val="auto"/>
        </w:rPr>
      </w:pPr>
    </w:p>
    <w:p>
      <w:pPr>
        <w:ind w:left="460" w:hanging="459"/>
        <w:spacing w:after="0"/>
        <w:tabs>
          <w:tab w:leader="none" w:pos="460"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93" w:lineRule="exact"/>
        <w:rPr>
          <w:sz w:val="20"/>
          <w:szCs w:val="20"/>
          <w:color w:val="auto"/>
        </w:rPr>
      </w:pPr>
    </w:p>
    <w:p>
      <w:pPr>
        <w:ind w:right="60" w:firstLine="457"/>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Fair Value Hierarchy of Investments and Certain Other Assets and Liabilities—</w:t>
      </w:r>
      <w:r>
        <w:rPr>
          <w:rFonts w:ascii="Times New Roman" w:cs="Times New Roman" w:eastAsia="Times New Roman" w:hAnsi="Times New Roman"/>
          <w:sz w:val="16"/>
          <w:szCs w:val="16"/>
          <w:color w:val="auto"/>
        </w:rPr>
        <w:t>Lazard categorizes its investments and certain other assets and liabilities recorded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fair value into a three-level fair value hierarchy as follows:</w:t>
      </w:r>
    </w:p>
    <w:p>
      <w:pPr>
        <w:spacing w:after="0" w:line="11" w:lineRule="exact"/>
        <w:rPr>
          <w:sz w:val="20"/>
          <w:szCs w:val="20"/>
          <w:color w:val="auto"/>
        </w:rPr>
      </w:pPr>
    </w:p>
    <w:p>
      <w:pPr>
        <w:ind w:left="900" w:right="440" w:hanging="905"/>
        <w:spacing w:after="0" w:line="301"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Level 1.</w:t>
      </w:r>
      <w:r>
        <w:rPr>
          <w:sz w:val="20"/>
          <w:szCs w:val="20"/>
          <w:color w:val="auto"/>
        </w:rPr>
        <w:tab/>
      </w:r>
      <w:r>
        <w:rPr>
          <w:rFonts w:ascii="Times New Roman" w:cs="Times New Roman" w:eastAsia="Times New Roman" w:hAnsi="Times New Roman"/>
          <w:sz w:val="16"/>
          <w:szCs w:val="16"/>
          <w:color w:val="auto"/>
        </w:rPr>
        <w:t>Assets and liabilities whose values are based on unadjusted quoted prices for identical assets or liabilities in an active market that Lazard has the ability to access.</w:t>
      </w:r>
    </w:p>
    <w:p>
      <w:pPr>
        <w:spacing w:after="0" w:line="17" w:lineRule="exact"/>
        <w:rPr>
          <w:sz w:val="20"/>
          <w:szCs w:val="20"/>
          <w:color w:val="auto"/>
        </w:rPr>
      </w:pPr>
    </w:p>
    <w:p>
      <w:pPr>
        <w:jc w:val="both"/>
        <w:ind w:left="900" w:right="360" w:hanging="905"/>
        <w:spacing w:after="0" w:line="282"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Level 2.</w:t>
      </w:r>
      <w:r>
        <w:rPr>
          <w:sz w:val="20"/>
          <w:szCs w:val="20"/>
          <w:color w:val="auto"/>
        </w:rPr>
        <w:tab/>
      </w:r>
      <w:r>
        <w:rPr>
          <w:rFonts w:ascii="Times New Roman" w:cs="Times New Roman" w:eastAsia="Times New Roman" w:hAnsi="Times New Roman"/>
          <w:sz w:val="16"/>
          <w:szCs w:val="16"/>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31" w:lineRule="exact"/>
        <w:rPr>
          <w:sz w:val="20"/>
          <w:szCs w:val="20"/>
          <w:color w:val="auto"/>
        </w:rPr>
      </w:pPr>
    </w:p>
    <w:p>
      <w:pPr>
        <w:ind w:left="900" w:right="200" w:hanging="905"/>
        <w:spacing w:after="0" w:line="27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Level 3.</w:t>
      </w:r>
      <w:r>
        <w:rPr>
          <w:sz w:val="20"/>
          <w:szCs w:val="20"/>
          <w:color w:val="auto"/>
        </w:rPr>
        <w:tab/>
      </w:r>
      <w:r>
        <w:rPr>
          <w:rFonts w:ascii="Times New Roman" w:cs="Times New Roman" w:eastAsia="Times New Roman" w:hAnsi="Times New Roman"/>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434" w:right="23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180" w:firstLine="457"/>
        <w:spacing w:after="0" w:line="301" w:lineRule="auto"/>
        <w:rPr>
          <w:sz w:val="20"/>
          <w:szCs w:val="20"/>
          <w:color w:val="auto"/>
        </w:rPr>
      </w:pPr>
      <w:r>
        <w:rPr>
          <w:rFonts w:ascii="Times New Roman" w:cs="Times New Roman" w:eastAsia="Times New Roman" w:hAnsi="Times New Roman"/>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92" w:lineRule="exact"/>
        <w:rPr>
          <w:sz w:val="20"/>
          <w:szCs w:val="20"/>
          <w:color w:val="auto"/>
        </w:rPr>
      </w:pPr>
    </w:p>
    <w:p>
      <w:pPr>
        <w:ind w:right="320" w:firstLine="457"/>
        <w:spacing w:after="0" w:line="301" w:lineRule="auto"/>
        <w:rPr>
          <w:sz w:val="20"/>
          <w:szCs w:val="20"/>
          <w:color w:val="auto"/>
        </w:rPr>
      </w:pPr>
      <w:r>
        <w:rPr>
          <w:rFonts w:ascii="Times New Roman" w:cs="Times New Roman" w:eastAsia="Times New Roman" w:hAnsi="Times New Roman"/>
          <w:sz w:val="16"/>
          <w:szCs w:val="16"/>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92" w:lineRule="exact"/>
        <w:rPr>
          <w:sz w:val="20"/>
          <w:szCs w:val="20"/>
          <w:color w:val="auto"/>
        </w:rPr>
      </w:pPr>
    </w:p>
    <w:p>
      <w:pPr>
        <w:ind w:right="420" w:firstLine="457"/>
        <w:spacing w:after="0" w:line="301" w:lineRule="auto"/>
        <w:rPr>
          <w:sz w:val="20"/>
          <w:szCs w:val="20"/>
          <w:color w:val="auto"/>
        </w:rPr>
      </w:pPr>
      <w:r>
        <w:rPr>
          <w:rFonts w:ascii="Times New Roman" w:cs="Times New Roman" w:eastAsia="Times New Roman" w:hAnsi="Times New Roman"/>
          <w:sz w:val="16"/>
          <w:szCs w:val="16"/>
          <w:color w:val="auto"/>
        </w:rPr>
        <w:t>The fair value of investments in alternative investment funds, debt funds and equity funds is classified as Level 1 when the fair values are primarily based on the publicly reported closing price for the fund.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fair value of investments in private equity funds is classified as Level 3 for certain investments that are valued based on potential transaction value.</w:t>
      </w:r>
    </w:p>
    <w:p>
      <w:pPr>
        <w:spacing w:after="0" w:line="168"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13" w:lineRule="exact"/>
        <w:rPr>
          <w:sz w:val="20"/>
          <w:szCs w:val="20"/>
          <w:color w:val="auto"/>
        </w:rPr>
      </w:pPr>
    </w:p>
    <w:p>
      <w:pPr>
        <w:jc w:val="both"/>
        <w:ind w:right="100" w:firstLine="45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Investments Measured at Net Asset Value</w:t>
      </w:r>
      <w:r>
        <w:rPr>
          <w:rFonts w:ascii="Times New Roman" w:cs="Times New Roman" w:eastAsia="Times New Roman" w:hAnsi="Times New Roman"/>
          <w:sz w:val="16"/>
          <w:szCs w:val="16"/>
          <w:color w:val="auto"/>
        </w:rPr>
        <w:t>—As a practical expedient, the Company uses NAV or its equivalent to measure the fair value of certain investments. NAV</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00"/>
          </w:cols>
          <w:pgMar w:left="240" w:top="434" w:right="25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The following tables present, as of September 30, 2015 and December 31, 2014, the classification of (i) investments and certain other assets and liabilities measured at fair value on a recurring basis within the fair value hierarchy and (ii) investments measured at NAV or its equivalent as a practical expedient: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60" w:type="dxa"/>
            <w:vAlign w:val="bottom"/>
          </w:tcPr>
          <w:p>
            <w:pPr>
              <w:spacing w:after="0"/>
              <w:rPr>
                <w:sz w:val="11"/>
                <w:szCs w:val="11"/>
                <w:color w:val="auto"/>
              </w:rPr>
            </w:pPr>
          </w:p>
        </w:tc>
        <w:tc>
          <w:tcPr>
            <w:tcW w:w="1000" w:type="dxa"/>
            <w:vAlign w:val="bottom"/>
            <w:gridSpan w:val="4"/>
          </w:tcPr>
          <w:p>
            <w:pPr>
              <w:jc w:val="right"/>
              <w:ind w:right="540"/>
              <w:spacing w:after="0" w:line="131"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NAV (a)</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26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Debt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Alternative investments</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43,961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Debt</w:t>
            </w:r>
          </w:p>
        </w:tc>
        <w:tc>
          <w:tcPr>
            <w:tcW w:w="2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6</w:t>
            </w: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Equity</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206,893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206,936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Private equity</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w:t>
            </w: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96,026</w:t>
            </w: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121,217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Derivatives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364,454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26,467</w:t>
            </w:r>
          </w:p>
        </w:tc>
        <w:tc>
          <w:tcPr>
            <w:tcW w:w="46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121,140</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524,271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not yet purchased</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Derivatives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189,563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189,563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189,563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192,639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 2014 (b)</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Level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NAV (a)</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26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Debt</w:t>
            </w:r>
          </w:p>
        </w:tc>
        <w:tc>
          <w:tcPr>
            <w:tcW w:w="2080" w:type="dxa"/>
            <w:vAlign w:val="bottom"/>
            <w:gridSpan w:val="3"/>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5,540</w:t>
            </w: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4,886</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55,987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w w:val="99"/>
              </w:rPr>
              <w:t>1,315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Alternative investments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Debt</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82,885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Equity</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228,166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228,209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Private equity</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114,470</w:t>
            </w: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114,470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Derivatives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2,355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gridSpan w:val="2"/>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372,578</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7,241</w:t>
            </w:r>
          </w:p>
        </w:tc>
        <w:tc>
          <w:tcPr>
            <w:tcW w:w="13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149,222</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530,356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not yet purchased</w:t>
            </w:r>
          </w:p>
        </w:tc>
        <w:tc>
          <w:tcPr>
            <w:tcW w:w="2080" w:type="dxa"/>
            <w:vAlign w:val="bottom"/>
            <w:gridSpan w:val="3"/>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9,290</w:t>
            </w: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Derivatives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w w:val="96"/>
              </w:rPr>
              <w:t>208,093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208,093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208,093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217,383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60" w:right="40" w:hanging="459"/>
        <w:spacing w:after="0" w:line="301"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2 of Notes to Condensed Consolidated Financial Statements for additional information.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434" w:right="23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left="460" w:right="560" w:hanging="459"/>
        <w:spacing w:after="0" w:line="301"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as of December 31, 2014 reflects the retrospective application of new disclosure guidance adopted by the Company for investments using NAV or its equivalent as a practical expedient when measuring fair value. See Note 2 of Notes to Condensed Consolidated Financial Statements.</w:t>
      </w:r>
    </w:p>
    <w:p>
      <w:pPr>
        <w:spacing w:after="0" w:line="92" w:lineRule="exact"/>
        <w:rPr>
          <w:sz w:val="20"/>
          <w:szCs w:val="20"/>
          <w:color w:val="auto"/>
        </w:rPr>
      </w:pPr>
    </w:p>
    <w:p>
      <w:pPr>
        <w:ind w:right="260" w:firstLine="457"/>
        <w:spacing w:after="0" w:line="301" w:lineRule="auto"/>
        <w:rPr>
          <w:sz w:val="20"/>
          <w:szCs w:val="20"/>
          <w:color w:val="auto"/>
        </w:rPr>
      </w:pPr>
      <w:r>
        <w:rPr>
          <w:rFonts w:ascii="Times New Roman" w:cs="Times New Roman" w:eastAsia="Times New Roman" w:hAnsi="Times New Roman"/>
          <w:sz w:val="16"/>
          <w:szCs w:val="16"/>
          <w:color w:val="auto"/>
        </w:rPr>
        <w:t>The following tables provide a summary of changes in fair value of the Company’s Level 3 assets for the three month and nine month periods ended September 30, 2015 and 2014: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3"/>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w w:val="99"/>
              </w:rPr>
              <w:t>Three Months Ended September 30, 2015 (a)</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6"/>
        </w:trPr>
        <w:tc>
          <w:tcPr>
            <w:tcW w:w="3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8"/>
              </w:rPr>
              <w:t>Net Unrealized/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95"/>
              <w:spacing w:after="0" w:line="139"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740"/>
              <w:spacing w:after="0" w:line="139"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115"/>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Included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gridSpan w:val="6"/>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Beginning</w:t>
            </w:r>
          </w:p>
        </w:tc>
        <w:tc>
          <w:tcPr>
            <w:tcW w:w="92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 Revenue-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5"/>
          </w:tcPr>
          <w:p>
            <w:pPr>
              <w:jc w:val="right"/>
              <w:ind w:right="198"/>
              <w:spacing w:after="0" w:line="139" w:lineRule="exact"/>
              <w:rPr>
                <w:sz w:val="20"/>
                <w:szCs w:val="20"/>
                <w:color w:val="auto"/>
              </w:rPr>
            </w:pPr>
            <w:r>
              <w:rPr>
                <w:rFonts w:ascii="Times New Roman" w:cs="Times New Roman" w:eastAsia="Times New Roman" w:hAnsi="Times New Roman"/>
                <w:sz w:val="13"/>
                <w:szCs w:val="13"/>
                <w:b w:val="1"/>
                <w:bCs w:val="1"/>
                <w:color w:val="auto"/>
              </w:rPr>
              <w:t>Purchases/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5"/>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Sales/</w:t>
            </w:r>
          </w:p>
        </w:tc>
        <w:tc>
          <w:tcPr>
            <w:tcW w:w="120" w:type="dxa"/>
            <w:vAlign w:val="bottom"/>
          </w:tcPr>
          <w:p>
            <w:pPr>
              <w:spacing w:after="0"/>
              <w:rPr>
                <w:sz w:val="12"/>
                <w:szCs w:val="12"/>
                <w:color w:val="auto"/>
              </w:rPr>
            </w:pPr>
          </w:p>
        </w:tc>
        <w:tc>
          <w:tcPr>
            <w:tcW w:w="1280" w:type="dxa"/>
            <w:vAlign w:val="bottom"/>
            <w:gridSpan w:val="6"/>
          </w:tcPr>
          <w:p>
            <w:pPr>
              <w:jc w:val="right"/>
              <w:ind w:right="6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Translation</w:t>
            </w:r>
          </w:p>
        </w:tc>
        <w:tc>
          <w:tcPr>
            <w:tcW w:w="62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Ending</w:t>
            </w:r>
          </w:p>
        </w:tc>
      </w:tr>
      <w:tr>
        <w:trPr>
          <w:trHeight w:val="153"/>
        </w:trPr>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5"/>
              </w:rPr>
              <w:t>Other (b)</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320" w:type="dxa"/>
            <w:vAlign w:val="bottom"/>
          </w:tcPr>
          <w:p>
            <w:pPr>
              <w:spacing w:after="0"/>
              <w:rPr>
                <w:sz w:val="13"/>
                <w:szCs w:val="13"/>
                <w:color w:val="auto"/>
              </w:rPr>
            </w:pPr>
          </w:p>
        </w:tc>
        <w:tc>
          <w:tcPr>
            <w:tcW w:w="1120" w:type="dxa"/>
            <w:vAlign w:val="bottom"/>
            <w:gridSpan w:val="6"/>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w w:val="95"/>
              </w:rPr>
              <w:t>Dispositions</w:t>
            </w:r>
          </w:p>
        </w:tc>
        <w:tc>
          <w:tcPr>
            <w:tcW w:w="120" w:type="dxa"/>
            <w:vAlign w:val="bottom"/>
          </w:tcPr>
          <w:p>
            <w:pPr>
              <w:spacing w:after="0"/>
              <w:rPr>
                <w:sz w:val="13"/>
                <w:szCs w:val="13"/>
                <w:color w:val="auto"/>
              </w:rPr>
            </w:pPr>
          </w:p>
        </w:tc>
        <w:tc>
          <w:tcPr>
            <w:tcW w:w="12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181"/>
        </w:trPr>
        <w:tc>
          <w:tcPr>
            <w:tcW w:w="31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Investments:</w:t>
            </w:r>
          </w:p>
        </w:tc>
        <w:tc>
          <w:tcPr>
            <w:tcW w:w="1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left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1"/>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210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color w:val="auto"/>
              </w:rPr>
              <w:t>$ 1,299</w:t>
            </w:r>
          </w:p>
        </w:tc>
        <w:tc>
          <w:tcPr>
            <w:tcW w:w="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3"/>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4"/>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$ 1,276</w:t>
            </w:r>
          </w:p>
        </w:tc>
        <w:tc>
          <w:tcPr>
            <w:tcW w:w="80" w:type="dxa"/>
            <w:vAlign w:val="bottom"/>
          </w:tcPr>
          <w:p>
            <w:pPr>
              <w:spacing w:after="0"/>
              <w:rPr>
                <w:sz w:val="17"/>
                <w:szCs w:val="17"/>
                <w:color w:val="auto"/>
              </w:rPr>
            </w:pPr>
          </w:p>
        </w:tc>
      </w:tr>
      <w:tr>
        <w:trPr>
          <w:trHeight w:val="201"/>
        </w:trPr>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Private equity funds</w:t>
            </w:r>
          </w:p>
        </w:tc>
        <w:tc>
          <w:tcPr>
            <w:tcW w:w="210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22,267</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2,291</w:t>
            </w: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w:t>
            </w:r>
          </w:p>
        </w:tc>
        <w:tc>
          <w:tcPr>
            <w:tcW w:w="80" w:type="dxa"/>
            <w:vAlign w:val="bottom"/>
            <w:shd w:val="clear" w:color="auto" w:fill="CCEEFF"/>
          </w:tcPr>
          <w:p>
            <w:pPr>
              <w:spacing w:after="0"/>
              <w:rPr>
                <w:sz w:val="17"/>
                <w:szCs w:val="17"/>
                <w:color w:val="auto"/>
              </w:rPr>
            </w:pPr>
          </w:p>
        </w:tc>
      </w:tr>
      <w:tr>
        <w:trPr>
          <w:trHeight w:val="206"/>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Level 3 Assets</w:t>
            </w:r>
          </w:p>
        </w:tc>
        <w:tc>
          <w:tcPr>
            <w:tcW w:w="1400" w:type="dxa"/>
            <w:vAlign w:val="bottom"/>
          </w:tcPr>
          <w:p>
            <w:pPr>
              <w:spacing w:after="0"/>
              <w:rPr>
                <w:sz w:val="17"/>
                <w:szCs w:val="17"/>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w w:val="96"/>
              </w:rPr>
              <w:t>$ 23,566</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26,467</w:t>
            </w:r>
          </w:p>
        </w:tc>
        <w:tc>
          <w:tcPr>
            <w:tcW w:w="8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Nine Months Ended September 30, 2015 (a)</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6"/>
        </w:trPr>
        <w:tc>
          <w:tcPr>
            <w:tcW w:w="3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center"/>
              <w:ind w:right="120"/>
              <w:spacing w:after="0" w:line="116" w:lineRule="exact"/>
              <w:rPr>
                <w:sz w:val="20"/>
                <w:szCs w:val="20"/>
                <w:color w:val="auto"/>
              </w:rPr>
            </w:pPr>
            <w:r>
              <w:rPr>
                <w:rFonts w:ascii="Times New Roman" w:cs="Times New Roman" w:eastAsia="Times New Roman" w:hAnsi="Times New Roman"/>
                <w:sz w:val="13"/>
                <w:szCs w:val="13"/>
                <w:b w:val="1"/>
                <w:bCs w:val="1"/>
                <w:color w:val="auto"/>
                <w:w w:val="98"/>
              </w:rPr>
              <w:t>Net Unrealized/</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6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3"/>
              </w:rPr>
              <w:t>Included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Purchases/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w w:val="93"/>
              </w:rPr>
              <w:t>Currency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5"/>
          </w:tcPr>
          <w:p>
            <w:pPr>
              <w:jc w:val="right"/>
              <w:ind w:right="37"/>
              <w:spacing w:after="0" w:line="139" w:lineRule="exact"/>
              <w:rPr>
                <w:sz w:val="20"/>
                <w:szCs w:val="20"/>
                <w:color w:val="auto"/>
              </w:rPr>
            </w:pPr>
            <w:r>
              <w:rPr>
                <w:rFonts w:ascii="Times New Roman" w:cs="Times New Roman" w:eastAsia="Times New Roman" w:hAnsi="Times New Roman"/>
                <w:sz w:val="13"/>
                <w:szCs w:val="13"/>
                <w:b w:val="1"/>
                <w:bCs w:val="1"/>
                <w:color w:val="auto"/>
                <w:w w:val="92"/>
              </w:rPr>
              <w:t>Beginning</w:t>
            </w:r>
          </w:p>
        </w:tc>
        <w:tc>
          <w:tcPr>
            <w:tcW w:w="120" w:type="dxa"/>
            <w:vAlign w:val="bottom"/>
          </w:tcPr>
          <w:p>
            <w:pPr>
              <w:spacing w:after="0"/>
              <w:rPr>
                <w:sz w:val="12"/>
                <w:szCs w:val="12"/>
                <w:color w:val="auto"/>
              </w:rPr>
            </w:pPr>
          </w:p>
        </w:tc>
        <w:tc>
          <w:tcPr>
            <w:tcW w:w="980" w:type="dxa"/>
            <w:vAlign w:val="bottom"/>
            <w:gridSpan w:val="4"/>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 Revenue-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Acquisitions/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398"/>
              <w:spacing w:after="0" w:line="139" w:lineRule="exact"/>
              <w:rPr>
                <w:sz w:val="20"/>
                <w:szCs w:val="20"/>
                <w:color w:val="auto"/>
              </w:rPr>
            </w:pPr>
            <w:r>
              <w:rPr>
                <w:rFonts w:ascii="Times New Roman" w:cs="Times New Roman" w:eastAsia="Times New Roman" w:hAnsi="Times New Roman"/>
                <w:sz w:val="13"/>
                <w:szCs w:val="13"/>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62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Ending</w:t>
            </w:r>
          </w:p>
        </w:tc>
      </w:tr>
      <w:tr>
        <w:trPr>
          <w:trHeight w:val="153"/>
        </w:trPr>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5"/>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3"/>
                <w:szCs w:val="13"/>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Other (b)</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Transfers (c)</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Dispositions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181"/>
        </w:trPr>
        <w:tc>
          <w:tcPr>
            <w:tcW w:w="31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Investments:</w:t>
            </w:r>
          </w:p>
        </w:tc>
        <w:tc>
          <w:tcPr>
            <w:tcW w:w="1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left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left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1"/>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1,315</w:t>
            </w:r>
          </w:p>
        </w:tc>
        <w:tc>
          <w:tcPr>
            <w:tcW w:w="80" w:type="dxa"/>
            <w:vAlign w:val="bottom"/>
          </w:tcPr>
          <w:p>
            <w:pPr>
              <w:spacing w:after="0"/>
              <w:rPr>
                <w:sz w:val="17"/>
                <w:szCs w:val="17"/>
                <w:color w:val="auto"/>
              </w:rPr>
            </w:pPr>
          </w:p>
        </w:tc>
        <w:tc>
          <w:tcPr>
            <w:tcW w:w="620" w:type="dxa"/>
            <w:vAlign w:val="bottom"/>
            <w:gridSpan w:val="2"/>
          </w:tcPr>
          <w:p>
            <w:pPr>
              <w:jc w:val="right"/>
              <w:ind w:right="35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70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7"/>
                <w:szCs w:val="17"/>
                <w:color w:val="auto"/>
              </w:rPr>
            </w:pPr>
          </w:p>
        </w:tc>
        <w:tc>
          <w:tcPr>
            <w:tcW w:w="460" w:type="dxa"/>
            <w:vAlign w:val="bottom"/>
            <w:gridSpan w:val="3"/>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(51)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$ 1,276</w:t>
            </w:r>
          </w:p>
        </w:tc>
        <w:tc>
          <w:tcPr>
            <w:tcW w:w="80" w:type="dxa"/>
            <w:vAlign w:val="bottom"/>
          </w:tcPr>
          <w:p>
            <w:pPr>
              <w:spacing w:after="0"/>
              <w:rPr>
                <w:sz w:val="17"/>
                <w:szCs w:val="17"/>
                <w:color w:val="auto"/>
              </w:rPr>
            </w:pPr>
          </w:p>
        </w:tc>
      </w:tr>
      <w:tr>
        <w:trPr>
          <w:trHeight w:val="201"/>
        </w:trPr>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Private equity funds</w:t>
            </w:r>
          </w:p>
        </w:tc>
        <w:tc>
          <w:tcPr>
            <w:tcW w:w="1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tcBorders>
              <w:left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3,404</w:t>
            </w:r>
          </w:p>
        </w:tc>
        <w:tc>
          <w:tcPr>
            <w:tcW w:w="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25,191</w:t>
            </w:r>
          </w:p>
        </w:tc>
        <w:tc>
          <w:tcPr>
            <w:tcW w:w="80" w:type="dxa"/>
            <w:vAlign w:val="bottom"/>
            <w:shd w:val="clear" w:color="auto" w:fill="CCEEFF"/>
          </w:tcPr>
          <w:p>
            <w:pPr>
              <w:spacing w:after="0"/>
              <w:rPr>
                <w:sz w:val="17"/>
                <w:szCs w:val="17"/>
                <w:color w:val="auto"/>
              </w:rPr>
            </w:pPr>
          </w:p>
        </w:tc>
      </w:tr>
      <w:tr>
        <w:trPr>
          <w:trHeight w:val="206"/>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Level 3 Assets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1,315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3,416</w:t>
            </w:r>
          </w:p>
        </w:tc>
        <w:tc>
          <w:tcPr>
            <w:tcW w:w="10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22,178</w:t>
            </w:r>
          </w:p>
        </w:tc>
        <w:tc>
          <w:tcPr>
            <w:tcW w:w="4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rPr>
                <w:sz w:val="17"/>
                <w:szCs w:val="17"/>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8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26,467</w:t>
            </w:r>
          </w:p>
        </w:tc>
        <w:tc>
          <w:tcPr>
            <w:tcW w:w="8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Three Months Ended September 30, 2014 (a)</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6"/>
        </w:trPr>
        <w:tc>
          <w:tcPr>
            <w:tcW w:w="3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6"/>
          </w:tcPr>
          <w:p>
            <w:pPr>
              <w:jc w:val="center"/>
              <w:ind w:right="320"/>
              <w:spacing w:after="0" w:line="116" w:lineRule="exact"/>
              <w:rPr>
                <w:sz w:val="20"/>
                <w:szCs w:val="20"/>
                <w:color w:val="auto"/>
              </w:rPr>
            </w:pPr>
            <w:r>
              <w:rPr>
                <w:rFonts w:ascii="Times New Roman" w:cs="Times New Roman" w:eastAsia="Times New Roman" w:hAnsi="Times New Roman"/>
                <w:sz w:val="13"/>
                <w:szCs w:val="13"/>
                <w:b w:val="1"/>
                <w:bCs w:val="1"/>
                <w:color w:val="auto"/>
                <w:w w:val="98"/>
              </w:rPr>
              <w:t>Net Unrealized/</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6"/>
          </w:tcPr>
          <w:p>
            <w:pPr>
              <w:jc w:val="center"/>
              <w:ind w:right="3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5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Foreign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Included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58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85"/>
              </w:rPr>
              <w:t>Beginning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In Revenue-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4"/>
          </w:tcPr>
          <w:p>
            <w:pPr>
              <w:jc w:val="right"/>
              <w:ind w:right="78"/>
              <w:spacing w:after="0" w:line="139" w:lineRule="exact"/>
              <w:rPr>
                <w:sz w:val="20"/>
                <w:szCs w:val="20"/>
                <w:color w:val="auto"/>
              </w:rPr>
            </w:pPr>
            <w:r>
              <w:rPr>
                <w:rFonts w:ascii="Times New Roman" w:cs="Times New Roman" w:eastAsia="Times New Roman" w:hAnsi="Times New Roman"/>
                <w:sz w:val="13"/>
                <w:szCs w:val="13"/>
                <w:b w:val="1"/>
                <w:bCs w:val="1"/>
                <w:color w:val="auto"/>
                <w:w w:val="90"/>
              </w:rPr>
              <w:t>Purchases/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438"/>
              <w:spacing w:after="0" w:line="139" w:lineRule="exact"/>
              <w:rPr>
                <w:sz w:val="20"/>
                <w:szCs w:val="20"/>
                <w:color w:val="auto"/>
              </w:rPr>
            </w:pPr>
            <w:r>
              <w:rPr>
                <w:rFonts w:ascii="Times New Roman" w:cs="Times New Roman" w:eastAsia="Times New Roman" w:hAnsi="Times New Roman"/>
                <w:sz w:val="13"/>
                <w:szCs w:val="13"/>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80" w:type="dxa"/>
            <w:vAlign w:val="bottom"/>
          </w:tcPr>
          <w:p>
            <w:pPr>
              <w:spacing w:after="0"/>
              <w:rPr>
                <w:sz w:val="12"/>
                <w:szCs w:val="12"/>
                <w:color w:val="auto"/>
              </w:rPr>
            </w:pPr>
          </w:p>
        </w:tc>
        <w:tc>
          <w:tcPr>
            <w:tcW w:w="5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Ending</w:t>
            </w:r>
          </w:p>
        </w:tc>
      </w:tr>
      <w:tr>
        <w:trPr>
          <w:trHeight w:val="153"/>
        </w:trPr>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Other (b)</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Dispositions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8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181"/>
        </w:trPr>
        <w:tc>
          <w:tcPr>
            <w:tcW w:w="31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Investments:</w:t>
            </w:r>
          </w:p>
        </w:tc>
        <w:tc>
          <w:tcPr>
            <w:tcW w:w="1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left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1"/>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1700" w:type="dxa"/>
            <w:vAlign w:val="bottom"/>
            <w:gridSpan w:val="3"/>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4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46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(36)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1,334</w:t>
            </w:r>
          </w:p>
        </w:tc>
        <w:tc>
          <w:tcPr>
            <w:tcW w:w="80" w:type="dxa"/>
            <w:vAlign w:val="bottom"/>
          </w:tcPr>
          <w:p>
            <w:pPr>
              <w:spacing w:after="0"/>
              <w:rPr>
                <w:sz w:val="17"/>
                <w:szCs w:val="17"/>
                <w:color w:val="auto"/>
              </w:rPr>
            </w:pPr>
          </w:p>
        </w:tc>
      </w:tr>
      <w:tr>
        <w:trPr>
          <w:trHeight w:val="25"/>
        </w:trPr>
        <w:tc>
          <w:tcPr>
            <w:tcW w:w="3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Level 3 Assets</w:t>
            </w:r>
          </w:p>
        </w:tc>
        <w:tc>
          <w:tcPr>
            <w:tcW w:w="170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1,334</w:t>
            </w:r>
          </w:p>
        </w:tc>
        <w:tc>
          <w:tcPr>
            <w:tcW w:w="80" w:type="dxa"/>
            <w:vAlign w:val="bottom"/>
            <w:shd w:val="clear" w:color="auto" w:fill="CCEEFF"/>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Nine Months Ended September 30, 2014 (a)</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6"/>
        </w:trPr>
        <w:tc>
          <w:tcPr>
            <w:tcW w:w="3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6"/>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6"/>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5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Foreign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Included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58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85"/>
              </w:rPr>
              <w:t>Beginning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w w:val="94"/>
              </w:rPr>
              <w:t>In Revenue-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4"/>
          </w:tcPr>
          <w:p>
            <w:pPr>
              <w:jc w:val="right"/>
              <w:ind w:right="78"/>
              <w:spacing w:after="0" w:line="139" w:lineRule="exact"/>
              <w:rPr>
                <w:sz w:val="20"/>
                <w:szCs w:val="20"/>
                <w:color w:val="auto"/>
              </w:rPr>
            </w:pPr>
            <w:r>
              <w:rPr>
                <w:rFonts w:ascii="Times New Roman" w:cs="Times New Roman" w:eastAsia="Times New Roman" w:hAnsi="Times New Roman"/>
                <w:sz w:val="13"/>
                <w:szCs w:val="13"/>
                <w:b w:val="1"/>
                <w:bCs w:val="1"/>
                <w:color w:val="auto"/>
                <w:w w:val="90"/>
              </w:rPr>
              <w:t>Purchases/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438"/>
              <w:spacing w:after="0" w:line="139" w:lineRule="exact"/>
              <w:rPr>
                <w:sz w:val="20"/>
                <w:szCs w:val="20"/>
                <w:color w:val="auto"/>
              </w:rPr>
            </w:pPr>
            <w:r>
              <w:rPr>
                <w:rFonts w:ascii="Times New Roman" w:cs="Times New Roman" w:eastAsia="Times New Roman" w:hAnsi="Times New Roman"/>
                <w:sz w:val="13"/>
                <w:szCs w:val="13"/>
                <w:b w:val="1"/>
                <w:bCs w:val="1"/>
                <w:color w:val="auto"/>
              </w:rPr>
              <w:t>Sales/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80" w:type="dxa"/>
            <w:vAlign w:val="bottom"/>
          </w:tcPr>
          <w:p>
            <w:pPr>
              <w:spacing w:after="0"/>
              <w:rPr>
                <w:sz w:val="12"/>
                <w:szCs w:val="12"/>
                <w:color w:val="auto"/>
              </w:rPr>
            </w:pPr>
          </w:p>
        </w:tc>
        <w:tc>
          <w:tcPr>
            <w:tcW w:w="5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Ending</w:t>
            </w:r>
          </w:p>
        </w:tc>
      </w:tr>
      <w:tr>
        <w:trPr>
          <w:trHeight w:val="153"/>
        </w:trPr>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5"/>
              </w:rPr>
              <w:t>Other (b)</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Dispositions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8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181"/>
        </w:trPr>
        <w:tc>
          <w:tcPr>
            <w:tcW w:w="31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Investments:</w:t>
            </w:r>
          </w:p>
        </w:tc>
        <w:tc>
          <w:tcPr>
            <w:tcW w:w="1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left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1"/>
        </w:trPr>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w:t>
            </w:r>
          </w:p>
        </w:tc>
        <w:tc>
          <w:tcPr>
            <w:tcW w:w="1700" w:type="dxa"/>
            <w:vAlign w:val="bottom"/>
            <w:gridSpan w:val="3"/>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w w:val="83"/>
              </w:rPr>
              <w:t>1,340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4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460" w:type="dxa"/>
            <w:vAlign w:val="bottom"/>
            <w:gridSpan w:val="3"/>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1,334</w:t>
            </w:r>
          </w:p>
        </w:tc>
        <w:tc>
          <w:tcPr>
            <w:tcW w:w="80" w:type="dxa"/>
            <w:vAlign w:val="bottom"/>
          </w:tcPr>
          <w:p>
            <w:pPr>
              <w:spacing w:after="0"/>
              <w:rPr>
                <w:sz w:val="17"/>
                <w:szCs w:val="17"/>
                <w:color w:val="auto"/>
              </w:rPr>
            </w:pPr>
          </w:p>
        </w:tc>
      </w:tr>
      <w:tr>
        <w:trPr>
          <w:trHeight w:val="25"/>
        </w:trPr>
        <w:tc>
          <w:tcPr>
            <w:tcW w:w="3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Level 3 Assets</w:t>
            </w:r>
          </w:p>
        </w:tc>
        <w:tc>
          <w:tcPr>
            <w:tcW w:w="170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3"/>
              </w:rPr>
              <w:t>1,340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1,334</w:t>
            </w:r>
          </w:p>
        </w:tc>
        <w:tc>
          <w:tcPr>
            <w:tcW w:w="80" w:type="dxa"/>
            <w:vAlign w:val="bottom"/>
            <w:shd w:val="clear" w:color="auto" w:fill="CCEEFF"/>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0"/>
        </w:trPr>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center"/>
              <w:ind w:right="195"/>
              <w:spacing w:after="0"/>
              <w:rPr>
                <w:sz w:val="20"/>
                <w:szCs w:val="20"/>
                <w:color w:val="auto"/>
              </w:rPr>
            </w:pPr>
            <w:r>
              <w:rPr>
                <w:rFonts w:ascii="Times New Roman" w:cs="Times New Roman" w:eastAsia="Times New Roman" w:hAnsi="Times New Roman"/>
                <w:sz w:val="16"/>
                <w:szCs w:val="16"/>
                <w:color w:val="auto"/>
                <w:w w:val="99"/>
              </w:rPr>
              <w:t>17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4" w:right="23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left="460" w:right="40" w:hanging="459"/>
        <w:spacing w:after="0" w:line="268"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tables for the three month and nine month periods ended September 30, 2015 and 2014 reflect the retrospective application of new disclosure guidance adopted by the Company for investments using NAV or its equivalent as a practical expedient when measuring fair value. See Note 2 of Notes to Condensed Consolidated Financial Statements.</w:t>
      </w:r>
    </w:p>
    <w:p>
      <w:pPr>
        <w:ind w:left="460" w:right="240" w:hanging="459"/>
        <w:spacing w:after="0" w:line="262"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for the three month and nine month periods ended September 30, 2015 and the three month and nine month periods ended September 30, 2014 include net unrealized gains (losses) of $635, $3,416, $0 and $14, respectively.</w:t>
      </w:r>
    </w:p>
    <w:p>
      <w:pPr>
        <w:ind w:left="460" w:right="500" w:hanging="459"/>
        <w:spacing w:after="0" w:line="285"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investments that were valued at NAV as of December 31, 2014 of $19,255 were transferred to Level 3 from the NAV category in the nine months ended September 30, 2015 as these investments are valued based on a potential transaction value as of September 30, 2015.</w:t>
      </w:r>
    </w:p>
    <w:p>
      <w:pPr>
        <w:spacing w:after="0" w:line="104"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There were no transfers between any of the Level 1, 2 and 3 categories in the fair value measurement hierarchy during the three month and nine month periods ended September 30, 2015 and 2014.</w:t>
      </w:r>
    </w:p>
    <w:p>
      <w:pPr>
        <w:spacing w:after="0" w:line="92"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The following tables present, at September 30, 2015 and December 31, 2014, certain investments that are valued using NAV or its equivalent as a practical expedient in determining fair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2015</w:t>
            </w: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16"/>
        </w:trPr>
        <w:tc>
          <w:tcPr>
            <w:tcW w:w="1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gridSpan w:val="6"/>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w w:val="96"/>
              </w:rPr>
              <w:t>Estimated Liquidation Period of</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3"/>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236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Investments Not Redeemable</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Investments Redeemable</w:t>
            </w:r>
          </w:p>
        </w:tc>
      </w:tr>
      <w:tr>
        <w:trPr>
          <w:trHeight w:val="116"/>
        </w:trPr>
        <w:tc>
          <w:tcPr>
            <w:tcW w:w="1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5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38"/>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39" w:lineRule="exact"/>
              <w:rPr>
                <w:sz w:val="20"/>
                <w:szCs w:val="20"/>
                <w:color w:val="auto"/>
              </w:rPr>
            </w:pPr>
            <w:r>
              <w:rPr>
                <w:rFonts w:ascii="Times New Roman" w:cs="Times New Roman" w:eastAsia="Times New Roman" w:hAnsi="Times New Roman"/>
                <w:sz w:val="13"/>
                <w:szCs w:val="13"/>
                <w:b w:val="1"/>
                <w:bCs w:val="1"/>
                <w:color w:val="auto"/>
                <w:w w:val="96"/>
              </w:rPr>
              <w:t>Unfunded</w:t>
            </w:r>
          </w:p>
        </w:tc>
        <w:tc>
          <w:tcPr>
            <w:tcW w:w="9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2"/>
              </w:rPr>
              <w:t>Next</w:t>
            </w:r>
          </w:p>
        </w:tc>
        <w:tc>
          <w:tcPr>
            <w:tcW w:w="4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5-10</w:t>
            </w:r>
          </w:p>
        </w:tc>
        <w:tc>
          <w:tcPr>
            <w:tcW w:w="2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Pr>
          <w:p>
            <w:pPr>
              <w:spacing w:after="0"/>
              <w:rPr>
                <w:sz w:val="12"/>
                <w:szCs w:val="12"/>
                <w:color w:val="auto"/>
              </w:rPr>
            </w:pPr>
          </w:p>
        </w:tc>
        <w:tc>
          <w:tcPr>
            <w:tcW w:w="98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Redemption</w:t>
            </w: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Redemption</w:t>
            </w:r>
          </w:p>
        </w:tc>
      </w:tr>
      <w:tr>
        <w:trPr>
          <w:trHeight w:val="153"/>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3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Commitments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Thereafter</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Frequency</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Notice Period</w:t>
            </w:r>
          </w:p>
        </w:tc>
      </w:tr>
      <w:tr>
        <w:trPr>
          <w:trHeight w:val="181"/>
        </w:trPr>
        <w:tc>
          <w:tcPr>
            <w:tcW w:w="422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Alternative investment funds: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201"/>
        </w:trPr>
        <w:tc>
          <w:tcPr>
            <w:tcW w:w="4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Hedge funds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&lt;30-60 days</w:t>
            </w:r>
          </w:p>
        </w:tc>
      </w:tr>
      <w:tr>
        <w:trPr>
          <w:trHeight w:val="201"/>
        </w:trPr>
        <w:tc>
          <w:tcPr>
            <w:tcW w:w="4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Funds of funds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&lt;30-90 days</w:t>
            </w:r>
          </w:p>
        </w:tc>
      </w:tr>
      <w:tr>
        <w:trPr>
          <w:trHeight w:val="201"/>
        </w:trPr>
        <w:tc>
          <w:tcPr>
            <w:tcW w:w="4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&lt;30-60 days</w:t>
            </w:r>
          </w:p>
        </w:tc>
      </w:tr>
      <w:tr>
        <w:trPr>
          <w:trHeight w:val="201"/>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funds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days</w:t>
            </w:r>
          </w:p>
        </w:tc>
      </w:tr>
      <w:tr>
        <w:trPr>
          <w:trHeight w:val="201"/>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&lt;30-90 days</w:t>
            </w:r>
          </w:p>
        </w:tc>
      </w:tr>
      <w:tr>
        <w:trPr>
          <w:trHeight w:val="201"/>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1"/>
        </w:trPr>
        <w:tc>
          <w:tcPr>
            <w:tcW w:w="4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Equity growth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1,078(f)</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1"/>
        </w:trPr>
        <w:tc>
          <w:tcPr>
            <w:tcW w:w="4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Mezzanine debt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6"/>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121,140</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91"/>
        </w:trPr>
        <w:tc>
          <w:tcPr>
            <w:tcW w:w="114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12" w:lineRule="exact"/>
        <w:rPr>
          <w:sz w:val="20"/>
          <w:szCs w:val="20"/>
          <w:color w:val="auto"/>
        </w:rPr>
      </w:pPr>
    </w:p>
    <w:p>
      <w:pPr>
        <w:ind w:left="460" w:hanging="459"/>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weekly (22%), monthly (61%) and quarterly (17%)</w:t>
      </w:r>
    </w:p>
    <w:p>
      <w:pPr>
        <w:spacing w:after="0" w:line="29"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monthly (98%) and quarterly (2%)</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(19%) and monthly (81%)</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(100%)</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(17%), monthly (57%) and quarterly (26%)</w:t>
      </w:r>
    </w:p>
    <w:p>
      <w:pPr>
        <w:spacing w:after="0" w:line="17" w:lineRule="exact"/>
        <w:rPr>
          <w:rFonts w:ascii="Times New Roman" w:cs="Times New Roman" w:eastAsia="Times New Roman" w:hAnsi="Times New Roman"/>
          <w:sz w:val="16"/>
          <w:szCs w:val="16"/>
          <w:color w:val="auto"/>
        </w:rPr>
      </w:pPr>
    </w:p>
    <w:p>
      <w:pPr>
        <w:ind w:left="460" w:right="120" w:hanging="459"/>
        <w:spacing w:after="0" w:line="285"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Unfunded commitments to private equity investments consolidated but not owned by Lazard of $5,501 are excluded. Such commitments are required to be funded by capital contributions from noncontrolling interest holders.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434" w:right="23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2014</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16"/>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gridSpan w:val="6"/>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w w:val="96"/>
              </w:rPr>
              <w:t>Estimated Liquidation Period of</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3"/>
        </w:trPr>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23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Investments Not Redeemable</w:t>
            </w: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Investments Redeemable</w:t>
            </w:r>
          </w:p>
        </w:tc>
      </w:tr>
      <w:tr>
        <w:trPr>
          <w:trHeight w:val="116"/>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5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38"/>
        </w:trPr>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Unfunded</w:t>
            </w:r>
          </w:p>
        </w:tc>
        <w:tc>
          <w:tcPr>
            <w:tcW w:w="9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2"/>
              </w:rPr>
              <w:t>Next</w:t>
            </w:r>
          </w:p>
        </w:tc>
        <w:tc>
          <w:tcPr>
            <w:tcW w:w="4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2"/>
              </w:rPr>
              <w:t>5-10</w:t>
            </w: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0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Redemption</w:t>
            </w: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Redemption</w:t>
            </w:r>
          </w:p>
        </w:tc>
      </w:tr>
      <w:tr>
        <w:trPr>
          <w:trHeight w:val="153"/>
        </w:trPr>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30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Thereafter</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Frequency</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Notice Period</w:t>
            </w:r>
          </w:p>
        </w:tc>
      </w:tr>
      <w:tr>
        <w:trPr>
          <w:trHeight w:val="181"/>
        </w:trPr>
        <w:tc>
          <w:tcPr>
            <w:tcW w:w="410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201"/>
        </w:trPr>
        <w:tc>
          <w:tcPr>
            <w:tcW w:w="41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&lt;30-60 days</w:t>
            </w:r>
          </w:p>
        </w:tc>
      </w:tr>
      <w:tr>
        <w:trPr>
          <w:trHeight w:val="201"/>
        </w:trPr>
        <w:tc>
          <w:tcPr>
            <w:tcW w:w="4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&lt;30-90 days</w:t>
            </w:r>
          </w:p>
        </w:tc>
      </w:tr>
      <w:tr>
        <w:trPr>
          <w:trHeight w:val="201"/>
        </w:trPr>
        <w:tc>
          <w:tcPr>
            <w:tcW w:w="41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w:t>
            </w: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&lt;30-60 days</w:t>
            </w:r>
          </w:p>
        </w:tc>
      </w:tr>
      <w:tr>
        <w:trPr>
          <w:trHeight w:val="201"/>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days</w:t>
            </w:r>
          </w:p>
        </w:tc>
      </w:tr>
      <w:tr>
        <w:trPr>
          <w:trHeight w:val="201"/>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NA</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w:t>
            </w: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30-90 days</w:t>
            </w:r>
          </w:p>
        </w:tc>
      </w:tr>
      <w:tr>
        <w:trPr>
          <w:trHeight w:val="201"/>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1"/>
        </w:trPr>
        <w:tc>
          <w:tcPr>
            <w:tcW w:w="41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18,676(f)</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1"/>
        </w:trPr>
        <w:tc>
          <w:tcPr>
            <w:tcW w:w="4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Mezzanine debt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6"/>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149,222</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18,676</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91"/>
        </w:trPr>
        <w:tc>
          <w:tcPr>
            <w:tcW w:w="114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12" w:lineRule="exact"/>
        <w:rPr>
          <w:sz w:val="20"/>
          <w:szCs w:val="20"/>
          <w:color w:val="auto"/>
        </w:rPr>
      </w:pPr>
    </w:p>
    <w:p>
      <w:pPr>
        <w:ind w:left="460" w:hanging="459"/>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weekly (15%), monthly (66%) and quarterly (19%)</w:t>
      </w:r>
    </w:p>
    <w:p>
      <w:pPr>
        <w:spacing w:after="0" w:line="29"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monthly (98%) and quarterly (2%)</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(11%), weekly (3%) and monthly (86%)</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(100%)</w:t>
      </w:r>
    </w:p>
    <w:p>
      <w:pPr>
        <w:spacing w:after="0" w:line="1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(14%), monthly (58%) and quarterly (28%)</w:t>
      </w:r>
    </w:p>
    <w:p>
      <w:pPr>
        <w:spacing w:after="0" w:line="17" w:lineRule="exact"/>
        <w:rPr>
          <w:rFonts w:ascii="Times New Roman" w:cs="Times New Roman" w:eastAsia="Times New Roman" w:hAnsi="Times New Roman"/>
          <w:sz w:val="16"/>
          <w:szCs w:val="16"/>
          <w:color w:val="auto"/>
        </w:rPr>
      </w:pPr>
    </w:p>
    <w:p>
      <w:pPr>
        <w:ind w:left="460" w:right="120" w:hanging="459"/>
        <w:spacing w:after="0" w:line="285"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Unfunded commitments to private equity investments consolidated but not owned by Lazard of $6,888 are excluded. Such commitments are required to be funded by capital contributions from noncontrolling interest holders.</w:t>
      </w:r>
    </w:p>
    <w:p>
      <w:pPr>
        <w:spacing w:after="0" w:line="100" w:lineRule="exact"/>
        <w:rPr>
          <w:sz w:val="20"/>
          <w:szCs w:val="20"/>
          <w:color w:val="auto"/>
        </w:rPr>
      </w:pPr>
    </w:p>
    <w:p>
      <w:pPr>
        <w:ind w:right="80" w:firstLine="45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Investment Capital Funding Commitments—</w:t>
      </w:r>
      <w:r>
        <w:rPr>
          <w:rFonts w:ascii="Times New Roman" w:cs="Times New Roman" w:eastAsia="Times New Roman" w:hAnsi="Times New Roman"/>
          <w:sz w:val="16"/>
          <w:szCs w:val="16"/>
          <w:color w:val="auto"/>
        </w:rPr>
        <w:t>At September 30, 2015, the Company’s maximum unfunded commitments for capital contributions to investment funds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arose primarily from commitments to EGCP III, which amounted to $9,672, through the earlier of October 12, 2016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20" w:lineRule="exact"/>
        <w:rPr>
          <w:sz w:val="20"/>
          <w:szCs w:val="20"/>
          <w:color w:val="auto"/>
        </w:rPr>
      </w:pPr>
    </w:p>
    <w:p>
      <w:pPr>
        <w:ind w:left="460" w:hanging="459"/>
        <w:spacing w:after="0"/>
        <w:tabs>
          <w:tab w:leader="none" w:pos="460"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DERIVATIVES</w:t>
      </w:r>
    </w:p>
    <w:p>
      <w:pPr>
        <w:spacing w:after="0" w:line="97" w:lineRule="exact"/>
        <w:rPr>
          <w:sz w:val="20"/>
          <w:szCs w:val="20"/>
          <w:color w:val="auto"/>
        </w:rPr>
      </w:pPr>
    </w:p>
    <w:p>
      <w:pPr>
        <w:ind w:right="140" w:firstLine="457"/>
        <w:spacing w:after="0" w:line="272" w:lineRule="auto"/>
        <w:rPr>
          <w:sz w:val="20"/>
          <w:szCs w:val="20"/>
          <w:color w:val="auto"/>
        </w:rPr>
      </w:pPr>
      <w:r>
        <w:rPr>
          <w:rFonts w:ascii="Times New Roman" w:cs="Times New Roman" w:eastAsia="Times New Roman" w:hAnsi="Times New Roman"/>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434" w:right="23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designated as hedging instruments are included in “interest income” and “interest expense”, respectively, or “revenue-other”, depending on the nature of the underlying item, in the condensed consolidated statements of operations.</w:t>
      </w:r>
    </w:p>
    <w:p>
      <w:pPr>
        <w:spacing w:after="0" w:line="92" w:lineRule="exact"/>
        <w:rPr>
          <w:sz w:val="20"/>
          <w:szCs w:val="20"/>
          <w:color w:val="auto"/>
        </w:rPr>
      </w:pPr>
    </w:p>
    <w:p>
      <w:pPr>
        <w:ind w:right="80" w:firstLine="457"/>
        <w:spacing w:after="0" w:line="270" w:lineRule="auto"/>
        <w:rPr>
          <w:sz w:val="20"/>
          <w:szCs w:val="20"/>
          <w:color w:val="auto"/>
        </w:rPr>
      </w:pPr>
      <w:r>
        <w:rPr>
          <w:rFonts w:ascii="Times New Roman" w:cs="Times New Roman" w:eastAsia="Times New Roman" w:hAnsi="Times New Roman"/>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17" w:lineRule="exact"/>
        <w:rPr>
          <w:sz w:val="20"/>
          <w:szCs w:val="20"/>
          <w:color w:val="auto"/>
        </w:rPr>
      </w:pPr>
    </w:p>
    <w:p>
      <w:pPr>
        <w:jc w:val="both"/>
        <w:ind w:right="480" w:firstLine="457"/>
        <w:spacing w:after="0" w:line="282" w:lineRule="auto"/>
        <w:rPr>
          <w:sz w:val="20"/>
          <w:szCs w:val="20"/>
          <w:color w:val="auto"/>
        </w:rPr>
      </w:pPr>
      <w:r>
        <w:rPr>
          <w:rFonts w:ascii="Times New Roman" w:cs="Times New Roman" w:eastAsia="Times New Roman" w:hAnsi="Times New Roman"/>
          <w:sz w:val="16"/>
          <w:szCs w:val="16"/>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September 30, 2015 and December 31,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3"/>
        </w:trPr>
        <w:tc>
          <w:tcPr>
            <w:tcW w:w="114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2015</w:t>
            </w:r>
          </w:p>
        </w:tc>
        <w:tc>
          <w:tcPr>
            <w:tcW w:w="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Borders>
              <w:bottom w:val="single" w:sz="8" w:color="CCEEFF"/>
            </w:tcBorders>
          </w:tcPr>
          <w:p>
            <w:pPr>
              <w:spacing w:after="0"/>
              <w:rPr>
                <w:sz w:val="13"/>
                <w:szCs w:val="13"/>
                <w:color w:val="auto"/>
              </w:rPr>
            </w:pPr>
          </w:p>
        </w:tc>
      </w:tr>
      <w:tr>
        <w:trPr>
          <w:trHeight w:val="181"/>
        </w:trPr>
        <w:tc>
          <w:tcPr>
            <w:tcW w:w="6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Derivative Assets:</w:t>
            </w:r>
          </w:p>
        </w:tc>
        <w:tc>
          <w:tcPr>
            <w:tcW w:w="2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Forward foreign currency exchange rate contracts</w:t>
            </w:r>
          </w:p>
        </w:tc>
        <w:tc>
          <w:tcPr>
            <w:tcW w:w="274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4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tcPr>
          <w:p>
            <w:pPr>
              <w:spacing w:after="0"/>
              <w:rPr>
                <w:sz w:val="17"/>
                <w:szCs w:val="17"/>
                <w:color w:val="auto"/>
              </w:rPr>
            </w:pPr>
          </w:p>
        </w:tc>
      </w:tr>
      <w:tr>
        <w:trPr>
          <w:trHeight w:val="201"/>
        </w:trPr>
        <w:tc>
          <w:tcPr>
            <w:tcW w:w="6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return swaps and other (a)</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11,334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2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1"/>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Forward foreign currency exchange rate contracts</w:t>
            </w:r>
          </w:p>
        </w:tc>
        <w:tc>
          <w:tcPr>
            <w:tcW w:w="274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4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7"/>
                <w:szCs w:val="17"/>
                <w:color w:val="auto"/>
              </w:rPr>
            </w:pPr>
          </w:p>
        </w:tc>
      </w:tr>
      <w:tr>
        <w:trPr>
          <w:trHeight w:val="201"/>
        </w:trPr>
        <w:tc>
          <w:tcPr>
            <w:tcW w:w="6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return swaps and other (a)</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7"/>
                <w:szCs w:val="17"/>
                <w:color w:val="auto"/>
              </w:rPr>
            </w:pPr>
          </w:p>
        </w:tc>
      </w:tr>
      <w:tr>
        <w:trPr>
          <w:trHeight w:val="207"/>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LFI and other similar deferred compensation arrangements</w:t>
            </w:r>
          </w:p>
        </w:tc>
        <w:tc>
          <w:tcPr>
            <w:tcW w:w="2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188,637</w:t>
            </w: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207,306</w:t>
            </w:r>
          </w:p>
        </w:tc>
        <w:tc>
          <w:tcPr>
            <w:tcW w:w="80" w:type="dxa"/>
            <w:vAlign w:val="bottom"/>
          </w:tcPr>
          <w:p>
            <w:pPr>
              <w:spacing w:after="0"/>
              <w:rPr>
                <w:sz w:val="17"/>
                <w:szCs w:val="17"/>
                <w:color w:val="auto"/>
              </w:rPr>
            </w:pPr>
          </w:p>
        </w:tc>
      </w:tr>
      <w:tr>
        <w:trPr>
          <w:trHeight w:val="201"/>
        </w:trPr>
        <w:tc>
          <w:tcPr>
            <w:tcW w:w="1140" w:type="dxa"/>
            <w:vAlign w:val="bottom"/>
            <w:shd w:val="clear" w:color="auto" w:fill="CCEEFF"/>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189,563</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208,093</w:t>
            </w:r>
          </w:p>
        </w:tc>
        <w:tc>
          <w:tcPr>
            <w:tcW w:w="80" w:type="dxa"/>
            <w:vAlign w:val="bottom"/>
            <w:shd w:val="clear" w:color="auto" w:fill="CCEEFF"/>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1"/>
        </w:trPr>
        <w:tc>
          <w:tcPr>
            <w:tcW w:w="1140" w:type="dxa"/>
            <w:vAlign w:val="bottom"/>
            <w:tcBorders>
              <w:bottom w:val="single" w:sz="8" w:color="auto"/>
            </w:tcBorders>
          </w:tcPr>
          <w:p>
            <w:pPr>
              <w:spacing w:after="0"/>
              <w:rPr>
                <w:sz w:val="7"/>
                <w:szCs w:val="7"/>
                <w:color w:val="auto"/>
              </w:rPr>
            </w:pPr>
          </w:p>
        </w:tc>
        <w:tc>
          <w:tcPr>
            <w:tcW w:w="56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2" w:lineRule="exact"/>
        <w:rPr>
          <w:sz w:val="20"/>
          <w:szCs w:val="20"/>
          <w:color w:val="auto"/>
        </w:rPr>
      </w:pPr>
    </w:p>
    <w:p>
      <w:pPr>
        <w:ind w:left="460" w:right="40" w:hanging="459"/>
        <w:spacing w:after="0" w:line="280" w:lineRule="auto"/>
        <w:tabs>
          <w:tab w:leader="none" w:pos="4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total return swaps, amounts represent the netting of gross derivative assets and liabilities of $11,338 and $4 as of September 30, 2015, respectively, and $1,123 and $1,786 as of December 31, 2014, respectively, for contracts with the same counterparty under legally enforceable master netting agreements. Such amounts are recorded “net” in “other assets”, with receivables for net cash collateral under such contracts of $406 and $12,364 as of September 30, 2015 and December 31, 2014, respectively.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434" w:right="23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2015 and 2014,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160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7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Pr>
          <w:p>
            <w:pPr>
              <w:spacing w:after="0"/>
              <w:rPr>
                <w:sz w:val="13"/>
                <w:szCs w:val="13"/>
                <w:color w:val="auto"/>
              </w:rPr>
            </w:pPr>
          </w:p>
        </w:tc>
        <w:tc>
          <w:tcPr>
            <w:tcW w:w="160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31"/>
        </w:trPr>
        <w:tc>
          <w:tcPr>
            <w:tcW w:w="78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66"/>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960" w:type="dxa"/>
            <w:vAlign w:val="bottom"/>
            <w:tcBorders>
              <w:top w:val="single" w:sz="8" w:color="auto"/>
            </w:tcBorders>
            <w:gridSpan w:val="2"/>
          </w:tcPr>
          <w:p>
            <w:pPr>
              <w:jc w:val="right"/>
              <w:ind w:right="5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440" w:type="dxa"/>
            <w:vAlign w:val="bottom"/>
          </w:tcPr>
          <w:p>
            <w:pPr>
              <w:spacing w:after="0"/>
              <w:rPr>
                <w:sz w:val="11"/>
                <w:szCs w:val="11"/>
                <w:color w:val="auto"/>
              </w:rPr>
            </w:pPr>
          </w:p>
        </w:tc>
        <w:tc>
          <w:tcPr>
            <w:tcW w:w="540" w:type="dxa"/>
            <w:vAlign w:val="bottom"/>
            <w:tcBorders>
              <w:top w:val="single" w:sz="8" w:color="auto"/>
            </w:tcBorders>
          </w:tcPr>
          <w:p>
            <w:pPr>
              <w:jc w:val="right"/>
              <w:ind w:right="7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r>
      <w:tr>
        <w:trPr>
          <w:trHeight w:val="194"/>
        </w:trPr>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foreign currency exchange rate contracts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$15,355</w:t>
            </w:r>
          </w:p>
        </w:tc>
        <w:tc>
          <w:tcPr>
            <w:tcW w:w="4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$12,486</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14,380</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LFI and other similar deferred compensation arrangements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(6,004)</w:t>
            </w:r>
          </w:p>
        </w:tc>
      </w:tr>
      <w:tr>
        <w:trPr>
          <w:trHeight w:val="20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return swaps and other</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(5,436)</w:t>
            </w:r>
          </w:p>
        </w:tc>
      </w:tr>
      <w:tr>
        <w:trPr>
          <w:trHeight w:val="206"/>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24,199</w:t>
            </w:r>
          </w:p>
        </w:tc>
        <w:tc>
          <w:tcPr>
            <w:tcW w:w="4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23,718</w:t>
            </w:r>
          </w:p>
        </w:tc>
        <w:tc>
          <w:tcPr>
            <w:tcW w:w="4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30,150</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460" w:hanging="459"/>
        <w:spacing w:after="0"/>
        <w:tabs>
          <w:tab w:leader="none" w:pos="460"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PROPERTY</w:t>
      </w:r>
    </w:p>
    <w:p>
      <w:pPr>
        <w:spacing w:after="0" w:line="96"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At September 30, 2015 and December 31, 2014, property consists of the following:</w:t>
      </w:r>
    </w:p>
    <w:p>
      <w:pPr>
        <w:spacing w:after="0" w:line="193"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Depreciable</w:t>
            </w:r>
          </w:p>
        </w:tc>
        <w:tc>
          <w:tcPr>
            <w:tcW w:w="1320" w:type="dxa"/>
            <w:vAlign w:val="bottom"/>
            <w:gridSpan w:val="3"/>
          </w:tcPr>
          <w:p>
            <w:pPr>
              <w:ind w:left="540"/>
              <w:spacing w:after="0" w:line="139"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360" w:type="dxa"/>
            <w:vAlign w:val="bottom"/>
            <w:gridSpan w:val="4"/>
          </w:tcPr>
          <w:p>
            <w:pPr>
              <w:ind w:left="54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3"/>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40" w:type="dxa"/>
            <w:vAlign w:val="bottom"/>
            <w:gridSpan w:val="2"/>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w w:val="94"/>
              </w:rPr>
              <w:t>Life in Years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2015</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w:t>
            </w:r>
          </w:p>
        </w:tc>
        <w:tc>
          <w:tcPr>
            <w:tcW w:w="9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141,162</w:t>
            </w: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152,982</w:t>
            </w:r>
          </w:p>
        </w:tc>
        <w:tc>
          <w:tcPr>
            <w:tcW w:w="8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167,410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167,837</w:t>
            </w:r>
          </w:p>
        </w:tc>
        <w:tc>
          <w:tcPr>
            <w:tcW w:w="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equipment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156,642</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150,458</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471,670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478,855</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Less - Accumulated depreciation and amortization</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261,856</w:t>
            </w: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256,286</w:t>
            </w:r>
          </w:p>
        </w:tc>
        <w:tc>
          <w:tcPr>
            <w:tcW w:w="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w:t>
            </w: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209,814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222,569</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0" w:lineRule="exact"/>
        <w:rPr>
          <w:sz w:val="20"/>
          <w:szCs w:val="20"/>
          <w:color w:val="auto"/>
        </w:rPr>
      </w:pPr>
    </w:p>
    <w:p>
      <w:pPr>
        <w:ind w:left="460" w:hanging="459"/>
        <w:spacing w:after="0"/>
        <w:tabs>
          <w:tab w:leader="none" w:pos="460"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GOODWILL AND OTHER INTANGIBLE ASSETS</w:t>
      </w:r>
    </w:p>
    <w:p>
      <w:pPr>
        <w:spacing w:after="0" w:line="96"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components of goodwill and other intangible assets at September 30, 2015 and December 31, 2014 are presented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3"/>
        </w:trPr>
        <w:tc>
          <w:tcPr>
            <w:tcW w:w="542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2015</w:t>
            </w:r>
          </w:p>
        </w:tc>
        <w:tc>
          <w:tcPr>
            <w:tcW w:w="4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Borders>
              <w:bottom w:val="single" w:sz="8" w:color="CCEEFF"/>
            </w:tcBorders>
          </w:tcPr>
          <w:p>
            <w:pPr>
              <w:spacing w:after="0"/>
              <w:rPr>
                <w:sz w:val="13"/>
                <w:szCs w:val="13"/>
                <w:color w:val="auto"/>
              </w:rPr>
            </w:pPr>
          </w:p>
        </w:tc>
      </w:tr>
      <w:tr>
        <w:trPr>
          <w:trHeight w:val="19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316,989</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335,402</w:t>
            </w:r>
          </w:p>
        </w:tc>
        <w:tc>
          <w:tcPr>
            <w:tcW w:w="80" w:type="dxa"/>
            <w:vAlign w:val="bottom"/>
            <w:shd w:val="clear" w:color="auto" w:fill="CCEEFF"/>
          </w:tcPr>
          <w:p>
            <w:pPr>
              <w:spacing w:after="0"/>
              <w:rPr>
                <w:sz w:val="16"/>
                <w:szCs w:val="16"/>
                <w:color w:val="auto"/>
              </w:rPr>
            </w:pP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 of accumulated amortization)</w:t>
            </w:r>
          </w:p>
        </w:tc>
        <w:tc>
          <w:tcPr>
            <w:tcW w:w="1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80" w:type="dxa"/>
            <w:vAlign w:val="bottom"/>
          </w:tcPr>
          <w:p>
            <w:pPr>
              <w:spacing w:after="0"/>
              <w:rPr>
                <w:sz w:val="17"/>
                <w:szCs w:val="17"/>
                <w:color w:val="auto"/>
              </w:rPr>
            </w:pPr>
          </w:p>
        </w:tc>
      </w:tr>
      <w:tr>
        <w:trPr>
          <w:trHeight w:val="201"/>
        </w:trPr>
        <w:tc>
          <w:tcPr>
            <w:tcW w:w="54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325,624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347,438</w:t>
            </w:r>
          </w:p>
        </w:tc>
        <w:tc>
          <w:tcPr>
            <w:tcW w:w="8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At September 30, 2015 and December 31, 2014, goodwill of $252,448 and $270,861, respectively, was attributable to the Company’s Financial Advisory segment and, at each such respective date, $64,541 of goodwill was attributable to the Company’s Asset Management segment.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0"/>
          </w:cols>
          <w:pgMar w:left="240" w:top="434" w:right="23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Changes in the carrying amount of goodwill for the nine month periods ended September 30, 2015 and 2014 are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r>
      <w:tr>
        <w:trPr>
          <w:trHeight w:val="153"/>
        </w:trPr>
        <w:tc>
          <w:tcPr>
            <w:tcW w:w="7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r>
      <w:tr>
        <w:trPr>
          <w:trHeight w:val="131"/>
        </w:trPr>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tcPr>
          <w:p>
            <w:pPr>
              <w:jc w:val="right"/>
              <w:ind w:right="128"/>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38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1"/>
                <w:szCs w:val="11"/>
                <w:color w:val="auto"/>
              </w:rPr>
            </w:pPr>
          </w:p>
        </w:tc>
      </w:tr>
      <w:tr>
        <w:trPr>
          <w:trHeight w:val="194"/>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$335,402</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$345,453</w:t>
            </w:r>
          </w:p>
        </w:tc>
        <w:tc>
          <w:tcPr>
            <w:tcW w:w="120" w:type="dxa"/>
            <w:vAlign w:val="bottom"/>
            <w:tcBorders>
              <w:top w:val="single" w:sz="8" w:color="CCEEFF"/>
            </w:tcBorders>
            <w:shd w:val="clear" w:color="auto" w:fill="CCEEFF"/>
          </w:tcPr>
          <w:p>
            <w:pPr>
              <w:spacing w:after="0"/>
              <w:rPr>
                <w:sz w:val="16"/>
                <w:szCs w:val="16"/>
                <w:color w:val="auto"/>
              </w:rPr>
            </w:pPr>
          </w:p>
        </w:tc>
      </w:tr>
      <w:tr>
        <w:trPr>
          <w:trHeight w:val="201"/>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acquisitions</w:t>
            </w:r>
          </w:p>
        </w:tc>
        <w:tc>
          <w:tcPr>
            <w:tcW w:w="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tcPr>
          <w:p>
            <w:pPr>
              <w:spacing w:after="0"/>
              <w:rPr>
                <w:sz w:val="17"/>
                <w:szCs w:val="17"/>
                <w:color w:val="auto"/>
              </w:rPr>
            </w:pPr>
          </w:p>
        </w:tc>
      </w:tr>
      <w:tr>
        <w:trPr>
          <w:trHeight w:val="20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(18,413)</w:t>
            </w: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(4,909)</w:t>
            </w:r>
          </w:p>
        </w:tc>
      </w:tr>
      <w:tr>
        <w:trPr>
          <w:trHeight w:val="20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w:t>
            </w:r>
          </w:p>
        </w:tc>
        <w:tc>
          <w:tcPr>
            <w:tcW w:w="20" w:type="dxa"/>
            <w:vAlign w:val="bottom"/>
            <w:tcBorders>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316,989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343,776</w:t>
            </w:r>
          </w:p>
        </w:tc>
        <w:tc>
          <w:tcPr>
            <w:tcW w:w="120" w:type="dxa"/>
            <w:vAlign w:val="bottom"/>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All changes in the carrying amount of goodwill for the nine month periods ended September 30, 2015 and 2014 are attributable to the Company’s Financial Advisory segment.</w:t>
      </w:r>
    </w:p>
    <w:p>
      <w:pPr>
        <w:spacing w:after="0" w:line="92" w:lineRule="exact"/>
        <w:rPr>
          <w:sz w:val="20"/>
          <w:szCs w:val="20"/>
          <w:color w:val="auto"/>
        </w:rPr>
      </w:pPr>
    </w:p>
    <w:p>
      <w:pPr>
        <w:ind w:right="240" w:firstLine="457"/>
        <w:spacing w:after="0" w:line="301" w:lineRule="auto"/>
        <w:rPr>
          <w:sz w:val="20"/>
          <w:szCs w:val="20"/>
          <w:color w:val="auto"/>
        </w:rPr>
      </w:pPr>
      <w:r>
        <w:rPr>
          <w:rFonts w:ascii="Times New Roman" w:cs="Times New Roman" w:eastAsia="Times New Roman" w:hAnsi="Times New Roman"/>
          <w:sz w:val="16"/>
          <w:szCs w:val="16"/>
          <w:color w:val="auto"/>
        </w:rPr>
        <w:t>The gross cost and accumulated amortization of other intangible assets as of September 30, 2015 and December 31, 2014, by major intangible asset category,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September 30, 2015</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2014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6"/>
        </w:trPr>
        <w:tc>
          <w:tcPr>
            <w:tcW w:w="5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3"/>
              <w:spacing w:after="0" w:line="116"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80" w:type="dxa"/>
            <w:vAlign w:val="bottom"/>
          </w:tcPr>
          <w:p>
            <w:pPr>
              <w:spacing w:after="0"/>
              <w:rPr>
                <w:sz w:val="10"/>
                <w:szCs w:val="10"/>
                <w:color w:val="auto"/>
              </w:rPr>
            </w:pPr>
          </w:p>
        </w:tc>
      </w:tr>
      <w:tr>
        <w:trPr>
          <w:trHeight w:val="138"/>
        </w:trPr>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2"/>
                <w:szCs w:val="12"/>
                <w:color w:val="auto"/>
              </w:rPr>
            </w:pPr>
          </w:p>
        </w:tc>
        <w:tc>
          <w:tcPr>
            <w:tcW w:w="960" w:type="dxa"/>
            <w:vAlign w:val="bottom"/>
            <w:gridSpan w:val="3"/>
          </w:tcPr>
          <w:p>
            <w:pPr>
              <w:jc w:val="right"/>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20" w:type="dxa"/>
            <w:vAlign w:val="bottom"/>
          </w:tcPr>
          <w:p>
            <w:pPr>
              <w:spacing w:after="0"/>
              <w:rPr>
                <w:sz w:val="12"/>
                <w:szCs w:val="12"/>
                <w:color w:val="auto"/>
              </w:rPr>
            </w:pPr>
          </w:p>
        </w:tc>
        <w:tc>
          <w:tcPr>
            <w:tcW w:w="6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240" w:type="dxa"/>
            <w:vAlign w:val="bottom"/>
          </w:tcPr>
          <w:p>
            <w:pPr>
              <w:spacing w:after="0"/>
              <w:rPr>
                <w:sz w:val="12"/>
                <w:szCs w:val="12"/>
                <w:color w:val="auto"/>
              </w:rPr>
            </w:pPr>
          </w:p>
        </w:tc>
        <w:tc>
          <w:tcPr>
            <w:tcW w:w="1040" w:type="dxa"/>
            <w:vAlign w:val="bottom"/>
            <w:gridSpan w:val="3"/>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62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Carrying</w:t>
            </w:r>
          </w:p>
        </w:tc>
      </w:tr>
      <w:tr>
        <w:trPr>
          <w:trHeight w:val="153"/>
        </w:trPr>
        <w:tc>
          <w:tcPr>
            <w:tcW w:w="5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4"/>
              </w:rPr>
              <w:t>Amortization</w:t>
            </w:r>
          </w:p>
        </w:tc>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32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4"/>
              </w:rPr>
              <w:t>Amortization</w:t>
            </w: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94"/>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fees</w:t>
            </w:r>
          </w:p>
        </w:tc>
        <w:tc>
          <w:tcPr>
            <w:tcW w:w="7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$30,740</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23,102</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$ 7,638</w:t>
            </w: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$30,740</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21,116</w:t>
            </w: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9,624</w:t>
            </w:r>
          </w:p>
        </w:tc>
        <w:tc>
          <w:tcPr>
            <w:tcW w:w="80" w:type="dxa"/>
            <w:vAlign w:val="bottom"/>
            <w:tcBorders>
              <w:top w:val="single" w:sz="8" w:color="CCEEFF"/>
            </w:tcBorders>
            <w:shd w:val="clear" w:color="auto" w:fill="CCEEFF"/>
          </w:tcPr>
          <w:p>
            <w:pPr>
              <w:spacing w:after="0"/>
              <w:rPr>
                <w:sz w:val="16"/>
                <w:szCs w:val="16"/>
                <w:color w:val="auto"/>
              </w:rPr>
            </w:pPr>
          </w:p>
        </w:tc>
      </w:tr>
      <w:tr>
        <w:trPr>
          <w:trHeight w:val="201"/>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 customer relationships and non-compete agreements</w:t>
            </w:r>
          </w:p>
        </w:tc>
        <w:tc>
          <w:tcPr>
            <w:tcW w:w="7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33,036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32,039</w:t>
            </w:r>
          </w:p>
        </w:tc>
        <w:tc>
          <w:tcPr>
            <w:tcW w:w="2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33,050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80" w:type="dxa"/>
            <w:vAlign w:val="bottom"/>
          </w:tcPr>
          <w:p>
            <w:pPr>
              <w:spacing w:after="0"/>
              <w:rPr>
                <w:sz w:val="17"/>
                <w:szCs w:val="17"/>
                <w:color w:val="auto"/>
              </w:rPr>
            </w:pPr>
          </w:p>
        </w:tc>
      </w:tr>
      <w:tr>
        <w:trPr>
          <w:trHeight w:val="25"/>
        </w:trPr>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54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63,776</w:t>
            </w:r>
          </w:p>
        </w:tc>
        <w:tc>
          <w:tcPr>
            <w:tcW w:w="4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$ 8,635</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63,790</w:t>
            </w:r>
          </w:p>
        </w:tc>
        <w:tc>
          <w:tcPr>
            <w:tcW w:w="4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12,036</w:t>
            </w:r>
          </w:p>
        </w:tc>
        <w:tc>
          <w:tcPr>
            <w:tcW w:w="8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right="120" w:firstLine="457"/>
        <w:spacing w:after="0" w:line="301" w:lineRule="auto"/>
        <w:rPr>
          <w:sz w:val="20"/>
          <w:szCs w:val="20"/>
          <w:color w:val="auto"/>
        </w:rPr>
      </w:pPr>
      <w:r>
        <w:rPr>
          <w:rFonts w:ascii="Times New Roman" w:cs="Times New Roman" w:eastAsia="Times New Roman" w:hAnsi="Times New Roman"/>
          <w:sz w:val="16"/>
          <w:szCs w:val="16"/>
          <w:color w:val="auto"/>
        </w:rPr>
        <w:t>Amortization expense of intangible assets for the three month and nine month periods ended September 30, 2015 was $511 and $3,401, respectively, and for the three month and nine month periods ended September 30, 2014 was $4,020 and $5,946, respectively. Estimated future amortization expense is as follows: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20" w:type="dxa"/>
            <w:vAlign w:val="bottom"/>
            <w:vMerge w:val="restart"/>
          </w:tcPr>
          <w:p>
            <w:pPr>
              <w:spacing w:after="0"/>
              <w:rPr>
                <w:sz w:val="12"/>
                <w:szCs w:val="12"/>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6760" w:type="dxa"/>
            <w:vAlign w:val="bottom"/>
            <w:vMerge w:val="restart"/>
          </w:tcPr>
          <w:p>
            <w:pPr>
              <w:spacing w:after="0"/>
              <w:rPr>
                <w:sz w:val="12"/>
                <w:szCs w:val="12"/>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Amortization</w:t>
            </w:r>
          </w:p>
        </w:tc>
        <w:tc>
          <w:tcPr>
            <w:tcW w:w="0" w:type="dxa"/>
            <w:vAlign w:val="bottom"/>
          </w:tcPr>
          <w:p>
            <w:pPr>
              <w:spacing w:after="0"/>
              <w:rPr>
                <w:sz w:val="1"/>
                <w:szCs w:val="1"/>
                <w:color w:val="auto"/>
              </w:rPr>
            </w:pPr>
          </w:p>
        </w:tc>
      </w:tr>
      <w:tr>
        <w:trPr>
          <w:trHeight w:val="161"/>
        </w:trPr>
        <w:tc>
          <w:tcPr>
            <w:tcW w:w="220" w:type="dxa"/>
            <w:vAlign w:val="bottom"/>
            <w:vMerge w:val="continue"/>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6760" w:type="dxa"/>
            <w:vAlign w:val="bottom"/>
            <w:vMerge w:val="continue"/>
          </w:tcPr>
          <w:p>
            <w:pPr>
              <w:spacing w:after="0"/>
              <w:rPr>
                <w:sz w:val="13"/>
                <w:szCs w:val="13"/>
                <w:color w:val="auto"/>
              </w:rPr>
            </w:pPr>
          </w:p>
        </w:tc>
        <w:tc>
          <w:tcPr>
            <w:tcW w:w="82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b w:val="1"/>
                <w:bCs w:val="1"/>
                <w:color w:val="auto"/>
              </w:rPr>
              <w:t>Expense (a)</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83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 (October 1 through December 31)</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64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6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480" w:hanging="573"/>
        <w:spacing w:after="0"/>
        <w:tabs>
          <w:tab w:leader="none" w:pos="14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45% of intangible asset amortization is attributable to a noncontrolling interest.</w:t>
      </w:r>
    </w:p>
    <w:p>
      <w:pPr>
        <w:spacing w:after="0" w:line="27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2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SENIOR DEBT</w:t>
      </w:r>
    </w:p>
    <w:p>
      <w:pPr>
        <w:spacing w:after="0" w:line="96"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Senior debt is comprised of the following as of September 30, 2015 and December 31, 2014:</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80" w:type="dxa"/>
            <w:vAlign w:val="bottom"/>
          </w:tcPr>
          <w:p>
            <w:pPr>
              <w:spacing w:after="0"/>
              <w:rPr>
                <w:sz w:val="13"/>
                <w:szCs w:val="13"/>
                <w:color w:val="auto"/>
              </w:rPr>
            </w:pPr>
          </w:p>
        </w:tc>
        <w:tc>
          <w:tcPr>
            <w:tcW w:w="19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Outstanding As Of</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4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6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1120" w:type="dxa"/>
            <w:vAlign w:val="bottom"/>
            <w:gridSpan w:val="2"/>
          </w:tcPr>
          <w:p>
            <w:pPr>
              <w:jc w:val="center"/>
              <w:ind w:right="680"/>
              <w:spacing w:after="0" w:line="116"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1240" w:type="dxa"/>
            <w:vAlign w:val="bottom"/>
            <w:tcBorders>
              <w:top w:val="single" w:sz="8" w:color="auto"/>
            </w:tcBorders>
            <w:gridSpan w:val="3"/>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Borders>
              <w:top w:val="single" w:sz="8" w:color="auto"/>
            </w:tcBorders>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Date</w:t>
            </w:r>
          </w:p>
        </w:tc>
        <w:tc>
          <w:tcPr>
            <w:tcW w:w="2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6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2015</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Lazard Group 6.85%</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w:t>
            </w:r>
          </w:p>
        </w:tc>
        <w:tc>
          <w:tcPr>
            <w:tcW w:w="2220" w:type="dxa"/>
            <w:vAlign w:val="bottom"/>
            <w:shd w:val="clear" w:color="auto" w:fill="CCEEFF"/>
          </w:tcPr>
          <w:p>
            <w:pPr>
              <w:spacing w:after="0"/>
              <w:rPr>
                <w:sz w:val="16"/>
                <w:szCs w:val="16"/>
                <w:color w:val="auto"/>
              </w:rPr>
            </w:pP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600,000</w:t>
            </w: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6/15/17</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98,350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Lazard Group 4.25%</w:t>
            </w:r>
          </w:p>
        </w:tc>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60" w:type="dxa"/>
            <w:vAlign w:val="bottom"/>
            <w:gridSpan w:val="3"/>
          </w:tcPr>
          <w:p>
            <w:pPr>
              <w:ind w:left="2300"/>
              <w:spacing w:after="0"/>
              <w:rPr>
                <w:sz w:val="20"/>
                <w:szCs w:val="20"/>
                <w:color w:val="auto"/>
              </w:rPr>
            </w:pPr>
            <w:r>
              <w:rPr>
                <w:rFonts w:ascii="Times New Roman" w:cs="Times New Roman" w:eastAsia="Times New Roman" w:hAnsi="Times New Roman"/>
                <w:sz w:val="16"/>
                <w:szCs w:val="16"/>
                <w:color w:val="auto"/>
              </w:rPr>
              <w:t>500,000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11/14/20</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Lazard Group 3.75%</w:t>
            </w: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w:t>
            </w:r>
          </w:p>
        </w:tc>
        <w:tc>
          <w:tcPr>
            <w:tcW w:w="3260" w:type="dxa"/>
            <w:vAlign w:val="bottom"/>
            <w:gridSpan w:val="3"/>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400,000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2/13/25</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3.75%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998,350</w:t>
            </w: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20" w:type="dxa"/>
            <w:vAlign w:val="bottom"/>
            <w:vMerge w:val="restart"/>
          </w:tcPr>
          <w:p>
            <w:pPr>
              <w:jc w:val="right"/>
              <w:ind w:right="398"/>
              <w:spacing w:after="0"/>
              <w:rPr>
                <w:sz w:val="20"/>
                <w:szCs w:val="20"/>
                <w:color w:val="auto"/>
              </w:rPr>
            </w:pPr>
            <w:r>
              <w:rPr>
                <w:rFonts w:ascii="Times New Roman" w:cs="Times New Roman" w:eastAsia="Times New Roman" w:hAnsi="Times New Roman"/>
                <w:sz w:val="16"/>
                <w:szCs w:val="16"/>
                <w:color w:val="auto"/>
              </w:rPr>
              <w:t>22</w:t>
            </w: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7270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62" w:lineRule="exact"/>
        <w:rPr>
          <w:sz w:val="20"/>
          <w:szCs w:val="20"/>
          <w:color w:val="auto"/>
        </w:rPr>
      </w:pPr>
    </w:p>
    <w:p>
      <w:pPr>
        <w:ind w:left="460" w:right="180" w:hanging="459"/>
        <w:spacing w:after="0" w:line="270" w:lineRule="auto"/>
        <w:tabs>
          <w:tab w:leader="none" w:pos="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condensed consolidated statement of operations for the nine month period ended September 30, 2015.</w:t>
      </w:r>
    </w:p>
    <w:p>
      <w:pPr>
        <w:spacing w:after="0" w:line="117"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2015 and December 31, 2014, no amounts were outstanding under the Amended and Restated Credit Agreement or the prior revolving credit facility, respectively.</w:t>
      </w:r>
    </w:p>
    <w:p>
      <w:pPr>
        <w:spacing w:after="0" w:line="115" w:lineRule="exact"/>
        <w:rPr>
          <w:sz w:val="20"/>
          <w:szCs w:val="20"/>
          <w:color w:val="auto"/>
        </w:rPr>
      </w:pPr>
    </w:p>
    <w:p>
      <w:pPr>
        <w:ind w:right="20" w:firstLine="457"/>
        <w:spacing w:after="0" w:line="282" w:lineRule="auto"/>
        <w:rPr>
          <w:sz w:val="20"/>
          <w:szCs w:val="20"/>
          <w:color w:val="auto"/>
        </w:rPr>
      </w:pPr>
      <w:r>
        <w:rPr>
          <w:rFonts w:ascii="Times New Roman" w:cs="Times New Roman" w:eastAsia="Times New Roman" w:hAnsi="Times New Roman"/>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2015, the Company was in compliance with such provisions. All of the Company’s senior debt obligations are unsecured.</w:t>
      </w:r>
    </w:p>
    <w:p>
      <w:pPr>
        <w:spacing w:after="0" w:line="107"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As of September 30, 2015, the Company had approximately $247,000 in unused lines of credit available to it, including the credit facility provided under the Amended and Restated Credit Agreement, and unused lines of credit available to LFB of approximately $39,000 (at September 30, 2015 exchange rates) and Edgewater of $55,000. In addition, LFB has access to the Eurosystem Covered Bond Purchase Program of the Banque de France.</w:t>
      </w:r>
    </w:p>
    <w:p>
      <w:pPr>
        <w:spacing w:after="0" w:line="107"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The Company’s senior debt at September 30, 2015 and December 31, 2014 is carried at historical amounts. At those dates, the fair value of such senior debt was approximately $1,016,000 and $1,135,000, respectively, and exceeded the aggregate carrying value by approximately $18,000 and $87,000, respectively. The fair value of the Company’s senior debt is based on market quotations. The Company’s senior debt would be categorized within Level 2 of the hierarchy of fair value measurements if carried at fair value.</w:t>
      </w:r>
    </w:p>
    <w:p>
      <w:pPr>
        <w:spacing w:after="0" w:line="222" w:lineRule="exact"/>
        <w:rPr>
          <w:sz w:val="20"/>
          <w:szCs w:val="20"/>
          <w:color w:val="auto"/>
        </w:rPr>
      </w:pPr>
    </w:p>
    <w:p>
      <w:pPr>
        <w:ind w:left="460" w:hanging="459"/>
        <w:spacing w:after="0"/>
        <w:tabs>
          <w:tab w:leader="none" w:pos="460"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COMMITMENTS AND CONTINGENCIES</w:t>
      </w:r>
    </w:p>
    <w:p>
      <w:pPr>
        <w:spacing w:after="0" w:line="92" w:lineRule="exact"/>
        <w:rPr>
          <w:rFonts w:ascii="Times New Roman" w:cs="Times New Roman" w:eastAsia="Times New Roman" w:hAnsi="Times New Roman"/>
          <w:sz w:val="16"/>
          <w:szCs w:val="16"/>
          <w:b w:val="1"/>
          <w:bCs w:val="1"/>
          <w:i w:val="1"/>
          <w:iCs w:val="1"/>
          <w:color w:val="auto"/>
        </w:rPr>
      </w:pPr>
    </w:p>
    <w:p>
      <w:pPr>
        <w:ind w:left="4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color w:val="auto"/>
        </w:rPr>
        <w:t>The Company has various leases and other contractual commitments arising in the ordinary course of business.</w:t>
      </w:r>
    </w:p>
    <w:p>
      <w:pPr>
        <w:spacing w:after="0" w:line="168" w:lineRule="exact"/>
        <w:rPr>
          <w:sz w:val="20"/>
          <w:szCs w:val="20"/>
          <w:color w:val="auto"/>
        </w:rPr>
      </w:pPr>
    </w:p>
    <w:p>
      <w:pPr>
        <w:ind w:right="300" w:firstLine="457"/>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Guarantees—</w:t>
      </w:r>
      <w:r>
        <w:rPr>
          <w:rFonts w:ascii="Times New Roman" w:cs="Times New Roman" w:eastAsia="Times New Roman" w:hAnsi="Times New Roman"/>
          <w:sz w:val="16"/>
          <w:szCs w:val="16"/>
          <w:color w:val="auto"/>
        </w:rPr>
        <w:t>In the normal course of business, LFB provides indemnifications to third parties to protect them in the event of non-performance by its clients.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2015, LFB had $4,818 of such indemnifications and held $4,465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00"/>
          </w:cols>
          <w:pgMar w:left="240" w:top="434" w:right="25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right="60" w:firstLine="45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Certain Business Transactions</w:t>
      </w:r>
      <w:r>
        <w:rPr>
          <w:rFonts w:ascii="Times New Roman" w:cs="Times New Roman" w:eastAsia="Times New Roman" w:hAnsi="Times New Roman"/>
          <w:sz w:val="16"/>
          <w:szCs w:val="16"/>
          <w:color w:val="auto"/>
        </w:rPr>
        <w:t>—On July 15, 2009, the Company established a private equity business with Edgewater. Edgewater manages funds primarily focused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1"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September 30, 2015 and December 31, 2014, 913,722 shares are issuable on a contingent basis, and 1,371,992 shares have been earned because applicable performance thresholds have been satisfied. As of September 30, 2015 and December 31, 2014, 1,371,992 of the earned shares have been settled.</w:t>
      </w:r>
    </w:p>
    <w:p>
      <w:pPr>
        <w:spacing w:after="0" w:line="111" w:lineRule="exact"/>
        <w:rPr>
          <w:sz w:val="20"/>
          <w:szCs w:val="20"/>
          <w:color w:val="auto"/>
        </w:rPr>
      </w:pPr>
    </w:p>
    <w:p>
      <w:pPr>
        <w:ind w:right="100" w:firstLine="457"/>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Contingent Consideration Relating To Other Business Acquisitions</w:t>
      </w:r>
      <w:r>
        <w:rPr>
          <w:rFonts w:ascii="Times New Roman" w:cs="Times New Roman" w:eastAsia="Times New Roman" w:hAnsi="Times New Roman"/>
          <w:sz w:val="16"/>
          <w:szCs w:val="16"/>
          <w:color w:val="auto"/>
        </w:rPr>
        <w:t>—For a business acquired in 2012, at December 31, 2012, 170,988 shares of Class A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02" w:lineRule="exact"/>
        <w:rPr>
          <w:sz w:val="20"/>
          <w:szCs w:val="20"/>
          <w:color w:val="auto"/>
        </w:rPr>
      </w:pPr>
    </w:p>
    <w:p>
      <w:pPr>
        <w:ind w:right="180" w:firstLine="457"/>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Other Commitments</w:t>
      </w:r>
      <w:r>
        <w:rPr>
          <w:rFonts w:ascii="Times New Roman" w:cs="Times New Roman" w:eastAsia="Times New Roman" w:hAnsi="Times New Roman"/>
          <w:sz w:val="16"/>
          <w:szCs w:val="16"/>
          <w:color w:val="auto"/>
        </w:rPr>
        <w:t>—The Company has various other contractual commitments arising in the ordinary course of business. In addition, from time to time, each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LFB and LFNY may enter into underwriting commitments in which it will participate as an underwriter. At September 30, 2015, LFB and LFNY had no such underwriting commitments.</w:t>
      </w:r>
    </w:p>
    <w:p>
      <w:pPr>
        <w:spacing w:after="0" w:line="106" w:lineRule="exact"/>
        <w:rPr>
          <w:sz w:val="20"/>
          <w:szCs w:val="20"/>
          <w:color w:val="auto"/>
        </w:rPr>
      </w:pPr>
    </w:p>
    <w:p>
      <w:pPr>
        <w:ind w:right="700" w:firstLine="457"/>
        <w:spacing w:after="0" w:line="301" w:lineRule="auto"/>
        <w:rPr>
          <w:sz w:val="20"/>
          <w:szCs w:val="20"/>
          <w:color w:val="auto"/>
        </w:rPr>
      </w:pPr>
      <w:r>
        <w:rPr>
          <w:rFonts w:ascii="Times New Roman" w:cs="Times New Roman" w:eastAsia="Times New Roman" w:hAnsi="Times New Roman"/>
          <w:sz w:val="16"/>
          <w:szCs w:val="16"/>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92"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In the opinion of management, the fulfillment of the commitments described herein will not have a material adverse effect on the Company’s condensed consolidated financial position or results of operations.</w:t>
      </w:r>
    </w:p>
    <w:p>
      <w:pPr>
        <w:spacing w:after="0" w:line="88" w:lineRule="exact"/>
        <w:rPr>
          <w:sz w:val="20"/>
          <w:szCs w:val="20"/>
          <w:color w:val="auto"/>
        </w:rPr>
      </w:pPr>
    </w:p>
    <w:p>
      <w:pPr>
        <w:ind w:right="60" w:firstLine="457"/>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Legal</w:t>
      </w:r>
      <w:r>
        <w:rPr>
          <w:rFonts w:ascii="Times New Roman" w:cs="Times New Roman" w:eastAsia="Times New Roman" w:hAnsi="Times New Roman"/>
          <w:sz w:val="16"/>
          <w:szCs w:val="16"/>
          <w:color w:val="auto"/>
        </w:rPr>
        <w:t>—The Company is involved from time to time in judicial, regulatory and arbitration proceedings and inquiries concerning matters arising in connection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00"/>
          </w:cols>
          <w:pgMar w:left="240" w:top="434" w:right="259" w:bottom="1440" w:gutter="0" w:footer="0" w:header="0"/>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STOCKHOLDERS’ EQUITY</w:t>
      </w:r>
    </w:p>
    <w:p>
      <w:pPr>
        <w:spacing w:after="0" w:line="93" w:lineRule="exact"/>
        <w:rPr>
          <w:sz w:val="20"/>
          <w:szCs w:val="20"/>
          <w:color w:val="auto"/>
        </w:rPr>
      </w:pPr>
    </w:p>
    <w:p>
      <w:pPr>
        <w:ind w:right="300" w:firstLine="457"/>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Share Repurchase Program</w:t>
      </w:r>
      <w:r>
        <w:rPr>
          <w:rFonts w:ascii="Times New Roman" w:cs="Times New Roman" w:eastAsia="Times New Roman" w:hAnsi="Times New Roman"/>
          <w:sz w:val="16"/>
          <w:szCs w:val="16"/>
          <w:color w:val="auto"/>
        </w:rPr>
        <w:t>—During the nine month period ended September 30, 2015 and for the years ended December 31, 2014, 2013, and 2012, the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of Lazard authorized the repurchase of Class A common stock as set forth in the table below.</w:t>
      </w:r>
    </w:p>
    <w:p>
      <w:pPr>
        <w:spacing w:after="0" w:line="11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 w:type="dxa"/>
            <w:vAlign w:val="bottom"/>
            <w:tcBorders>
              <w:bottom w:val="single" w:sz="8" w:color="auto"/>
            </w:tcBorders>
            <w:vMerge w:val="continue"/>
          </w:tcPr>
          <w:p>
            <w:pPr>
              <w:spacing w:after="0"/>
              <w:rPr>
                <w:sz w:val="13"/>
                <w:szCs w:val="13"/>
                <w:color w:val="auto"/>
              </w:rPr>
            </w:pPr>
          </w:p>
        </w:tc>
        <w:tc>
          <w:tcPr>
            <w:tcW w:w="5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70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Authorization</w:t>
            </w:r>
          </w:p>
        </w:tc>
        <w:tc>
          <w:tcPr>
            <w:tcW w:w="1780" w:type="dxa"/>
            <w:vAlign w:val="bottom"/>
            <w:gridSpan w:val="2"/>
          </w:tcPr>
          <w:p>
            <w:pPr>
              <w:ind w:left="540"/>
              <w:spacing w:after="0" w:line="141"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87"/>
        </w:trPr>
        <w:tc>
          <w:tcPr>
            <w:tcW w:w="5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2012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6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2013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December 31, 2015</w:t>
            </w:r>
          </w:p>
        </w:tc>
        <w:tc>
          <w:tcPr>
            <w:tcW w:w="0" w:type="dxa"/>
            <w:vAlign w:val="bottom"/>
          </w:tcPr>
          <w:p>
            <w:pPr>
              <w:spacing w:after="0"/>
              <w:rPr>
                <w:sz w:val="1"/>
                <w:szCs w:val="1"/>
                <w:color w:val="auto"/>
              </w:rPr>
            </w:pPr>
          </w:p>
        </w:tc>
      </w:tr>
      <w:tr>
        <w:trPr>
          <w:trHeight w:val="201"/>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200,000</w:t>
            </w:r>
          </w:p>
        </w:tc>
        <w:tc>
          <w:tcPr>
            <w:tcW w:w="1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2015</w:t>
            </w:r>
          </w:p>
        </w:tc>
        <w:tc>
          <w:tcPr>
            <w:tcW w:w="0" w:type="dxa"/>
            <w:vAlign w:val="bottom"/>
          </w:tcPr>
          <w:p>
            <w:pPr>
              <w:spacing w:after="0"/>
              <w:rPr>
                <w:sz w:val="1"/>
                <w:szCs w:val="1"/>
                <w:color w:val="auto"/>
              </w:rPr>
            </w:pPr>
          </w:p>
        </w:tc>
      </w:tr>
      <w:tr>
        <w:trPr>
          <w:trHeight w:val="214"/>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2015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150,000</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December 31, 2016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100" w:firstLine="457"/>
        <w:spacing w:after="0" w:line="275" w:lineRule="auto"/>
        <w:rPr>
          <w:sz w:val="20"/>
          <w:szCs w:val="20"/>
          <w:color w:val="auto"/>
        </w:rPr>
      </w:pPr>
      <w:r>
        <w:rPr>
          <w:rFonts w:ascii="Times New Roman" w:cs="Times New Roman" w:eastAsia="Times New Roman" w:hAnsi="Times New Roman"/>
          <w:sz w:val="16"/>
          <w:szCs w:val="16"/>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w:t>
            </w:r>
          </w:p>
        </w:tc>
      </w:tr>
      <w:tr>
        <w:trPr>
          <w:trHeight w:val="13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92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5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Price</w:t>
            </w:r>
          </w:p>
        </w:tc>
      </w:tr>
      <w:tr>
        <w:trPr>
          <w:trHeight w:val="138"/>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9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2"/>
                <w:szCs w:val="12"/>
                <w:color w:val="auto"/>
              </w:rPr>
            </w:pPr>
          </w:p>
        </w:tc>
        <w:tc>
          <w:tcPr>
            <w:tcW w:w="5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Per</w:t>
            </w: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Purchased</w:t>
            </w:r>
          </w:p>
        </w:tc>
        <w:tc>
          <w:tcPr>
            <w:tcW w:w="22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Share</w:t>
            </w:r>
          </w:p>
        </w:tc>
      </w:tr>
      <w:tr>
        <w:trPr>
          <w:trHeight w:val="106"/>
        </w:trPr>
        <w:tc>
          <w:tcPr>
            <w:tcW w:w="20" w:type="dxa"/>
            <w:vAlign w:val="bottom"/>
          </w:tcPr>
          <w:p>
            <w:pPr>
              <w:spacing w:after="0"/>
              <w:rPr>
                <w:sz w:val="9"/>
                <w:szCs w:val="9"/>
                <w:color w:val="auto"/>
              </w:rPr>
            </w:pPr>
          </w:p>
        </w:tc>
        <w:tc>
          <w:tcPr>
            <w:tcW w:w="9680" w:type="dxa"/>
            <w:vAlign w:val="bottom"/>
            <w:tcBorders>
              <w:top w:val="single" w:sz="8" w:color="CCEE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7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94"/>
        </w:trPr>
        <w:tc>
          <w:tcPr>
            <w:tcW w:w="20" w:type="dxa"/>
            <w:vAlign w:val="bottom"/>
          </w:tcPr>
          <w:p>
            <w:pPr>
              <w:spacing w:after="0"/>
              <w:rPr>
                <w:sz w:val="16"/>
                <w:szCs w:val="16"/>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2014</w:t>
            </w:r>
          </w:p>
        </w:tc>
        <w:tc>
          <w:tcPr>
            <w:tcW w:w="782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4,114,206</w:t>
            </w:r>
          </w:p>
        </w:tc>
        <w:tc>
          <w:tcPr>
            <w:tcW w:w="720" w:type="dxa"/>
            <w:vAlign w:val="bottom"/>
            <w:tcBorders>
              <w:top w:val="single" w:sz="8" w:color="CCEEFF"/>
            </w:tcBorders>
            <w:gridSpan w:val="2"/>
          </w:tcPr>
          <w:p>
            <w:pPr>
              <w:jc w:val="center"/>
              <w:ind w:left="138"/>
              <w:spacing w:after="0"/>
              <w:rPr>
                <w:sz w:val="20"/>
                <w:szCs w:val="20"/>
                <w:color w:val="auto"/>
              </w:rPr>
            </w:pPr>
            <w:r>
              <w:rPr>
                <w:rFonts w:ascii="Times New Roman" w:cs="Times New Roman" w:eastAsia="Times New Roman" w:hAnsi="Times New Roman"/>
                <w:sz w:val="16"/>
                <w:szCs w:val="16"/>
                <w:color w:val="auto"/>
              </w:rPr>
              <w:t>$ 46.83</w:t>
            </w:r>
          </w:p>
        </w:tc>
        <w:tc>
          <w:tcPr>
            <w:tcW w:w="80" w:type="dxa"/>
            <w:vAlign w:val="bottom"/>
            <w:tcBorders>
              <w:top w:val="single" w:sz="8" w:color="CCEEFF"/>
            </w:tcBorders>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78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3,141,526</w:t>
            </w:r>
          </w:p>
        </w:tc>
        <w:tc>
          <w:tcPr>
            <w:tcW w:w="720" w:type="dxa"/>
            <w:vAlign w:val="bottom"/>
            <w:gridSpan w:val="2"/>
            <w:shd w:val="clear" w:color="auto" w:fill="CCEEFF"/>
          </w:tcPr>
          <w:p>
            <w:pPr>
              <w:jc w:val="center"/>
              <w:ind w:left="138"/>
              <w:spacing w:after="0"/>
              <w:rPr>
                <w:sz w:val="20"/>
                <w:szCs w:val="20"/>
                <w:color w:val="auto"/>
              </w:rPr>
            </w:pPr>
            <w:r>
              <w:rPr>
                <w:rFonts w:ascii="Times New Roman" w:cs="Times New Roman" w:eastAsia="Times New Roman" w:hAnsi="Times New Roman"/>
                <w:sz w:val="16"/>
                <w:szCs w:val="16"/>
                <w:color w:val="auto"/>
              </w:rPr>
              <w:t>$ 50.76</w:t>
            </w:r>
          </w:p>
        </w:tc>
        <w:tc>
          <w:tcPr>
            <w:tcW w:w="80" w:type="dxa"/>
            <w:vAlign w:val="bottom"/>
            <w:shd w:val="clear" w:color="auto" w:fill="CCEEFF"/>
          </w:tcPr>
          <w:p>
            <w:pPr>
              <w:spacing w:after="0"/>
              <w:rPr>
                <w:sz w:val="17"/>
                <w:szCs w:val="17"/>
                <w:color w:val="auto"/>
              </w:rPr>
            </w:pPr>
          </w:p>
        </w:tc>
      </w:tr>
    </w:tbl>
    <w:p>
      <w:pPr>
        <w:spacing w:after="0" w:line="138" w:lineRule="exact"/>
        <w:rPr>
          <w:sz w:val="20"/>
          <w:szCs w:val="20"/>
          <w:color w:val="auto"/>
        </w:rPr>
      </w:pPr>
    </w:p>
    <w:p>
      <w:pPr>
        <w:ind w:right="720" w:firstLine="457"/>
        <w:spacing w:after="0" w:line="301" w:lineRule="auto"/>
        <w:rPr>
          <w:sz w:val="20"/>
          <w:szCs w:val="20"/>
          <w:color w:val="auto"/>
        </w:rPr>
      </w:pPr>
      <w:r>
        <w:rPr>
          <w:rFonts w:ascii="Times New Roman" w:cs="Times New Roman" w:eastAsia="Times New Roman" w:hAnsi="Times New Roman"/>
          <w:sz w:val="16"/>
          <w:szCs w:val="16"/>
          <w:color w:val="auto"/>
        </w:rPr>
        <w:t>The shares purchased in the nine months ended September 30, 2014 included 1,000,000 shares purchased from Natixis S.A. on June 26, 2014 for $50,340 in connection with the sale by Natixis S.A. of its entire investment in the Company’s Class A common stock. The purchase transaction closed on July 1, 2014.</w:t>
      </w:r>
    </w:p>
    <w:p>
      <w:pPr>
        <w:spacing w:after="0" w:line="92"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As of September 30, 2015, a total of $119,461 of share repurchase authorization remained available under the Company’s share repurchase program, which will expire on December 31, 2016.</w:t>
      </w:r>
    </w:p>
    <w:p>
      <w:pPr>
        <w:spacing w:after="0" w:line="92" w:lineRule="exact"/>
        <w:rPr>
          <w:sz w:val="20"/>
          <w:szCs w:val="20"/>
          <w:color w:val="auto"/>
        </w:rPr>
      </w:pPr>
    </w:p>
    <w:p>
      <w:pPr>
        <w:ind w:right="20" w:firstLine="457"/>
        <w:spacing w:after="0" w:line="301" w:lineRule="auto"/>
        <w:rPr>
          <w:sz w:val="20"/>
          <w:szCs w:val="20"/>
          <w:color w:val="auto"/>
        </w:rPr>
      </w:pPr>
      <w:r>
        <w:rPr>
          <w:rFonts w:ascii="Times New Roman" w:cs="Times New Roman" w:eastAsia="Times New Roman" w:hAnsi="Times New Roman"/>
          <w:sz w:val="16"/>
          <w:szCs w:val="16"/>
          <w:color w:val="auto"/>
        </w:rPr>
        <w:t>During the nine month period ended September 30, 2015, the Company had in place trading plans under Rule 10b5-1 of the Securities Exchange Act of 1934, pursuant to which it effected stock repurchases in the open market.</w:t>
      </w:r>
    </w:p>
    <w:p>
      <w:pPr>
        <w:spacing w:after="0" w:line="88" w:lineRule="exact"/>
        <w:rPr>
          <w:sz w:val="20"/>
          <w:szCs w:val="20"/>
          <w:color w:val="auto"/>
        </w:rPr>
      </w:pPr>
    </w:p>
    <w:p>
      <w:pPr>
        <w:ind w:right="100" w:firstLine="457"/>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—Lazard Ltd has 15,000,000 authorized shares of preferred stock, par value $0.01 per share, inclusive of its Series A and Series B preferred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Series A and Series B preferred shares were issued in connection with certain prior year business acquisitions and are each non-participating securities convertible into Class A common stock, and have no voting or dividend rights. As of both September 30, 2015 and December 31, 2014, 7,921 shares of Series A preferred stock were outstanding, and no shares of Series B preferred stock were outstanding. At September 30, 2015 and December 31, 2014, no shares of Series A preferred stock were convertible into shares of Class A common stock on a contingent or a non-contingent basis.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434" w:right="23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right="120" w:firstLine="457"/>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Accumulated Other Comprehensive Income (Loss), Net of Tax (“AOCI”)</w:t>
      </w:r>
      <w:r>
        <w:rPr>
          <w:rFonts w:ascii="Times New Roman" w:cs="Times New Roman" w:eastAsia="Times New Roman" w:hAnsi="Times New Roman"/>
          <w:sz w:val="16"/>
          <w:szCs w:val="16"/>
          <w:color w:val="auto"/>
        </w:rPr>
        <w:t>—The tables below reflect changes in the balances of each component of AOCI during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nine month periods ended September 30, 2015 and 2014: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7"/>
          </w:tcPr>
          <w:p>
            <w:pPr>
              <w:jc w:val="center"/>
              <w:ind w:right="499"/>
              <w:spacing w:after="0" w:line="139"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1060" w:type="dxa"/>
            <w:vAlign w:val="bottom"/>
            <w:gridSpan w:val="5"/>
          </w:tcPr>
          <w:p>
            <w:pPr>
              <w:jc w:val="center"/>
              <w:ind w:right="378"/>
              <w:spacing w:after="0" w:line="139" w:lineRule="exact"/>
              <w:rPr>
                <w:sz w:val="20"/>
                <w:szCs w:val="20"/>
                <w:color w:val="auto"/>
              </w:rPr>
            </w:pPr>
            <w:r>
              <w:rPr>
                <w:rFonts w:ascii="Times New Roman" w:cs="Times New Roman" w:eastAsia="Times New Roman" w:hAnsi="Times New Roman"/>
                <w:sz w:val="13"/>
                <w:szCs w:val="13"/>
                <w:b w:val="1"/>
                <w:bCs w:val="1"/>
                <w:color w:val="auto"/>
                <w:w w:val="94"/>
              </w:rPr>
              <w:t>Employee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120" w:type="dxa"/>
            <w:vAlign w:val="bottom"/>
          </w:tcPr>
          <w:p>
            <w:pPr>
              <w:spacing w:after="0"/>
              <w:rPr>
                <w:sz w:val="12"/>
                <w:szCs w:val="12"/>
                <w:color w:val="auto"/>
              </w:rPr>
            </w:pPr>
          </w:p>
        </w:tc>
        <w:tc>
          <w:tcPr>
            <w:tcW w:w="78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gridSpan w:val="8"/>
          </w:tcPr>
          <w:p>
            <w:pPr>
              <w:jc w:val="center"/>
              <w:ind w:right="399"/>
              <w:spacing w:after="0" w:line="139"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060" w:type="dxa"/>
            <w:vAlign w:val="bottom"/>
            <w:gridSpan w:val="5"/>
          </w:tcPr>
          <w:p>
            <w:pPr>
              <w:jc w:val="center"/>
              <w:ind w:right="358"/>
              <w:spacing w:after="0" w:line="139"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00" w:type="dxa"/>
            <w:vAlign w:val="bottom"/>
          </w:tcPr>
          <w:p>
            <w:pPr>
              <w:spacing w:after="0"/>
              <w:rPr>
                <w:sz w:val="12"/>
                <w:szCs w:val="12"/>
                <w:color w:val="auto"/>
              </w:rPr>
            </w:pPr>
          </w:p>
        </w:tc>
        <w:tc>
          <w:tcPr>
            <w:tcW w:w="820" w:type="dxa"/>
            <w:vAlign w:val="bottom"/>
            <w:gridSpan w:val="3"/>
          </w:tcPr>
          <w:p>
            <w:pPr>
              <w:jc w:val="right"/>
              <w:ind w:right="458"/>
              <w:spacing w:after="0" w:line="139"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2"/>
                <w:szCs w:val="12"/>
                <w:color w:val="auto"/>
              </w:rPr>
            </w:pPr>
          </w:p>
        </w:tc>
        <w:tc>
          <w:tcPr>
            <w:tcW w:w="1100" w:type="dxa"/>
            <w:vAlign w:val="bottom"/>
            <w:gridSpan w:val="6"/>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Lazard Ltd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60" w:type="dxa"/>
            <w:vAlign w:val="bottom"/>
            <w:gridSpan w:val="5"/>
          </w:tcPr>
          <w:p>
            <w:pPr>
              <w:jc w:val="center"/>
              <w:ind w:right="358"/>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1020" w:type="dxa"/>
            <w:vAlign w:val="bottom"/>
            <w:gridSpan w:val="4"/>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AOCI</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AOCI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shd w:val="clear" w:color="auto" w:fill="CCEEFF"/>
          </w:tcPr>
          <w:p>
            <w:pPr>
              <w:spacing w:after="0" w:line="20" w:lineRule="exact"/>
              <w:rPr>
                <w:sz w:val="1"/>
                <w:szCs w:val="1"/>
                <w:color w:val="auto"/>
              </w:rPr>
            </w:pPr>
          </w:p>
        </w:tc>
        <w:tc>
          <w:tcPr>
            <w:tcW w:w="4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4"/>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(46,102</w:t>
            </w:r>
          </w:p>
        </w:tc>
        <w:tc>
          <w:tcPr>
            <w:tcW w:w="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 w:type="dxa"/>
            <w:vAlign w:val="bottom"/>
            <w:tcBorders>
              <w:right w:val="single" w:sz="8" w:color="CCEEFF"/>
            </w:tcBorders>
            <w:vMerge w:val="continue"/>
            <w:shd w:val="clear" w:color="auto" w:fill="CCEEFF"/>
          </w:tcPr>
          <w:p>
            <w:pPr>
              <w:spacing w:after="0"/>
              <w:rPr>
                <w:sz w:val="16"/>
                <w:szCs w:val="16"/>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(154,665</w:t>
            </w:r>
          </w:p>
        </w:tc>
        <w:tc>
          <w:tcPr>
            <w:tcW w:w="1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(200,767</w:t>
            </w:r>
          </w:p>
        </w:tc>
        <w:tc>
          <w:tcPr>
            <w:tcW w:w="20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(200,766</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Activity January 1 to September 30, 2015:</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8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(41,376)</w:t>
            </w:r>
          </w:p>
        </w:tc>
        <w:tc>
          <w:tcPr>
            <w:tcW w:w="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(55,516)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Adjustments for items reclassified to earnings, net of tax</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6"/>
                <w:szCs w:val="16"/>
                <w:color w:val="auto"/>
              </w:rPr>
              <w:t>3,757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8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(41,376)</w:t>
            </w:r>
          </w:p>
        </w:tc>
        <w:tc>
          <w:tcPr>
            <w:tcW w:w="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(51,759)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(51,759)</w:t>
            </w: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Balance, September 30, 2015</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06"/>
        </w:trPr>
        <w:tc>
          <w:tcPr>
            <w:tcW w:w="6120" w:type="dxa"/>
            <w:vAlign w:val="bottom"/>
            <w:gridSpan w:val="3"/>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4"/>
          </w:tcPr>
          <w:p>
            <w:pPr>
              <w:jc w:val="center"/>
              <w:ind w:left="21"/>
              <w:spacing w:after="0"/>
              <w:rPr>
                <w:sz w:val="20"/>
                <w:szCs w:val="20"/>
                <w:color w:val="auto"/>
              </w:rPr>
            </w:pPr>
            <w:r>
              <w:rPr>
                <w:rFonts w:ascii="Times New Roman" w:cs="Times New Roman" w:eastAsia="Times New Roman" w:hAnsi="Times New Roman"/>
                <w:sz w:val="16"/>
                <w:szCs w:val="16"/>
                <w:color w:val="auto"/>
              </w:rPr>
              <w:t>(87,478</w:t>
            </w:r>
          </w:p>
        </w:tc>
        <w:tc>
          <w:tcPr>
            <w:tcW w:w="2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(165,048</w:t>
            </w:r>
          </w:p>
        </w:tc>
        <w:tc>
          <w:tcPr>
            <w:tcW w:w="1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(252,526</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(252,525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jc w:val="center"/>
              <w:ind w:right="59"/>
              <w:spacing w:after="0" w:line="139"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260" w:type="dxa"/>
            <w:vAlign w:val="bottom"/>
          </w:tcPr>
          <w:p>
            <w:pPr>
              <w:spacing w:after="0"/>
              <w:rPr>
                <w:sz w:val="12"/>
                <w:szCs w:val="12"/>
                <w:color w:val="auto"/>
              </w:rPr>
            </w:pPr>
          </w:p>
        </w:tc>
        <w:tc>
          <w:tcPr>
            <w:tcW w:w="800" w:type="dxa"/>
            <w:vAlign w:val="bottom"/>
            <w:gridSpan w:val="4"/>
          </w:tcPr>
          <w:p>
            <w:pPr>
              <w:jc w:val="center"/>
              <w:ind w:right="18"/>
              <w:spacing w:after="0" w:line="139" w:lineRule="exact"/>
              <w:rPr>
                <w:sz w:val="20"/>
                <w:szCs w:val="20"/>
                <w:color w:val="auto"/>
              </w:rPr>
            </w:pPr>
            <w:r>
              <w:rPr>
                <w:rFonts w:ascii="Times New Roman" w:cs="Times New Roman" w:eastAsia="Times New Roman" w:hAnsi="Times New Roman"/>
                <w:sz w:val="13"/>
                <w:szCs w:val="13"/>
                <w:b w:val="1"/>
                <w:bCs w:val="1"/>
                <w:color w:val="auto"/>
                <w:w w:val="98"/>
              </w:rPr>
              <w:t>Employee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120" w:type="dxa"/>
            <w:vAlign w:val="bottom"/>
          </w:tcPr>
          <w:p>
            <w:pPr>
              <w:spacing w:after="0"/>
              <w:rPr>
                <w:sz w:val="12"/>
                <w:szCs w:val="12"/>
                <w:color w:val="auto"/>
              </w:rPr>
            </w:pPr>
          </w:p>
        </w:tc>
        <w:tc>
          <w:tcPr>
            <w:tcW w:w="780" w:type="dxa"/>
            <w:vAlign w:val="bottom"/>
            <w:gridSpan w:val="2"/>
          </w:tcPr>
          <w:p>
            <w:pPr>
              <w:jc w:val="center"/>
              <w:ind w:right="18"/>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260" w:type="dxa"/>
            <w:vAlign w:val="bottom"/>
          </w:tcPr>
          <w:p>
            <w:pPr>
              <w:spacing w:after="0"/>
              <w:rPr>
                <w:sz w:val="12"/>
                <w:szCs w:val="12"/>
                <w:color w:val="auto"/>
              </w:rPr>
            </w:pPr>
          </w:p>
        </w:tc>
        <w:tc>
          <w:tcPr>
            <w:tcW w:w="800" w:type="dxa"/>
            <w:vAlign w:val="bottom"/>
            <w:gridSpan w:val="4"/>
          </w:tcPr>
          <w:p>
            <w:pPr>
              <w:jc w:val="center"/>
              <w:ind w:right="18"/>
              <w:spacing w:after="0" w:line="139"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00" w:type="dxa"/>
            <w:vAlign w:val="bottom"/>
          </w:tcPr>
          <w:p>
            <w:pPr>
              <w:spacing w:after="0"/>
              <w:rPr>
                <w:sz w:val="12"/>
                <w:szCs w:val="12"/>
                <w:color w:val="auto"/>
              </w:rPr>
            </w:pPr>
          </w:p>
        </w:tc>
        <w:tc>
          <w:tcPr>
            <w:tcW w:w="820" w:type="dxa"/>
            <w:vAlign w:val="bottom"/>
            <w:gridSpan w:val="3"/>
          </w:tcPr>
          <w:p>
            <w:pPr>
              <w:jc w:val="right"/>
              <w:ind w:right="258"/>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Lazard Ltd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0"/>
              </w:rPr>
              <w:t>Adjustments</w:t>
            </w:r>
          </w:p>
        </w:tc>
        <w:tc>
          <w:tcPr>
            <w:tcW w:w="260" w:type="dxa"/>
            <w:vAlign w:val="bottom"/>
          </w:tcPr>
          <w:p>
            <w:pPr>
              <w:spacing w:after="0"/>
              <w:rPr>
                <w:sz w:val="13"/>
                <w:szCs w:val="13"/>
                <w:color w:val="auto"/>
              </w:rPr>
            </w:pPr>
          </w:p>
        </w:tc>
        <w:tc>
          <w:tcPr>
            <w:tcW w:w="800" w:type="dxa"/>
            <w:vAlign w:val="bottom"/>
            <w:gridSpan w:val="4"/>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00" w:type="dxa"/>
            <w:vAlign w:val="bottom"/>
          </w:tcPr>
          <w:p>
            <w:pPr>
              <w:spacing w:after="0"/>
              <w:rPr>
                <w:sz w:val="13"/>
                <w:szCs w:val="13"/>
                <w:color w:val="auto"/>
              </w:rPr>
            </w:pPr>
          </w:p>
        </w:tc>
        <w:tc>
          <w:tcPr>
            <w:tcW w:w="820" w:type="dxa"/>
            <w:vAlign w:val="bottom"/>
            <w:gridSpan w:val="3"/>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AOCI</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AOCI</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4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CCEEFF"/>
              <w:left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(137,431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(133,562</w:t>
            </w:r>
          </w:p>
        </w:tc>
        <w:tc>
          <w:tcPr>
            <w:tcW w:w="1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(558)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6"/>
        </w:trPr>
        <w:tc>
          <w:tcPr>
            <w:tcW w:w="6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Activity January 1 to September 30, 2014: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106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(22,335)</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Adjustments for items reclassified to earnings, net of tax</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4"/>
          </w:tcPr>
          <w:p>
            <w:pPr>
              <w:jc w:val="right"/>
              <w:ind w:right="38"/>
              <w:spacing w:after="0"/>
              <w:rPr>
                <w:sz w:val="20"/>
                <w:szCs w:val="20"/>
                <w:color w:val="auto"/>
              </w:rPr>
            </w:pPr>
            <w:r>
              <w:rPr>
                <w:rFonts w:ascii="Times New Roman" w:cs="Times New Roman" w:eastAsia="Times New Roman" w:hAnsi="Times New Roman"/>
                <w:sz w:val="16"/>
                <w:szCs w:val="16"/>
                <w:color w:val="auto"/>
              </w:rPr>
              <w:t>3,714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1060" w:type="dxa"/>
            <w:vAlign w:val="bottom"/>
            <w:tcBorders>
              <w:left w:val="single" w:sz="8" w:color="CCEEFF"/>
            </w:tcBorders>
            <w:gridSpan w:val="5"/>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(18,621)</w:t>
            </w: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0" w:type="dxa"/>
            <w:vAlign w:val="bottom"/>
          </w:tcPr>
          <w:p>
            <w:pPr>
              <w:spacing w:after="0"/>
              <w:rPr>
                <w:sz w:val="1"/>
                <w:szCs w:val="1"/>
                <w:color w:val="auto"/>
              </w:rPr>
            </w:pPr>
          </w:p>
        </w:tc>
      </w:tr>
      <w:tr>
        <w:trPr>
          <w:trHeight w:val="206"/>
        </w:trPr>
        <w:tc>
          <w:tcPr>
            <w:tcW w:w="6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September 30, 2014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17"/>
                <w:szCs w:val="17"/>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(137,412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(152,183</w:t>
            </w: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7"/>
                <w:szCs w:val="17"/>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(152,184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11400" w:type="dxa"/>
            <w:vAlign w:val="bottom"/>
            <w:gridSpan w:val="29"/>
          </w:tcPr>
          <w:p>
            <w:pPr>
              <w:jc w:val="right"/>
              <w:ind w:right="198"/>
              <w:spacing w:after="0"/>
              <w:rPr>
                <w:sz w:val="20"/>
                <w:szCs w:val="20"/>
                <w:color w:val="auto"/>
              </w:rPr>
            </w:pPr>
            <w:r>
              <w:rPr>
                <w:rFonts w:ascii="Times New Roman" w:cs="Times New Roman" w:eastAsia="Times New Roman" w:hAnsi="Times New Roman"/>
                <w:sz w:val="16"/>
                <w:szCs w:val="16"/>
                <w:color w:val="auto"/>
              </w:rPr>
              <w:t>The table below reflects adjustments for items reclassified out of AOCI, by component, for the three month and nine month periods ended September 30, 2015 and</w:t>
            </w:r>
          </w:p>
        </w:tc>
        <w:tc>
          <w:tcPr>
            <w:tcW w:w="0" w:type="dxa"/>
            <w:vAlign w:val="bottom"/>
          </w:tcPr>
          <w:p>
            <w:pPr>
              <w:spacing w:after="0"/>
              <w:rPr>
                <w:sz w:val="1"/>
                <w:szCs w:val="1"/>
                <w:color w:val="auto"/>
              </w:rPr>
            </w:pPr>
          </w:p>
        </w:tc>
      </w:tr>
      <w:tr>
        <w:trPr>
          <w:trHeight w:val="21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2014:</w:t>
            </w: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9"/>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200" w:type="dxa"/>
            <w:vAlign w:val="bottom"/>
          </w:tcPr>
          <w:p>
            <w:pPr>
              <w:spacing w:after="0"/>
              <w:rPr>
                <w:sz w:val="24"/>
                <w:szCs w:val="24"/>
                <w:color w:val="auto"/>
              </w:rPr>
            </w:pPr>
          </w:p>
        </w:tc>
        <w:tc>
          <w:tcPr>
            <w:tcW w:w="154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8"/>
          </w:tcPr>
          <w:p>
            <w:pPr>
              <w:jc w:val="right"/>
              <w:ind w:right="55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154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ind w:right="44"/>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jc w:val="right"/>
              <w:ind w:right="51"/>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ind w:left="26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relating to employee benefit plans (a)</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CCEEFF"/>
              <w:left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$ 1,673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$ 5,226</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$ 5,105</w:t>
            </w: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 related income taxes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368</w:t>
            </w:r>
          </w:p>
        </w:tc>
        <w:tc>
          <w:tcPr>
            <w:tcW w:w="40" w:type="dxa"/>
            <w:vAlign w:val="bottom"/>
          </w:tcPr>
          <w:p>
            <w:pPr>
              <w:spacing w:after="0"/>
              <w:rPr>
                <w:sz w:val="17"/>
                <w:szCs w:val="17"/>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6"/>
                <w:szCs w:val="16"/>
                <w:color w:val="auto"/>
              </w:rPr>
              <w:t>1,469</w:t>
            </w:r>
          </w:p>
        </w:tc>
        <w:tc>
          <w:tcPr>
            <w:tcW w:w="140" w:type="dxa"/>
            <w:vAlign w:val="bottom"/>
          </w:tcPr>
          <w:p>
            <w:pPr>
              <w:spacing w:after="0"/>
              <w:rPr>
                <w:sz w:val="17"/>
                <w:szCs w:val="17"/>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1,391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80" w:type="dxa"/>
            <w:vAlign w:val="bottom"/>
            <w:shd w:val="clear" w:color="auto" w:fill="CCEEFF"/>
          </w:tcPr>
          <w:p>
            <w:pPr>
              <w:spacing w:after="0"/>
              <w:rPr>
                <w:sz w:val="17"/>
                <w:szCs w:val="17"/>
                <w:color w:val="auto"/>
              </w:rPr>
            </w:pP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1,381</w:t>
            </w:r>
          </w:p>
        </w:tc>
        <w:tc>
          <w:tcPr>
            <w:tcW w:w="4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lef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$ 1,145</w:t>
            </w: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$ 3,757</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$ 3,714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right="700" w:hanging="459"/>
        <w:spacing w:after="0" w:line="301" w:lineRule="auto"/>
        <w:tabs>
          <w:tab w:leader="none" w:pos="4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434" w:right="2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jc w:val="both"/>
        <w:ind w:right="500" w:firstLine="457"/>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Noncontrolling Interests—</w:t>
      </w:r>
      <w:r>
        <w:rPr>
          <w:rFonts w:ascii="Times New Roman" w:cs="Times New Roman" w:eastAsia="Times New Roman" w:hAnsi="Times New Roman"/>
          <w:sz w:val="16"/>
          <w:szCs w:val="16"/>
          <w:color w:val="auto"/>
        </w:rPr>
        <w:t>Noncontrolling interests principally represent interests held in (i) Edgewater’s management vehicles that the Company is deemed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but does not own, and (ii) Lazard Group by LAZ-MD Holdings until May 2014. Following the Final Exchange of LAZ-MD Interests, Lazard Group became a wholly-owned indirect subsidiary of Lazard Ltd.</w:t>
      </w:r>
    </w:p>
    <w:p>
      <w:pPr>
        <w:spacing w:after="0" w:line="106" w:lineRule="exact"/>
        <w:rPr>
          <w:sz w:val="20"/>
          <w:szCs w:val="20"/>
          <w:color w:val="auto"/>
        </w:rPr>
      </w:pPr>
    </w:p>
    <w:p>
      <w:pPr>
        <w:ind w:right="180" w:firstLine="457"/>
        <w:spacing w:after="0" w:line="301" w:lineRule="auto"/>
        <w:rPr>
          <w:sz w:val="20"/>
          <w:szCs w:val="20"/>
          <w:color w:val="auto"/>
        </w:rPr>
      </w:pPr>
      <w:r>
        <w:rPr>
          <w:rFonts w:ascii="Times New Roman" w:cs="Times New Roman" w:eastAsia="Times New Roman" w:hAnsi="Times New Roman"/>
          <w:sz w:val="16"/>
          <w:szCs w:val="16"/>
          <w:color w:val="auto"/>
        </w:rPr>
        <w:t>The tables below summarize net income attributable to noncontrolling interests for the three month and nine month periods ended September 30, 2015 and 2014 and noncontrolling interests as of September 30, 2015 and December 31, 2014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9"/>
          </w:tcPr>
          <w:p>
            <w:pPr>
              <w:jc w:val="center"/>
              <w:ind w:right="488"/>
              <w:spacing w:after="0" w:line="139" w:lineRule="exact"/>
              <w:rPr>
                <w:sz w:val="20"/>
                <w:szCs w:val="20"/>
                <w:color w:val="auto"/>
              </w:rPr>
            </w:pPr>
            <w:r>
              <w:rPr>
                <w:rFonts w:ascii="Times New Roman" w:cs="Times New Roman" w:eastAsia="Times New Roman" w:hAnsi="Times New Roman"/>
                <w:sz w:val="13"/>
                <w:szCs w:val="13"/>
                <w:b w:val="1"/>
                <w:bCs w:val="1"/>
                <w:color w:val="auto"/>
                <w:w w:val="96"/>
              </w:rPr>
              <w:t>Attributable to 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r>
      <w:tr>
        <w:trPr>
          <w:trHeight w:val="116"/>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6"/>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7"/>
          </w:tcPr>
          <w:p>
            <w:pPr>
              <w:jc w:val="right"/>
              <w:ind w:right="34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340" w:type="dxa"/>
            <w:vAlign w:val="bottom"/>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4100" w:type="dxa"/>
            <w:vAlign w:val="bottom"/>
            <w:tcBorders>
              <w:bottom w:val="single" w:sz="8" w:color="CCEEFF"/>
            </w:tcBorders>
          </w:tcPr>
          <w:p>
            <w:pPr>
              <w:spacing w:after="0"/>
              <w:rPr>
                <w:sz w:val="11"/>
                <w:szCs w:val="11"/>
                <w:color w:val="auto"/>
              </w:rPr>
            </w:pPr>
          </w:p>
        </w:tc>
        <w:tc>
          <w:tcPr>
            <w:tcW w:w="28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24"/>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5"/>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3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Edgewater</w:t>
            </w:r>
          </w:p>
        </w:tc>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34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LAZ-MD Holdings</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right"/>
              <w:ind w:right="46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631</w:t>
            </w: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8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5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3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Noncontrolling Interests As Of</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gridSpan w:val="5"/>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4"/>
          </w:tcPr>
          <w:p>
            <w:pPr>
              <w:spacing w:after="0" w:line="116"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440" w:type="dxa"/>
            <w:vAlign w:val="bottom"/>
            <w:gridSpan w:val="2"/>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41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Edgewater</w:t>
            </w:r>
          </w:p>
        </w:tc>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56,498</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57,218</w:t>
            </w:r>
          </w:p>
        </w:tc>
        <w:tc>
          <w:tcPr>
            <w:tcW w:w="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7" w:lineRule="exact"/>
        <w:rPr>
          <w:sz w:val="20"/>
          <w:szCs w:val="20"/>
          <w:color w:val="auto"/>
        </w:rPr>
      </w:pPr>
    </w:p>
    <w:p>
      <w:pPr>
        <w:ind w:right="440" w:firstLine="457"/>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Dividends Declared, October 2015</w:t>
      </w:r>
      <w:r>
        <w:rPr>
          <w:rFonts w:ascii="Times New Roman" w:cs="Times New Roman" w:eastAsia="Times New Roman" w:hAnsi="Times New Roman"/>
          <w:sz w:val="16"/>
          <w:szCs w:val="16"/>
          <w:color w:val="auto"/>
        </w:rPr>
        <w:t>— On October 21, 2015, the Board of Directors of Lazard Ltd declared a quarterly dividend of $0.35 per share on its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payable on November 13, 2015, to stockholders of record on November 2, 2015.</w:t>
      </w:r>
    </w:p>
    <w:p>
      <w:pPr>
        <w:spacing w:after="0" w:line="198" w:lineRule="exact"/>
        <w:rPr>
          <w:sz w:val="20"/>
          <w:szCs w:val="20"/>
          <w:color w:val="auto"/>
        </w:rPr>
      </w:pPr>
    </w:p>
    <w:p>
      <w:pPr>
        <w:ind w:left="460" w:hanging="459"/>
        <w:spacing w:after="0"/>
        <w:tabs>
          <w:tab w:leader="none" w:pos="46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INCENTIVE PLANS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Share-Based Incentive Plan Awards</w:t>
      </w:r>
    </w:p>
    <w:p>
      <w:pPr>
        <w:spacing w:after="0" w:line="97"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A description of Lazard Ltd’s 2008 Plan and 2005 Plan and activity with respect thereto during the three month and nine month periods ended September 30, 2015 and 2014 is presented below.</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Shares Available Under the 2008 Plan and the 2005 Plan</w:t>
      </w:r>
    </w:p>
    <w:p>
      <w:pPr>
        <w:spacing w:after="0" w:line="97" w:lineRule="exact"/>
        <w:rPr>
          <w:sz w:val="20"/>
          <w:szCs w:val="20"/>
          <w:color w:val="auto"/>
        </w:rPr>
      </w:pPr>
    </w:p>
    <w:p>
      <w:pPr>
        <w:ind w:right="100" w:firstLine="457"/>
        <w:spacing w:after="0" w:line="282" w:lineRule="auto"/>
        <w:rPr>
          <w:sz w:val="20"/>
          <w:szCs w:val="20"/>
          <w:color w:val="auto"/>
        </w:rPr>
      </w:pPr>
      <w:r>
        <w:rPr>
          <w:rFonts w:ascii="Times New Roman" w:cs="Times New Roman" w:eastAsia="Times New Roman" w:hAnsi="Times New Roman"/>
          <w:sz w:val="16"/>
          <w:szCs w:val="16"/>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07"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represented a contingent right to receive one share of Class A common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434" w:right="23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stock, at no cost to the recipient. The fair value of such awards was generally determined based on the closing market price of Class A common stock at the date of grant. The 2005 Plan expired in the second quarter of 2015, although awards granted under the 2005 Plan remain outstanding and continue to be subject to its terms.</w:t>
      </w:r>
    </w:p>
    <w:p>
      <w:pPr>
        <w:spacing w:after="0" w:line="92"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6"/>
          <w:szCs w:val="16"/>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2015 and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18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131"/>
        </w:trPr>
        <w:tc>
          <w:tcPr>
            <w:tcW w:w="7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05"/>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2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top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180" w:type="dxa"/>
            <w:vAlign w:val="bottom"/>
            <w:tcBorders>
              <w:top w:val="single" w:sz="8" w:color="auto"/>
            </w:tcBorders>
            <w:gridSpan w:val="2"/>
          </w:tcPr>
          <w:p>
            <w:pPr>
              <w:jc w:val="right"/>
              <w:ind w:right="9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1"/>
                <w:szCs w:val="11"/>
                <w:color w:val="auto"/>
              </w:rPr>
            </w:pPr>
          </w:p>
        </w:tc>
      </w:tr>
      <w:tr>
        <w:trPr>
          <w:trHeight w:val="181"/>
        </w:trPr>
        <w:tc>
          <w:tcPr>
            <w:tcW w:w="72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Share-based incentive awards:</w:t>
            </w: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1"/>
        </w:trPr>
        <w:tc>
          <w:tcPr>
            <w:tcW w:w="7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RSUs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38,156</w:t>
            </w:r>
          </w:p>
        </w:tc>
        <w:tc>
          <w:tcPr>
            <w:tcW w:w="5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39,091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$129,490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$132,307</w:t>
            </w:r>
          </w:p>
        </w:tc>
        <w:tc>
          <w:tcPr>
            <w:tcW w:w="80" w:type="dxa"/>
            <w:vAlign w:val="bottom"/>
          </w:tcPr>
          <w:p>
            <w:pPr>
              <w:spacing w:after="0"/>
              <w:rPr>
                <w:sz w:val="17"/>
                <w:szCs w:val="17"/>
                <w:color w:val="auto"/>
              </w:rPr>
            </w:pPr>
          </w:p>
        </w:tc>
      </w:tr>
      <w:tr>
        <w:trPr>
          <w:trHeight w:val="201"/>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PRSUs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10,207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80" w:type="dxa"/>
            <w:vAlign w:val="bottom"/>
            <w:shd w:val="clear" w:color="auto" w:fill="CCEEFF"/>
          </w:tcPr>
          <w:p>
            <w:pPr>
              <w:spacing w:after="0"/>
              <w:rPr>
                <w:sz w:val="17"/>
                <w:szCs w:val="17"/>
                <w:color w:val="auto"/>
              </w:rPr>
            </w:pPr>
          </w:p>
        </w:tc>
      </w:tr>
      <w:tr>
        <w:trPr>
          <w:trHeight w:val="201"/>
        </w:trPr>
        <w:tc>
          <w:tcPr>
            <w:tcW w:w="7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3,635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13,493</w:t>
            </w:r>
          </w:p>
        </w:tc>
        <w:tc>
          <w:tcPr>
            <w:tcW w:w="80" w:type="dxa"/>
            <w:vAlign w:val="bottom"/>
          </w:tcPr>
          <w:p>
            <w:pPr>
              <w:spacing w:after="0"/>
              <w:rPr>
                <w:sz w:val="17"/>
                <w:szCs w:val="17"/>
                <w:color w:val="auto"/>
              </w:rPr>
            </w:pPr>
          </w:p>
        </w:tc>
      </w:tr>
      <w:tr>
        <w:trPr>
          <w:trHeight w:val="201"/>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DSUs</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shd w:val="clear" w:color="auto" w:fill="CCEEFF"/>
          </w:tcPr>
          <w:p>
            <w:pPr>
              <w:spacing w:after="0"/>
              <w:rPr>
                <w:sz w:val="17"/>
                <w:szCs w:val="17"/>
                <w:color w:val="auto"/>
              </w:rPr>
            </w:pPr>
          </w:p>
        </w:tc>
      </w:tr>
      <w:tr>
        <w:trPr>
          <w:trHeight w:val="206"/>
        </w:trPr>
        <w:tc>
          <w:tcPr>
            <w:tcW w:w="7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52,030</w:t>
            </w:r>
          </w:p>
        </w:tc>
        <w:tc>
          <w:tcPr>
            <w:tcW w:w="2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174,823</w:t>
            </w:r>
          </w:p>
        </w:tc>
        <w:tc>
          <w:tcPr>
            <w:tcW w:w="5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159,095</w:t>
            </w:r>
          </w:p>
        </w:tc>
        <w:tc>
          <w:tcPr>
            <w:tcW w:w="8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40" w:firstLine="457"/>
        <w:spacing w:after="0" w:line="275" w:lineRule="auto"/>
        <w:rPr>
          <w:sz w:val="20"/>
          <w:szCs w:val="20"/>
          <w:color w:val="auto"/>
        </w:rPr>
      </w:pPr>
      <w:r>
        <w:rPr>
          <w:rFonts w:ascii="Times New Roman" w:cs="Times New Roman" w:eastAsia="Times New Roman" w:hAnsi="Times New Roman"/>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right="60" w:firstLine="457"/>
        <w:spacing w:after="0" w:line="282" w:lineRule="auto"/>
        <w:rPr>
          <w:sz w:val="20"/>
          <w:szCs w:val="20"/>
          <w:color w:val="auto"/>
        </w:rPr>
      </w:pPr>
      <w:r>
        <w:rPr>
          <w:rFonts w:ascii="Times New Roman" w:cs="Times New Roman" w:eastAsia="Times New Roman" w:hAnsi="Times New Roman"/>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Company’s share-based incentive plans and awards are described below.</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RSUs and DSUs</w:t>
      </w:r>
    </w:p>
    <w:p>
      <w:pPr>
        <w:spacing w:after="0" w:line="97" w:lineRule="exact"/>
        <w:rPr>
          <w:sz w:val="20"/>
          <w:szCs w:val="20"/>
          <w:color w:val="auto"/>
        </w:rPr>
      </w:pPr>
    </w:p>
    <w:p>
      <w:pPr>
        <w:ind w:right="140" w:firstLine="457"/>
        <w:spacing w:after="0" w:line="272" w:lineRule="auto"/>
        <w:rPr>
          <w:sz w:val="20"/>
          <w:szCs w:val="20"/>
          <w:color w:val="auto"/>
        </w:rPr>
      </w:pPr>
      <w:r>
        <w:rPr>
          <w:rFonts w:ascii="Times New Roman" w:cs="Times New Roman" w:eastAsia="Times New Roman" w:hAnsi="Times New Roman"/>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434" w:right="239"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2015 and 2014, issuances of RSUs pertaining to such dividend participation rights and respective charges to “retained earnings”, net of estimated forfeitures (with corresponding credits to “additional paid-in-capital”),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40" w:type="dxa"/>
            <w:vAlign w:val="bottom"/>
          </w:tcPr>
          <w:p>
            <w:pPr>
              <w:spacing w:after="0"/>
              <w:rPr>
                <w:sz w:val="12"/>
                <w:szCs w:val="12"/>
                <w:color w:val="auto"/>
              </w:rPr>
            </w:pPr>
          </w:p>
        </w:tc>
        <w:tc>
          <w:tcPr>
            <w:tcW w:w="19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r>
      <w:tr>
        <w:trPr>
          <w:trHeight w:val="153"/>
        </w:trPr>
        <w:tc>
          <w:tcPr>
            <w:tcW w:w="9440" w:type="dxa"/>
            <w:vAlign w:val="bottom"/>
          </w:tcPr>
          <w:p>
            <w:pPr>
              <w:spacing w:after="0"/>
              <w:rPr>
                <w:sz w:val="13"/>
                <w:szCs w:val="13"/>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1"/>
        </w:trPr>
        <w:tc>
          <w:tcPr>
            <w:tcW w:w="94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1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4"/>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r>
      <w:tr>
        <w:trPr>
          <w:trHeight w:val="194"/>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RSUs issued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603,608</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288,272</w:t>
            </w:r>
          </w:p>
        </w:tc>
        <w:tc>
          <w:tcPr>
            <w:tcW w:w="80" w:type="dxa"/>
            <w:vAlign w:val="bottom"/>
            <w:shd w:val="clear" w:color="auto" w:fill="CCEEFF"/>
          </w:tcPr>
          <w:p>
            <w:pPr>
              <w:spacing w:after="0"/>
              <w:rPr>
                <w:sz w:val="16"/>
                <w:szCs w:val="16"/>
                <w:color w:val="auto"/>
              </w:rPr>
            </w:pPr>
          </w:p>
        </w:tc>
      </w:tr>
      <w:tr>
        <w:trPr>
          <w:trHeight w:val="214"/>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Charges to retained earnings, net of estimated forfeitures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$ 30,340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13,489</w:t>
            </w:r>
          </w:p>
        </w:tc>
        <w:tc>
          <w:tcPr>
            <w:tcW w:w="80" w:type="dxa"/>
            <w:vAlign w:val="bottom"/>
          </w:tcPr>
          <w:p>
            <w:pPr>
              <w:spacing w:after="0"/>
              <w:rPr>
                <w:sz w:val="18"/>
                <w:szCs w:val="18"/>
                <w:color w:val="auto"/>
              </w:rPr>
            </w:pPr>
          </w:p>
        </w:tc>
      </w:tr>
    </w:tbl>
    <w:p>
      <w:pPr>
        <w:spacing w:after="0" w:line="126"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Non-executive members of the Board of Directors (“Non-Executive Directors”) receive approximately 55% of their annual compensation for service on the Board of Directors and its committees in the form of DSUs, which resulted in 23,961 and 26,360 DSUs granted in connection with annual compensation during the nine month periods ended September 30,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17"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2015 and 2014, 1,761 and 6,381 DSUs, respectively, had been granted pursuant to such Plan.</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DSU awards are expensed at their fair value on their date of grant, inclusive of amounts related to the Directors’ Fee Deferral Unit Plan.</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434" w:right="23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is a summary of activity relating to RSUs and DSUs during the nine month periods ended September 30, 2015 and 2014:</w:t>
      </w:r>
    </w:p>
    <w:p>
      <w:pPr>
        <w:spacing w:after="0" w:line="91"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RSUs</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w w:val="89"/>
              </w:rPr>
              <w:t>DSUs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580" w:type="dxa"/>
            <w:vAlign w:val="bottom"/>
          </w:tcPr>
          <w:p>
            <w:pPr>
              <w:spacing w:after="0"/>
              <w:rPr>
                <w:sz w:val="12"/>
                <w:szCs w:val="12"/>
                <w:color w:val="auto"/>
              </w:rPr>
            </w:pPr>
          </w:p>
        </w:tc>
        <w:tc>
          <w:tcPr>
            <w:tcW w:w="1000" w:type="dxa"/>
            <w:vAlign w:val="bottom"/>
            <w:gridSpan w:val="4"/>
          </w:tcPr>
          <w:p>
            <w:pPr>
              <w:jc w:val="center"/>
              <w:ind w:left="124"/>
              <w:spacing w:after="0" w:line="139"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13"/>
                <w:szCs w:val="13"/>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3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13,529,116</w:t>
            </w: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3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286,227</w:t>
            </w: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Granted (including 603,608 RSUs relating to dividend participation)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4,111,619</w:t>
            </w:r>
          </w:p>
        </w:tc>
        <w:tc>
          <w:tcPr>
            <w:tcW w:w="26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(461,297)</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(7,159,642)</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10,019,796</w:t>
            </w:r>
          </w:p>
        </w:tc>
        <w:tc>
          <w:tcPr>
            <w:tcW w:w="2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gridSpan w:val="2"/>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16,630,009</w:t>
            </w:r>
          </w:p>
        </w:tc>
        <w:tc>
          <w:tcPr>
            <w:tcW w:w="26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251,434</w:t>
            </w:r>
          </w:p>
        </w:tc>
        <w:tc>
          <w:tcPr>
            <w:tcW w:w="3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 (including 288,272 RSUs relating to dividend participation)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3,733,113</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(210,458)</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(6,529,801)</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September 30, 2014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13,622,863</w:t>
            </w:r>
          </w:p>
        </w:tc>
        <w:tc>
          <w:tcPr>
            <w:tcW w:w="26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In connection with RSUs that vested during the nine month periods ended September 30, 2015 and 2014, the Company satisfied its minimum statutory tax withholding requirements in lieu of issuing 1,940,996 and 1,876,398 shares of Class A common stock in the respective nine month periods. Accordingly, 5,218,646 and 4,653,403 shares of Class A common stock held by the Company were delivered during the nine month periods ended September 30, 2015 and 2014, respectively.</w:t>
      </w:r>
    </w:p>
    <w:p>
      <w:pPr>
        <w:spacing w:after="0" w:line="107" w:lineRule="exact"/>
        <w:rPr>
          <w:sz w:val="20"/>
          <w:szCs w:val="20"/>
          <w:color w:val="auto"/>
        </w:rPr>
      </w:pPr>
    </w:p>
    <w:p>
      <w:pPr>
        <w:ind w:right="320" w:firstLine="457"/>
        <w:spacing w:after="0" w:line="301" w:lineRule="auto"/>
        <w:rPr>
          <w:sz w:val="20"/>
          <w:szCs w:val="20"/>
          <w:color w:val="auto"/>
        </w:rPr>
      </w:pPr>
      <w:r>
        <w:rPr>
          <w:rFonts w:ascii="Times New Roman" w:cs="Times New Roman" w:eastAsia="Times New Roman" w:hAnsi="Times New Roman"/>
          <w:sz w:val="16"/>
          <w:szCs w:val="16"/>
          <w:color w:val="auto"/>
        </w:rPr>
        <w:t>As of September 30, 2015, estimated unrecognized RSU compensation expense was approximately $158,948, with such expense expected to be recognized over a weighted average period of approximately 0.9 years subsequent to September 30, 2015.</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00"/>
          </w:cols>
          <w:pgMar w:left="240" w:top="434" w:right="25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w:t>
      </w:r>
    </w:p>
    <w:p>
      <w:pPr>
        <w:spacing w:after="0" w:line="97" w:lineRule="exact"/>
        <w:rPr>
          <w:sz w:val="20"/>
          <w:szCs w:val="20"/>
          <w:color w:val="auto"/>
        </w:rPr>
      </w:pPr>
    </w:p>
    <w:p>
      <w:pPr>
        <w:ind w:firstLine="457"/>
        <w:spacing w:after="0" w:line="301" w:lineRule="auto"/>
        <w:rPr>
          <w:sz w:val="20"/>
          <w:szCs w:val="20"/>
          <w:color w:val="auto"/>
        </w:rPr>
      </w:pPr>
      <w:r>
        <w:rPr>
          <w:rFonts w:ascii="Times New Roman" w:cs="Times New Roman" w:eastAsia="Times New Roman" w:hAnsi="Times New Roman"/>
          <w:sz w:val="16"/>
          <w:szCs w:val="16"/>
          <w:color w:val="auto"/>
        </w:rPr>
        <w:t>The following is a summary of activity related to shares of restricted Class A common stock associated with compensation arrangements during the nine month periods ended September 30, 2015 and 2014:</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980" w:type="dxa"/>
            <w:vAlign w:val="bottom"/>
            <w:gridSpan w:val="2"/>
          </w:tcPr>
          <w:p>
            <w:pPr>
              <w:jc w:val="right"/>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300" w:type="dxa"/>
            <w:vAlign w:val="bottom"/>
          </w:tcPr>
          <w:p>
            <w:pPr>
              <w:spacing w:after="0"/>
              <w:rPr>
                <w:sz w:val="12"/>
                <w:szCs w:val="12"/>
                <w:color w:val="auto"/>
              </w:rPr>
            </w:pPr>
          </w:p>
        </w:tc>
        <w:tc>
          <w:tcPr>
            <w:tcW w:w="7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729,827</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576,886</w:t>
            </w:r>
          </w:p>
        </w:tc>
        <w:tc>
          <w:tcPr>
            <w:tcW w:w="340" w:type="dxa"/>
            <w:vAlign w:val="bottom"/>
          </w:tcPr>
          <w:p>
            <w:pPr>
              <w:spacing w:after="0"/>
              <w:rPr>
                <w:sz w:val="17"/>
                <w:szCs w:val="17"/>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(45,500)</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(512,516)</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2015</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748,697</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575,054</w:t>
            </w:r>
          </w:p>
        </w:tc>
        <w:tc>
          <w:tcPr>
            <w:tcW w:w="3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449,911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(12,097)</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(205,075)</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September 30, 2014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807,793</w:t>
            </w:r>
          </w:p>
        </w:tc>
        <w:tc>
          <w:tcPr>
            <w:tcW w:w="340" w:type="dxa"/>
            <w:vAlign w:val="bottom"/>
          </w:tcPr>
          <w:p>
            <w:pPr>
              <w:spacing w:after="0"/>
              <w:rPr>
                <w:sz w:val="17"/>
                <w:szCs w:val="17"/>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In connection with shares of restricted Class A common stock that vested during the nine month periods ended September 30, 2015 and 2014, the Company satisfied its minimum statutory tax withholding requirements in lieu of delivering 94,745 and 29,999 shares of Class A common stock during such respective nine month periods. Accordingly, 417,771 and 175,076 shares of Class A common stock held by the Company were delivered during the nine month periods ended September 30, 2015 and 2014, respectively.</w:t>
      </w:r>
    </w:p>
    <w:p>
      <w:pPr>
        <w:spacing w:after="0" w:line="113" w:lineRule="exact"/>
        <w:rPr>
          <w:sz w:val="20"/>
          <w:szCs w:val="20"/>
          <w:color w:val="auto"/>
        </w:rPr>
      </w:pPr>
    </w:p>
    <w:p>
      <w:pPr>
        <w:jc w:val="both"/>
        <w:ind w:right="140" w:firstLine="457"/>
        <w:spacing w:after="0" w:line="282" w:lineRule="auto"/>
        <w:rPr>
          <w:sz w:val="20"/>
          <w:szCs w:val="20"/>
          <w:color w:val="auto"/>
        </w:rPr>
      </w:pPr>
      <w:r>
        <w:rPr>
          <w:rFonts w:ascii="Times New Roman" w:cs="Times New Roman" w:eastAsia="Times New Roman" w:hAnsi="Times New Roman"/>
          <w:sz w:val="16"/>
          <w:szCs w:val="16"/>
          <w:color w:val="auto"/>
        </w:rPr>
        <w:t>The restricted stock awards include a cash dividend participation right equivalent to any ordinary dividends paid on Class A common stock during the period, which will vest concurrently with the underlying restricted stock award. At September 30, 2015, estimated unrecognized restricted stock expense was approximately $18,183, with such expense to be recognized over a weighted average period of approximately 1.0 years subsequent to September 30, 2015.</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PRSUs</w:t>
      </w:r>
    </w:p>
    <w:p>
      <w:pPr>
        <w:spacing w:after="0" w:line="97" w:lineRule="exact"/>
        <w:rPr>
          <w:sz w:val="20"/>
          <w:szCs w:val="20"/>
          <w:color w:val="auto"/>
        </w:rPr>
      </w:pPr>
    </w:p>
    <w:p>
      <w:pPr>
        <w:ind w:firstLine="457"/>
        <w:spacing w:after="0" w:line="266" w:lineRule="auto"/>
        <w:rPr>
          <w:sz w:val="20"/>
          <w:szCs w:val="20"/>
          <w:color w:val="auto"/>
        </w:rPr>
      </w:pPr>
      <w:r>
        <w:rPr>
          <w:rFonts w:ascii="Times New Roman" w:cs="Times New Roman" w:eastAsia="Times New Roman" w:hAnsi="Times New Roman"/>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434" w:right="23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6"/>
          <w:szCs w:val="16"/>
          <w:color w:val="auto"/>
        </w:rPr>
        <w:t>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is a summary of activity relating to PRSUs during the nine month periods ended September 30, 2015 and 2014:</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7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Weighted</w:t>
            </w:r>
          </w:p>
        </w:tc>
      </w:tr>
      <w:tr>
        <w:trPr>
          <w:trHeight w:val="138"/>
        </w:trPr>
        <w:tc>
          <w:tcPr>
            <w:tcW w:w="7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5"/>
              </w:rPr>
              <w:t>Average</w:t>
            </w:r>
          </w:p>
        </w:tc>
      </w:tr>
      <w:tr>
        <w:trPr>
          <w:trHeight w:val="138"/>
        </w:trPr>
        <w:tc>
          <w:tcPr>
            <w:tcW w:w="7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Grant Date</w:t>
            </w:r>
          </w:p>
        </w:tc>
      </w:tr>
      <w:tr>
        <w:trPr>
          <w:trHeight w:val="153"/>
        </w:trPr>
        <w:tc>
          <w:tcPr>
            <w:tcW w:w="7600" w:type="dxa"/>
            <w:vAlign w:val="bottom"/>
          </w:tcPr>
          <w:p>
            <w:pPr>
              <w:spacing w:after="0"/>
              <w:rPr>
                <w:sz w:val="13"/>
                <w:szCs w:val="13"/>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PRSUs</w:t>
            </w: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194"/>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1,347,148</w:t>
            </w:r>
          </w:p>
        </w:tc>
        <w:tc>
          <w:tcPr>
            <w:tcW w:w="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80" w:type="dxa"/>
            <w:vAlign w:val="bottom"/>
            <w:tcBorders>
              <w:top w:val="single" w:sz="8" w:color="CCEEFF"/>
            </w:tcBorders>
            <w:shd w:val="clear" w:color="auto" w:fill="CCEEFF"/>
          </w:tcPr>
          <w:p>
            <w:pPr>
              <w:spacing w:after="0"/>
              <w:rPr>
                <w:sz w:val="16"/>
                <w:szCs w:val="16"/>
                <w:color w:val="auto"/>
              </w:rPr>
            </w:pPr>
          </w:p>
        </w:tc>
      </w:tr>
      <w:tr>
        <w:trPr>
          <w:trHeight w:val="201"/>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368,389</w:t>
            </w:r>
          </w:p>
        </w:tc>
        <w:tc>
          <w:tcPr>
            <w:tcW w:w="5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52.85</w:t>
            </w:r>
          </w:p>
        </w:tc>
      </w:tr>
      <w:tr>
        <w:trPr>
          <w:trHeight w:val="21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(696,499)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35.96</w:t>
            </w:r>
          </w:p>
        </w:tc>
      </w:tr>
      <w:tr>
        <w:trPr>
          <w:trHeight w:val="20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2015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1,019,038</w:t>
            </w:r>
          </w:p>
        </w:tc>
        <w:tc>
          <w:tcPr>
            <w:tcW w:w="5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44.49</w:t>
            </w:r>
          </w:p>
        </w:tc>
      </w:tr>
      <w:tr>
        <w:trPr>
          <w:trHeight w:val="20"/>
        </w:trPr>
        <w:tc>
          <w:tcPr>
            <w:tcW w:w="7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448,128</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36.11</w:t>
            </w:r>
          </w:p>
        </w:tc>
      </w:tr>
      <w:tr>
        <w:trPr>
          <w:trHeight w:val="207"/>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360,783</w:t>
            </w:r>
          </w:p>
        </w:tc>
        <w:tc>
          <w:tcPr>
            <w:tcW w:w="5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44.46</w:t>
            </w:r>
          </w:p>
        </w:tc>
      </w:tr>
      <w:tr>
        <w:trPr>
          <w:trHeight w:val="20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2014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808,911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39.83</w:t>
            </w:r>
          </w:p>
        </w:tc>
      </w:tr>
      <w:tr>
        <w:trPr>
          <w:trHeight w:val="20"/>
        </w:trPr>
        <w:tc>
          <w:tcPr>
            <w:tcW w:w="7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00" w:firstLine="457"/>
        <w:spacing w:after="0" w:line="282" w:lineRule="auto"/>
        <w:rPr>
          <w:sz w:val="20"/>
          <w:szCs w:val="20"/>
          <w:color w:val="auto"/>
        </w:rPr>
      </w:pPr>
      <w:r>
        <w:rPr>
          <w:rFonts w:ascii="Times New Roman" w:cs="Times New Roman" w:eastAsia="Times New Roman" w:hAnsi="Times New Roman"/>
          <w:sz w:val="16"/>
          <w:szCs w:val="16"/>
          <w:color w:val="auto"/>
        </w:rPr>
        <w:t>In connection with PRSUs that vested during the nine month period ended September 30, 2015, the Company satisfied its minimum statutory tax withholding requirements in lieu of issuing 32,086 shares of Class A common stock in the period. Accordingly, 664,413 shares of Class A common stock held by the Company were delivered during the nine month period ended September 30, 2015.</w:t>
      </w:r>
    </w:p>
    <w:p>
      <w:pPr>
        <w:spacing w:after="0" w:line="107" w:lineRule="exact"/>
        <w:rPr>
          <w:sz w:val="20"/>
          <w:szCs w:val="20"/>
          <w:color w:val="auto"/>
        </w:rPr>
      </w:pPr>
    </w:p>
    <w:p>
      <w:pPr>
        <w:ind w:firstLine="457"/>
        <w:spacing w:after="0" w:line="280" w:lineRule="auto"/>
        <w:rPr>
          <w:sz w:val="20"/>
          <w:szCs w:val="20"/>
          <w:color w:val="auto"/>
        </w:rPr>
      </w:pPr>
      <w:r>
        <w:rPr>
          <w:rFonts w:ascii="Times New Roman" w:cs="Times New Roman" w:eastAsia="Times New Roman" w:hAnsi="Times New Roman"/>
          <w:sz w:val="16"/>
          <w:szCs w:val="16"/>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2015, the total estimated unrecognized compensation expense was approximately $21,631, and the Company expects to amortize such expense over a weighted-average period of approximately 0.5 years subsequent to September 30, 2015.</w:t>
      </w: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LFI and Other Similar Deferred Compensation Arrangements</w:t>
      </w:r>
    </w:p>
    <w:p>
      <w:pPr>
        <w:spacing w:after="0" w:line="97" w:lineRule="exact"/>
        <w:rPr>
          <w:sz w:val="20"/>
          <w:szCs w:val="20"/>
          <w:color w:val="auto"/>
        </w:rPr>
      </w:pPr>
    </w:p>
    <w:p>
      <w:pPr>
        <w:ind w:right="20" w:firstLine="457"/>
        <w:spacing w:after="0" w:line="269" w:lineRule="auto"/>
        <w:rPr>
          <w:sz w:val="20"/>
          <w:szCs w:val="20"/>
          <w:color w:val="auto"/>
        </w:rPr>
      </w:pPr>
      <w:r>
        <w:rPr>
          <w:rFonts w:ascii="Times New Roman" w:cs="Times New Roman" w:eastAsia="Times New Roman" w:hAnsi="Times New Roman"/>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434" w:right="23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firstLine="457"/>
        <w:spacing w:after="0" w:line="301" w:lineRule="auto"/>
        <w:rPr>
          <w:sz w:val="20"/>
          <w:szCs w:val="20"/>
          <w:color w:val="auto"/>
        </w:rPr>
      </w:pPr>
      <w:r>
        <w:rPr>
          <w:rFonts w:ascii="Times New Roman" w:cs="Times New Roman" w:eastAsia="Times New Roman" w:hAnsi="Times New Roman"/>
          <w:sz w:val="16"/>
          <w:szCs w:val="16"/>
          <w:color w:val="auto"/>
        </w:rPr>
        <w:t>The following is a summary of activity relating to LFI and other similar deferred compensation arrangements during the nine month periods ended September 30, 2015 and 2014:</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Prepaid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920" w:type="dxa"/>
            <w:vAlign w:val="bottom"/>
          </w:tcPr>
          <w:p>
            <w:pPr>
              <w:spacing w:after="0"/>
              <w:rPr>
                <w:sz w:val="12"/>
                <w:szCs w:val="12"/>
                <w:color w:val="auto"/>
              </w:rPr>
            </w:pPr>
          </w:p>
        </w:tc>
        <w:tc>
          <w:tcPr>
            <w:tcW w:w="122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60" w:type="dxa"/>
            <w:vAlign w:val="bottom"/>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53"/>
        </w:trPr>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4"/>
              </w:rPr>
              <w:t>Asset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Liability</w:t>
            </w:r>
          </w:p>
        </w:tc>
      </w:tr>
      <w:tr>
        <w:trPr>
          <w:trHeight w:val="194"/>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73,278</w:t>
            </w: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207,306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1"/>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Granted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89,817</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89,817</w:t>
            </w:r>
          </w:p>
        </w:tc>
        <w:tc>
          <w:tcPr>
            <w:tcW w:w="100" w:type="dxa"/>
            <w:vAlign w:val="bottom"/>
          </w:tcPr>
          <w:p>
            <w:pPr>
              <w:spacing w:after="0"/>
              <w:rPr>
                <w:sz w:val="17"/>
                <w:szCs w:val="17"/>
                <w:color w:val="auto"/>
              </w:rPr>
            </w:pPr>
          </w:p>
        </w:tc>
      </w:tr>
      <w:tr>
        <w:trPr>
          <w:trHeight w:val="214"/>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(94,899)</w:t>
            </w:r>
          </w:p>
        </w:tc>
      </w:tr>
      <w:tr>
        <w:trPr>
          <w:trHeight w:val="214"/>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(3,610)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(6,873)</w:t>
            </w:r>
          </w:p>
        </w:tc>
      </w:tr>
      <w:tr>
        <w:trPr>
          <w:trHeight w:val="201"/>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(64,136)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 in fair value related to: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Decrease in fair value of underlying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(9,903)</w:t>
            </w:r>
          </w:p>
        </w:tc>
      </w:tr>
      <w:tr>
        <w:trPr>
          <w:trHeight w:val="201"/>
        </w:trPr>
        <w:tc>
          <w:tcPr>
            <w:tcW w:w="7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Adjustment for estimated forfeitures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tcPr>
          <w:p>
            <w:pPr>
              <w:spacing w:after="0"/>
              <w:rPr>
                <w:sz w:val="17"/>
                <w:szCs w:val="17"/>
                <w:color w:val="auto"/>
              </w:rPr>
            </w:pPr>
          </w:p>
        </w:tc>
      </w:tr>
      <w:tr>
        <w:trPr>
          <w:trHeight w:val="201"/>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(184)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(2,030)</w:t>
            </w:r>
          </w:p>
        </w:tc>
      </w:tr>
      <w:tr>
        <w:trPr>
          <w:trHeight w:val="20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2015</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188,637</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Prepaid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7920" w:type="dxa"/>
            <w:vAlign w:val="bottom"/>
          </w:tcPr>
          <w:p>
            <w:pPr>
              <w:spacing w:after="0"/>
              <w:rPr>
                <w:sz w:val="12"/>
                <w:szCs w:val="12"/>
                <w:color w:val="auto"/>
              </w:rPr>
            </w:pPr>
          </w:p>
        </w:tc>
        <w:tc>
          <w:tcPr>
            <w:tcW w:w="122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60" w:type="dxa"/>
            <w:vAlign w:val="bottom"/>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53"/>
        </w:trPr>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4"/>
              </w:rPr>
              <w:t>Asset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Liability</w:t>
            </w:r>
          </w:p>
        </w:tc>
      </w:tr>
      <w:tr>
        <w:trPr>
          <w:trHeight w:val="194"/>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2014</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60,433</w:t>
            </w: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162,422</w:t>
            </w:r>
          </w:p>
        </w:tc>
        <w:tc>
          <w:tcPr>
            <w:tcW w:w="100" w:type="dxa"/>
            <w:vAlign w:val="bottom"/>
            <w:tcBorders>
              <w:top w:val="single" w:sz="8" w:color="CCEEFF"/>
            </w:tcBorders>
            <w:shd w:val="clear" w:color="auto" w:fill="CCEEFF"/>
          </w:tcPr>
          <w:p>
            <w:pPr>
              <w:spacing w:after="0"/>
              <w:rPr>
                <w:sz w:val="16"/>
                <w:szCs w:val="16"/>
                <w:color w:val="auto"/>
              </w:rPr>
            </w:pPr>
          </w:p>
        </w:tc>
      </w:tr>
      <w:tr>
        <w:trPr>
          <w:trHeight w:val="201"/>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Granted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92,728</w:t>
            </w:r>
          </w:p>
        </w:tc>
        <w:tc>
          <w:tcPr>
            <w:tcW w:w="100" w:type="dxa"/>
            <w:vAlign w:val="bottom"/>
          </w:tcPr>
          <w:p>
            <w:pPr>
              <w:spacing w:after="0"/>
              <w:rPr>
                <w:sz w:val="17"/>
                <w:szCs w:val="17"/>
                <w:color w:val="auto"/>
              </w:rPr>
            </w:pPr>
          </w:p>
        </w:tc>
      </w:tr>
      <w:tr>
        <w:trPr>
          <w:trHeight w:val="214"/>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(54,293)</w:t>
            </w:r>
          </w:p>
        </w:tc>
      </w:tr>
      <w:tr>
        <w:trPr>
          <w:trHeight w:val="214"/>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(1,320)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(1,908)</w:t>
            </w:r>
          </w:p>
        </w:tc>
      </w:tr>
      <w:tr>
        <w:trPr>
          <w:trHeight w:val="201"/>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(57,287)</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 in fair value related to: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Increase in fair value of underlying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100" w:type="dxa"/>
            <w:vAlign w:val="bottom"/>
            <w:shd w:val="clear" w:color="auto" w:fill="CCEEFF"/>
          </w:tcPr>
          <w:p>
            <w:pPr>
              <w:spacing w:after="0"/>
              <w:rPr>
                <w:sz w:val="17"/>
                <w:szCs w:val="17"/>
                <w:color w:val="auto"/>
              </w:rPr>
            </w:pPr>
          </w:p>
        </w:tc>
      </w:tr>
      <w:tr>
        <w:trPr>
          <w:trHeight w:val="201"/>
        </w:trPr>
        <w:tc>
          <w:tcPr>
            <w:tcW w:w="7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Adjustment for estimated forfeitures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tcPr>
          <w:p>
            <w:pPr>
              <w:spacing w:after="0"/>
              <w:rPr>
                <w:sz w:val="17"/>
                <w:szCs w:val="17"/>
                <w:color w:val="auto"/>
              </w:rPr>
            </w:pPr>
          </w:p>
        </w:tc>
      </w:tr>
      <w:tr>
        <w:trPr>
          <w:trHeight w:val="201"/>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(551)</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(1,559)</w:t>
            </w:r>
          </w:p>
        </w:tc>
      </w:tr>
      <w:tr>
        <w:trPr>
          <w:trHeight w:val="20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2014</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94,003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209,921</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The amortization of the prepaid compensation asset will generally be recognized over a weighted average period of approximately 0.9 years subsequent to September 30, 2015.</w:t>
      </w:r>
    </w:p>
    <w:p>
      <w:pPr>
        <w:spacing w:after="0" w:line="92" w:lineRule="exact"/>
        <w:rPr>
          <w:sz w:val="20"/>
          <w:szCs w:val="20"/>
          <w:color w:val="auto"/>
        </w:rPr>
      </w:pPr>
    </w:p>
    <w:p>
      <w:pPr>
        <w:ind w:right="740" w:firstLine="457"/>
        <w:spacing w:after="0" w:line="301" w:lineRule="auto"/>
        <w:rPr>
          <w:sz w:val="20"/>
          <w:szCs w:val="20"/>
          <w:color w:val="auto"/>
        </w:rPr>
      </w:pPr>
      <w:r>
        <w:rPr>
          <w:rFonts w:ascii="Times New Roman" w:cs="Times New Roman" w:eastAsia="Times New Roman" w:hAnsi="Times New Roman"/>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2015 and 2014:</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2"/>
                <w:szCs w:val="12"/>
                <w:color w:val="auto"/>
              </w:rPr>
            </w:pP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3"/>
                <w:szCs w:val="13"/>
                <w:color w:val="auto"/>
              </w:rPr>
            </w:pP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8"/>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7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5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net of forfeitures</w:t>
            </w:r>
          </w:p>
        </w:tc>
        <w:tc>
          <w:tcPr>
            <w:tcW w:w="2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21,168</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$21,310</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$66,092</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$63,226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Change in the fair value of underlying investments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8"/>
              </w:rPr>
              <w:t>(12,145)</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(5,528)</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(9,903)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15,782</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56,189</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69,230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20" w:type="dxa"/>
            <w:vAlign w:val="bottom"/>
            <w:vMerge w:val="restart"/>
          </w:tcPr>
          <w:p>
            <w:pPr>
              <w:jc w:val="right"/>
              <w:ind w:right="1238"/>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EMPLOYEE BENEFIT PLANS</w:t>
      </w:r>
    </w:p>
    <w:p>
      <w:pPr>
        <w:spacing w:after="0" w:line="97"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1" w:lineRule="exact"/>
        <w:rPr>
          <w:sz w:val="20"/>
          <w:szCs w:val="20"/>
          <w:color w:val="auto"/>
        </w:rPr>
      </w:pPr>
    </w:p>
    <w:p>
      <w:pPr>
        <w:ind w:right="60" w:firstLine="457"/>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Employer Contributions to Pension Plans</w:t>
      </w:r>
      <w:r>
        <w:rPr>
          <w:rFonts w:ascii="Times New Roman" w:cs="Times New Roman" w:eastAsia="Times New Roman" w:hAnsi="Times New Roman"/>
          <w:sz w:val="16"/>
          <w:szCs w:val="16"/>
          <w:color w:val="auto"/>
        </w:rPr>
        <w:t>—The Company’s funding policy for its U.S. and non-U.S. pension plans is to fund when required or when applicable upon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agreement with the plans’ trustees (the “Trustees”). Management also evaluates from time to time whether to make voluntary contributions to the plans.</w:t>
      </w:r>
    </w:p>
    <w:p>
      <w:pPr>
        <w:spacing w:after="0" w:line="89" w:lineRule="exact"/>
        <w:rPr>
          <w:sz w:val="20"/>
          <w:szCs w:val="20"/>
          <w:color w:val="auto"/>
        </w:rPr>
      </w:pPr>
    </w:p>
    <w:p>
      <w:pPr>
        <w:ind w:right="80" w:firstLine="457"/>
        <w:spacing w:after="0" w:line="269" w:lineRule="auto"/>
        <w:rPr>
          <w:sz w:val="20"/>
          <w:szCs w:val="20"/>
          <w:color w:val="auto"/>
        </w:rPr>
      </w:pPr>
      <w:r>
        <w:rPr>
          <w:rFonts w:ascii="Times New Roman" w:cs="Times New Roman" w:eastAsia="Times New Roman" w:hAnsi="Times New Roman"/>
          <w:sz w:val="16"/>
          <w:szCs w:val="16"/>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At December 31, 2014, the balance of the account security arrangement was $17,500 and was recorded in “cash deposited with clearing organizations and other segregated cash” on the accompanying condensed consolidated statements of financial condition. Income on the account security arrangement accreted to the Company and was recorded in interest income.</w:t>
      </w:r>
    </w:p>
    <w:p>
      <w:pPr>
        <w:spacing w:after="0" w:line="117" w:lineRule="exact"/>
        <w:rPr>
          <w:sz w:val="20"/>
          <w:szCs w:val="20"/>
          <w:color w:val="auto"/>
        </w:rPr>
      </w:pPr>
    </w:p>
    <w:p>
      <w:pPr>
        <w:ind w:firstLine="457"/>
        <w:spacing w:after="0" w:line="301" w:lineRule="auto"/>
        <w:rPr>
          <w:sz w:val="20"/>
          <w:szCs w:val="20"/>
          <w:color w:val="auto"/>
        </w:rPr>
      </w:pPr>
      <w:r>
        <w:rPr>
          <w:rFonts w:ascii="Times New Roman" w:cs="Times New Roman" w:eastAsia="Times New Roman" w:hAnsi="Times New Roman"/>
          <w:sz w:val="16"/>
          <w:szCs w:val="16"/>
          <w:color w:val="auto"/>
        </w:rPr>
        <w:t>The following table summarizes the components of net periodic benefit cost (credit) related to the Company’s post-retirement plans for the three month and nine month periods ended September 30, 2015 and 2014: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Pension Plans</w:t>
            </w:r>
          </w:p>
        </w:tc>
        <w:tc>
          <w:tcPr>
            <w:tcW w:w="100" w:type="dxa"/>
            <w:vAlign w:val="bottom"/>
          </w:tcPr>
          <w:p>
            <w:pPr>
              <w:spacing w:after="0"/>
              <w:rPr>
                <w:sz w:val="13"/>
                <w:szCs w:val="13"/>
                <w:color w:val="auto"/>
              </w:rPr>
            </w:pPr>
          </w:p>
        </w:tc>
        <w:tc>
          <w:tcPr>
            <w:tcW w:w="1400" w:type="dxa"/>
            <w:vAlign w:val="bottom"/>
            <w:gridSpan w:val="6"/>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Medical Plan</w:t>
            </w: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60" w:type="dxa"/>
            <w:vAlign w:val="bottom"/>
            <w:tcBorders>
              <w:top w:val="single" w:sz="8" w:color="auto"/>
              <w:bottom w:val="single" w:sz="8" w:color="auto"/>
            </w:tcBorders>
            <w:gridSpan w:val="7"/>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580" w:type="dxa"/>
            <w:vAlign w:val="bottom"/>
            <w:tcBorders>
              <w:bottom w:val="single" w:sz="8" w:color="CCEEFF"/>
            </w:tcBorders>
          </w:tcPr>
          <w:p>
            <w:pPr>
              <w:spacing w:after="0"/>
              <w:rPr>
                <w:sz w:val="11"/>
                <w:szCs w:val="11"/>
                <w:color w:val="auto"/>
              </w:rPr>
            </w:pPr>
          </w:p>
        </w:tc>
        <w:tc>
          <w:tcPr>
            <w:tcW w:w="34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3"/>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3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Components of Net Periodic Benefit Cost (Credit):</w:t>
            </w:r>
          </w:p>
        </w:tc>
        <w:tc>
          <w:tcPr>
            <w:tcW w:w="3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3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7,636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(7,146)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8"/>
              </w:rPr>
              <w:t>(8,253)</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w:t>
            </w:r>
          </w:p>
        </w:tc>
        <w:tc>
          <w:tcPr>
            <w:tcW w:w="3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Prior service cost</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actuarial loss (gain)</w:t>
            </w:r>
          </w:p>
        </w:tc>
        <w:tc>
          <w:tcPr>
            <w:tcW w:w="3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benefit cost (credit)</w:t>
            </w:r>
          </w:p>
        </w:tc>
        <w:tc>
          <w:tcPr>
            <w:tcW w:w="34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80" w:type="dxa"/>
            <w:vAlign w:val="bottom"/>
            <w:vMerge w:val="restart"/>
          </w:tcPr>
          <w:p>
            <w:pPr>
              <w:jc w:val="right"/>
              <w:ind w:right="2178"/>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Pension Plans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Medical Plan</w:t>
            </w:r>
          </w:p>
        </w:tc>
      </w:tr>
      <w:tr>
        <w:trPr>
          <w:trHeight w:val="131"/>
        </w:trPr>
        <w:tc>
          <w:tcPr>
            <w:tcW w:w="78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100" w:type="dxa"/>
            <w:vAlign w:val="bottom"/>
            <w:tcBorders>
              <w:top w:val="single" w:sz="8" w:color="auto"/>
              <w:bottom w:val="single" w:sz="8" w:color="auto"/>
            </w:tcBorders>
            <w:gridSpan w:val="8"/>
          </w:tcPr>
          <w:p>
            <w:pPr>
              <w:jc w:val="right"/>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1"/>
        </w:trPr>
        <w:tc>
          <w:tcPr>
            <w:tcW w:w="78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3"/>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2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100" w:type="dxa"/>
            <w:vAlign w:val="bottom"/>
            <w:tcBorders>
              <w:bottom w:val="single" w:sz="8" w:color="CCEEFF"/>
            </w:tcBorders>
          </w:tcPr>
          <w:p>
            <w:pPr>
              <w:spacing w:after="0"/>
              <w:rPr>
                <w:sz w:val="11"/>
                <w:szCs w:val="11"/>
                <w:color w:val="auto"/>
              </w:rPr>
            </w:pPr>
          </w:p>
        </w:tc>
      </w:tr>
      <w:tr>
        <w:trPr>
          <w:trHeight w:val="181"/>
        </w:trPr>
        <w:tc>
          <w:tcPr>
            <w:tcW w:w="7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Components of Net Periodic Benefit Cost (Credit):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r>
      <w:tr>
        <w:trPr>
          <w:trHeight w:val="201"/>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22,807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7"/>
                <w:szCs w:val="17"/>
                <w:color w:val="auto"/>
              </w:rPr>
            </w:pPr>
          </w:p>
        </w:tc>
      </w:tr>
      <w:tr>
        <w:trPr>
          <w:trHeight w:val="201"/>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8"/>
              </w:rPr>
              <w:t>(21,236)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(24,560)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78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Prior service cost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2,176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actuarial loss (gain)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Net periodic benefit cost (credit)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460" w:hanging="459"/>
        <w:spacing w:after="0"/>
        <w:tabs>
          <w:tab w:leader="none" w:pos="460"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97" w:lineRule="exact"/>
        <w:rPr>
          <w:sz w:val="20"/>
          <w:szCs w:val="20"/>
          <w:color w:val="auto"/>
        </w:rPr>
      </w:pPr>
    </w:p>
    <w:p>
      <w:pPr>
        <w:ind w:right="400" w:firstLine="457"/>
        <w:spacing w:after="0" w:line="282" w:lineRule="auto"/>
        <w:rPr>
          <w:sz w:val="20"/>
          <w:szCs w:val="20"/>
          <w:color w:val="auto"/>
        </w:rPr>
      </w:pPr>
      <w:r>
        <w:rPr>
          <w:rFonts w:ascii="Times New Roman" w:cs="Times New Roman" w:eastAsia="Times New Roman" w:hAnsi="Times New Roman"/>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07" w:lineRule="exact"/>
        <w:rPr>
          <w:sz w:val="20"/>
          <w:szCs w:val="20"/>
          <w:color w:val="auto"/>
        </w:rPr>
      </w:pPr>
    </w:p>
    <w:p>
      <w:pPr>
        <w:ind w:right="20" w:firstLine="457"/>
        <w:spacing w:after="0" w:line="269" w:lineRule="auto"/>
        <w:rPr>
          <w:sz w:val="20"/>
          <w:szCs w:val="20"/>
          <w:color w:val="auto"/>
        </w:rPr>
      </w:pPr>
      <w:r>
        <w:rPr>
          <w:rFonts w:ascii="Times New Roman" w:cs="Times New Roman" w:eastAsia="Times New Roman" w:hAnsi="Times New Roman"/>
          <w:sz w:val="16"/>
          <w:szCs w:val="16"/>
          <w:color w:val="auto"/>
        </w:rPr>
        <w:t>The Company recorded an income tax provision (benefit) of $170,954 and $(993,560) for the three month and nine month periods ended September 30, 2015, respectively, and $23,792 and $58,614 for the three month and nine month periods ended September 30, 2014, respectively, representing effective tax rates of 30.0%, 637.0%, 20.9% and 18.3%, respectively. The difference between the U.S. federal statutory rate of 35.0% and the effective tax rates reflected above principally relates to (i) change in the valuation allowance affecting the provision for income taxes, (ii) recognition of a deferred tax asset associated with the recording of the tax receivable agreement obligation and reduction of a deferred tax asset as a result of the partial extinguishment of our tax receivable agreement obligation (see below), (iii) taxes payable to foreign jurisdictions that are not offset against U.S. income taxes, (iv) foreign source income (loss) not subject to U.S. income taxes (including interest on intercompany financings), and (v) U.S. state and local taxes (primarily UBT), which are incremental to the U.S. federal statutory tax rate.</w:t>
      </w:r>
    </w:p>
    <w:p>
      <w:pPr>
        <w:spacing w:after="0" w:line="117" w:lineRule="exact"/>
        <w:rPr>
          <w:sz w:val="20"/>
          <w:szCs w:val="20"/>
          <w:color w:val="auto"/>
        </w:rPr>
      </w:pPr>
    </w:p>
    <w:p>
      <w:pPr>
        <w:ind w:right="420" w:firstLine="457"/>
        <w:spacing w:after="0" w:line="301" w:lineRule="auto"/>
        <w:rPr>
          <w:sz w:val="20"/>
          <w:szCs w:val="20"/>
          <w:color w:val="auto"/>
        </w:rPr>
      </w:pPr>
      <w:r>
        <w:rPr>
          <w:rFonts w:ascii="Times New Roman" w:cs="Times New Roman" w:eastAsia="Times New Roman" w:hAnsi="Times New Roman"/>
          <w:sz w:val="16"/>
          <w:szCs w:val="16"/>
          <w:color w:val="auto"/>
        </w:rPr>
        <w:t>Certain of our tax-paying entities at which we have historically recorded significant valuation allowances were profitable on a cumulative basis for the three year periods ended June 30, 2015 and September 30, 2015. Our assessment of such valuation allowance at each such date is described below.</w:t>
      </w:r>
    </w:p>
    <w:p>
      <w:pPr>
        <w:spacing w:after="0" w:line="92"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 with the exception of the portion of the valuation allowance that we expected to release based on our estimate of operating income in the current year.</w:t>
      </w:r>
    </w:p>
    <w:p>
      <w:pPr>
        <w:spacing w:after="0" w:line="117" w:lineRule="exact"/>
        <w:rPr>
          <w:sz w:val="20"/>
          <w:szCs w:val="20"/>
          <w:color w:val="auto"/>
        </w:rPr>
      </w:pPr>
    </w:p>
    <w:p>
      <w:pPr>
        <w:ind w:right="220" w:firstLine="457"/>
        <w:spacing w:after="0" w:line="301" w:lineRule="auto"/>
        <w:rPr>
          <w:sz w:val="20"/>
          <w:szCs w:val="20"/>
          <w:color w:val="auto"/>
        </w:rPr>
      </w:pPr>
      <w:r>
        <w:rPr>
          <w:rFonts w:ascii="Times New Roman" w:cs="Times New Roman" w:eastAsia="Times New Roman" w:hAnsi="Times New Roman"/>
          <w:sz w:val="16"/>
          <w:szCs w:val="16"/>
          <w:color w:val="auto"/>
        </w:rPr>
        <w:t>As a result, during the quarter ended June 30, 2015, we recorded a deferred tax benefit of approximately $821,000. In addition, we also recorded a separate deferred tax benefit of approximately $378,000 that reflected the tax deductibility of payments under the tax receivable agreement.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434" w:right="23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As of September 30, 2015, we continued to conclude that the positive evidence in favor of releasing the valuation allowance in the relevant tax-paying entities outweighed the negative evidence and that it is more likely than not that these entities will be able to realize deferred tax assets. During the quarter ended September 30, 2015, we recorded an additional deferred tax benefit of approximately $18,000 from the release of valuation allowance on deferred tax assets based on our estimate of operating income in 2015. In addition, during the quarter ended September 30, 2015, we recorded a deferred tax expense of approximately $161,000 relating to the reduction of a deferred tax asset as a result of the partial extinguishment of our tax receivable agreement obligation. See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323"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97" w:lineRule="exact"/>
        <w:rPr>
          <w:sz w:val="20"/>
          <w:szCs w:val="20"/>
          <w:color w:val="auto"/>
        </w:rPr>
      </w:pPr>
    </w:p>
    <w:p>
      <w:pPr>
        <w:ind w:right="100" w:firstLine="457"/>
        <w:spacing w:after="0" w:line="270" w:lineRule="auto"/>
        <w:rPr>
          <w:sz w:val="20"/>
          <w:szCs w:val="20"/>
          <w:color w:val="auto"/>
        </w:rPr>
      </w:pPr>
      <w:r>
        <w:rPr>
          <w:rFonts w:ascii="Times New Roman" w:cs="Times New Roman" w:eastAsia="Times New Roman" w:hAnsi="Times New Roman"/>
          <w:sz w:val="16"/>
          <w:szCs w:val="16"/>
          <w:color w:val="auto"/>
        </w:rPr>
        <w:t>In connection with our initial public offering and related transactions in May 2005, we entered into a tax receivable agreement with the predecessor of LMDC Holdings LLC (“LMDC Holdings”) on May 10, 2005 (the “Tax Receivable Agreement”). The agreement was based on the mutual recognition that the redemption of Lazard Group membership interests that were held by the historical partners of Lazard Group on May 10, 2005 for cash resulted in an increase in the tax basis of the tangible and intangible assets of Lazard Group attributable to our subsidiaries’ interest in Lazard Group that otherwise would not have been available. The agreement also was based on the mutual recognition that the exchange from time to time by such historical partners of exchangeable interests in LAZ-MD Holdings LLC for shares of our Class A common stock could subsequently result in additional increases in such tax basis.</w:t>
      </w:r>
    </w:p>
    <w:p>
      <w:pPr>
        <w:spacing w:after="0" w:line="117" w:lineRule="exact"/>
        <w:rPr>
          <w:sz w:val="20"/>
          <w:szCs w:val="20"/>
          <w:color w:val="auto"/>
        </w:rPr>
      </w:pPr>
    </w:p>
    <w:p>
      <w:pPr>
        <w:ind w:right="20" w:firstLine="457"/>
        <w:spacing w:after="0" w:line="270" w:lineRule="auto"/>
        <w:rPr>
          <w:sz w:val="20"/>
          <w:szCs w:val="20"/>
          <w:color w:val="auto"/>
        </w:rPr>
      </w:pPr>
      <w:r>
        <w:rPr>
          <w:rFonts w:ascii="Times New Roman" w:cs="Times New Roman" w:eastAsia="Times New Roman" w:hAnsi="Times New Roman"/>
          <w:sz w:val="16"/>
          <w:szCs w:val="16"/>
          <w:color w:val="auto"/>
        </w:rPr>
        <w:t>On June 16, 2015, Lazard and LMDC Holdings amended and restated the Tax Receivable Agreement and, on October 26, 2015, Lazard and LTBP Trust, a Delaware statutory trust (the “Trust”), entered into a Second Amended and Restated Tax Receivable Agreement (the “Amended and Restated Tax Receivable Agreement”). Pursuant to these transactions, among other things, (i) LMDC Holdings assigned all of its obligations under the Tax Receivable Agreement, including the obligation to receive payments and promptly distribute them to historical partners of Lazard Group, to LTBP Trust, and the Trust assumed all of LMDC Holdings’ obligations thereunder, (ii) LMDC Holdings distributed the interests in the Trust to certain owners of LMDC Holdings, and (iii) holders of interests in the Trust obtained the ability, subject to certain restrictions and conditions, to transfer such interests to certain additional persons and entities, including Lazard.</w:t>
      </w:r>
    </w:p>
    <w:p>
      <w:pPr>
        <w:spacing w:after="0" w:line="117" w:lineRule="exact"/>
        <w:rPr>
          <w:sz w:val="20"/>
          <w:szCs w:val="20"/>
          <w:color w:val="auto"/>
        </w:rPr>
      </w:pPr>
    </w:p>
    <w:p>
      <w:pPr>
        <w:ind w:right="40" w:firstLine="457"/>
        <w:spacing w:after="0" w:line="270" w:lineRule="auto"/>
        <w:rPr>
          <w:sz w:val="20"/>
          <w:szCs w:val="20"/>
          <w:color w:val="auto"/>
        </w:rPr>
      </w:pPr>
      <w:r>
        <w:rPr>
          <w:rFonts w:ascii="Times New Roman" w:cs="Times New Roman" w:eastAsia="Times New Roman" w:hAnsi="Times New Roman"/>
          <w:sz w:val="16"/>
          <w:szCs w:val="16"/>
          <w:color w:val="auto"/>
        </w:rPr>
        <w:t>The Amended and Restated Tax Receivable Agreement provides for the payment by our subsidiaries to the Trust of (i) approximately 45% (following the July 2015 purchase described below) of the amount of cash savings, if any, in U.S. federal, state and local income tax or franchise tax that we actually realize as a result of the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434" w:right="23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6"/>
          <w:szCs w:val="16"/>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the tangible and intangible assets of Lazard Group attributable to our subsidiaries’ interest in Lazard Group as a result of the redemption and exchanges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15" w:lineRule="exact"/>
        <w:rPr>
          <w:sz w:val="20"/>
          <w:szCs w:val="20"/>
          <w:color w:val="auto"/>
        </w:rPr>
      </w:pPr>
    </w:p>
    <w:p>
      <w:pPr>
        <w:ind w:right="20" w:firstLine="457"/>
        <w:spacing w:after="0" w:line="301" w:lineRule="auto"/>
        <w:rPr>
          <w:sz w:val="20"/>
          <w:szCs w:val="20"/>
          <w:color w:val="auto"/>
        </w:rPr>
      </w:pPr>
      <w:r>
        <w:rPr>
          <w:rFonts w:ascii="Times New Roman" w:cs="Times New Roman" w:eastAsia="Times New Roman" w:hAnsi="Times New Roman"/>
          <w:sz w:val="16"/>
          <w:szCs w:val="16"/>
          <w:color w:val="auto"/>
        </w:rPr>
        <w:t>As described above,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92"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15"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(benefit) pursuant to tax receivable agreement” on the condensed consolidated statement of operations for the three and nine month periods ended September 30, 2015. In addition, the extinguishment of these payment obligations resulted in a reduction of the tax benefits that would have been attributable to the actual payments and, accordingly, we recorded a deferred tax expense of approximately $161,000 on the condensed consolidated statement of operations for the three month and nine month periods ended September 30, 2015.</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cumulative liability relating to our obligations under the Amended and Restated Tax Receivable Agreement as of September 30, 2015 was $523,907.</w:t>
      </w:r>
    </w:p>
    <w:p>
      <w:pPr>
        <w:spacing w:after="0" w:line="278" w:lineRule="exact"/>
        <w:rPr>
          <w:sz w:val="20"/>
          <w:szCs w:val="20"/>
          <w:color w:val="auto"/>
        </w:rPr>
      </w:pPr>
    </w:p>
    <w:p>
      <w:pPr>
        <w:ind w:left="460" w:hanging="459"/>
        <w:spacing w:after="0"/>
        <w:tabs>
          <w:tab w:leader="none" w:pos="46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NET INCOME PER SHARE OF CLASS A COMMON STOCK</w:t>
      </w:r>
    </w:p>
    <w:p>
      <w:pPr>
        <w:spacing w:after="0" w:line="97"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The Company’s basic and diluted net income per share calculations for the three month and nine month periods ended September 30, 2015 and 2014 are computed as described below.</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Basic Net Income Per Share</w:t>
      </w:r>
    </w:p>
    <w:p>
      <w:pPr>
        <w:spacing w:after="0" w:line="95" w:lineRule="exact"/>
        <w:rPr>
          <w:sz w:val="20"/>
          <w:szCs w:val="20"/>
          <w:color w:val="auto"/>
        </w:rPr>
      </w:pPr>
    </w:p>
    <w:p>
      <w:pPr>
        <w:ind w:right="160" w:firstLine="457"/>
        <w:spacing w:after="0" w:line="304" w:lineRule="auto"/>
        <w:rPr>
          <w:sz w:val="20"/>
          <w:szCs w:val="20"/>
          <w:color w:val="auto"/>
        </w:rPr>
      </w:pPr>
      <w:r>
        <w:rPr>
          <w:rFonts w:ascii="Times New Roman" w:cs="Times New Roman" w:eastAsia="Times New Roman" w:hAnsi="Times New Roman"/>
          <w:sz w:val="16"/>
          <w:szCs w:val="16"/>
          <w:i w:val="1"/>
          <w:iCs w:val="1"/>
          <w:color w:val="auto"/>
        </w:rPr>
        <w:t>Numerator</w:t>
      </w:r>
      <w:r>
        <w:rPr>
          <w:rFonts w:ascii="Times New Roman" w:cs="Times New Roman" w:eastAsia="Times New Roman" w:hAnsi="Times New Roman"/>
          <w:sz w:val="16"/>
          <w:szCs w:val="16"/>
          <w:color w:val="auto"/>
        </w:rPr>
        <w:t>—utilizes net income attributable to Lazard Ltd for the respective periods, plus applicable adjustments to such net income associated with the inclusion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issuable on a non-contingent basis.</w:t>
      </w:r>
    </w:p>
    <w:p>
      <w:pPr>
        <w:spacing w:after="0" w:line="88" w:lineRule="exact"/>
        <w:rPr>
          <w:sz w:val="20"/>
          <w:szCs w:val="20"/>
          <w:color w:val="auto"/>
        </w:rPr>
      </w:pPr>
    </w:p>
    <w:p>
      <w:pPr>
        <w:ind w:right="220" w:firstLine="457"/>
        <w:spacing w:after="0" w:line="304" w:lineRule="auto"/>
        <w:rPr>
          <w:sz w:val="20"/>
          <w:szCs w:val="20"/>
          <w:color w:val="auto"/>
        </w:rPr>
      </w:pPr>
      <w:r>
        <w:rPr>
          <w:rFonts w:ascii="Times New Roman" w:cs="Times New Roman" w:eastAsia="Times New Roman" w:hAnsi="Times New Roman"/>
          <w:sz w:val="16"/>
          <w:szCs w:val="16"/>
          <w:i w:val="1"/>
          <w:iCs w:val="1"/>
          <w:color w:val="auto"/>
        </w:rPr>
        <w:t>Denominator</w:t>
      </w:r>
      <w:r>
        <w:rPr>
          <w:rFonts w:ascii="Times New Roman" w:cs="Times New Roman" w:eastAsia="Times New Roman" w:hAnsi="Times New Roman"/>
          <w:sz w:val="16"/>
          <w:szCs w:val="16"/>
          <w:color w:val="auto"/>
        </w:rPr>
        <w:t>—utilizes the weighted average number of shares of Class A common stock outstanding for the respective periods, plus applicable adjustments to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associated with shares of Class A common stock issuable on a non-contingent basis.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20"/>
          </w:cols>
          <w:pgMar w:left="240" w:top="434" w:right="23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Diluted Net Income Per Share</w:t>
      </w:r>
    </w:p>
    <w:p>
      <w:pPr>
        <w:spacing w:after="0" w:line="95" w:lineRule="exact"/>
        <w:rPr>
          <w:sz w:val="20"/>
          <w:szCs w:val="20"/>
          <w:color w:val="auto"/>
        </w:rPr>
      </w:pPr>
    </w:p>
    <w:p>
      <w:pPr>
        <w:ind w:right="40" w:firstLine="457"/>
        <w:spacing w:after="0" w:line="281" w:lineRule="auto"/>
        <w:rPr>
          <w:sz w:val="20"/>
          <w:szCs w:val="20"/>
          <w:color w:val="auto"/>
        </w:rPr>
      </w:pPr>
      <w:r>
        <w:rPr>
          <w:rFonts w:ascii="Times New Roman" w:cs="Times New Roman" w:eastAsia="Times New Roman" w:hAnsi="Times New Roman"/>
          <w:sz w:val="16"/>
          <w:szCs w:val="16"/>
          <w:i w:val="1"/>
          <w:iCs w:val="1"/>
          <w:color w:val="auto"/>
        </w:rPr>
        <w:t>Numerator</w:t>
      </w:r>
      <w:r>
        <w:rPr>
          <w:rFonts w:ascii="Times New Roman" w:cs="Times New Roman" w:eastAsia="Times New Roman" w:hAnsi="Times New Roman"/>
          <w:sz w:val="16"/>
          <w:szCs w:val="16"/>
          <w:color w:val="auto"/>
        </w:rPr>
        <w:t>—utilizes net income attributable to Lazard Ltd for the respective periods as in the basic net income per share calculation described above, plus,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applicable and dilutive, (i) changes in net income attributable to noncontrolling interests resulting from assumed Class A common stock issuances in connection with share-based incentive compensation and, in 2014, on an “as-if-exchanged” basis, amounts applicable to LAZ-MD Holdings exchangeable interests and (ii) income tax related to (i) above.</w:t>
      </w:r>
    </w:p>
    <w:p>
      <w:pPr>
        <w:spacing w:after="0" w:line="310" w:lineRule="exact"/>
        <w:rPr>
          <w:sz w:val="20"/>
          <w:szCs w:val="20"/>
          <w:color w:val="auto"/>
        </w:rPr>
      </w:pPr>
    </w:p>
    <w:p>
      <w:pPr>
        <w:jc w:val="both"/>
        <w:ind w:right="260" w:firstLine="457"/>
        <w:spacing w:after="0" w:line="283" w:lineRule="auto"/>
        <w:rPr>
          <w:sz w:val="20"/>
          <w:szCs w:val="20"/>
          <w:color w:val="auto"/>
        </w:rPr>
      </w:pPr>
      <w:r>
        <w:rPr>
          <w:rFonts w:ascii="Times New Roman" w:cs="Times New Roman" w:eastAsia="Times New Roman" w:hAnsi="Times New Roman"/>
          <w:sz w:val="16"/>
          <w:szCs w:val="16"/>
          <w:i w:val="1"/>
          <w:iCs w:val="1"/>
          <w:color w:val="auto"/>
        </w:rPr>
        <w:t>Denominator</w:t>
      </w:r>
      <w:r>
        <w:rPr>
          <w:rFonts w:ascii="Times New Roman" w:cs="Times New Roman" w:eastAsia="Times New Roman" w:hAnsi="Times New Roman"/>
          <w:sz w:val="16"/>
          <w:szCs w:val="16"/>
          <w:color w:val="auto"/>
        </w:rPr>
        <w:t>—utilizes the weighted average number of shares of Class A common stock outstanding for the respective periods as in the basic net income per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described above, plus, to the extent dilutive, the incremental number of shares of Class A common stock required to settle share-based incentive compensation and, in 2014, LAZ-MD Holdings exchangeable interests, using the “treasury stock” method or the “as-if-exchanged” basis, as applicable.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calculations of the Company’s basic and diluted net income per share and weighted average shares outstanding for the three month and nine month periods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2015 and 2014 are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260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660" w:type="dxa"/>
            <w:vAlign w:val="bottom"/>
            <w:tcBorders>
              <w:bottom w:val="single" w:sz="8" w:color="auto"/>
            </w:tcBorders>
            <w:gridSpan w:val="3"/>
          </w:tcPr>
          <w:p>
            <w:pPr>
              <w:jc w:val="center"/>
              <w:ind w:left="763"/>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bottom w:val="single" w:sz="8" w:color="auto"/>
            </w:tcBorders>
            <w:gridSpan w:val="3"/>
          </w:tcPr>
          <w:p>
            <w:pPr>
              <w:jc w:val="center"/>
              <w:ind w:left="763"/>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36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38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Lazard Ltd - 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$398,521</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$88,859</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$254,893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Add - dilutive effect, as applicable,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income relating to interest expense and changes in net income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attributable to noncontrolling interests resulting from assumed Class A common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stock issuances in connection with share-based incentive compensation, and, 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2014, exchangeable interests, net of tax</w:t>
            </w: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6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Lazard Ltd - diluted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$398,521</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$88,856</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$828,587</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125,852,995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121,800,294</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125,192,436</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121,954,428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Add - adjustment for shares of Class A common stock issuable on a non-contingent basis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72,011</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406,620</w:t>
            </w: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72,011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outstanding - 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125,925,006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122,206,914</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125,264,447</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122,366,632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Add - dilutive effect, as applicable,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Weighted average number of incremental shares of Class A common stock issuable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from share-based incentive compensation and, in 2014, exchangeable interests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7,190,413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11,359,770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7,954,690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 outstanding - diluted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133,115,419</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133,566,684</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133,219,137</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133,722,776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Lazard Ltd per share of Class A common stock:</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$6.22</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6"/>
                <w:szCs w:val="16"/>
                <w:color w:val="auto"/>
              </w:rPr>
              <w:t>38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1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REGULATORY AUTHORITIES</w:t>
      </w:r>
    </w:p>
    <w:p>
      <w:pPr>
        <w:spacing w:after="0" w:line="97"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6"/>
          <w:szCs w:val="16"/>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Times New Roman" w:cs="Times New Roman" w:eastAsia="Times New Roman" w:hAnsi="Times New Roman"/>
          <w:sz w:val="10"/>
          <w:szCs w:val="10"/>
          <w:color w:val="auto"/>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2015, LFNY’s regulatory net capital was $207,189, which exceeded the minimum requirement by $203,374. LFNY’s aggregate indebtedness to net capital ratio was 0.28:1 as of September 30, 2015.</w:t>
      </w:r>
    </w:p>
    <w:p>
      <w:pPr>
        <w:spacing w:after="0" w:line="115" w:lineRule="exact"/>
        <w:rPr>
          <w:sz w:val="20"/>
          <w:szCs w:val="20"/>
          <w:color w:val="auto"/>
        </w:rPr>
      </w:pPr>
    </w:p>
    <w:p>
      <w:pPr>
        <w:ind w:right="200" w:firstLine="457"/>
        <w:spacing w:after="0" w:line="282" w:lineRule="auto"/>
        <w:rPr>
          <w:sz w:val="20"/>
          <w:szCs w:val="20"/>
          <w:color w:val="auto"/>
        </w:rPr>
      </w:pPr>
      <w:r>
        <w:rPr>
          <w:rFonts w:ascii="Times New Roman" w:cs="Times New Roman" w:eastAsia="Times New Roman" w:hAnsi="Times New Roman"/>
          <w:sz w:val="16"/>
          <w:szCs w:val="16"/>
          <w:color w:val="auto"/>
        </w:rPr>
        <w:t>Certain U.K. subsidiaries of the Company, including LCL, Lazard Fund Managers Limited and Lazard Asset Management Limited (collectively, the “U.K. Subsidiaries”) are regulated by the Financial Conduct Authority. At September 30, 2015, the aggregate regulatory net capital of the U.K. Subsidiaries was $119,490, which exceeded the minimum requirement by $101,713.</w:t>
      </w:r>
    </w:p>
    <w:p>
      <w:pPr>
        <w:spacing w:after="0" w:line="107" w:lineRule="exact"/>
        <w:rPr>
          <w:sz w:val="20"/>
          <w:szCs w:val="20"/>
          <w:color w:val="auto"/>
        </w:rPr>
      </w:pPr>
    </w:p>
    <w:p>
      <w:pPr>
        <w:ind w:firstLine="457"/>
        <w:spacing w:after="0" w:line="265" w:lineRule="auto"/>
        <w:rPr>
          <w:sz w:val="20"/>
          <w:szCs w:val="20"/>
          <w:color w:val="auto"/>
        </w:rPr>
      </w:pPr>
      <w:r>
        <w:rPr>
          <w:rFonts w:ascii="Times New Roman" w:cs="Times New Roman" w:eastAsia="Times New Roman" w:hAnsi="Times New Roman"/>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September 30, 2015, the consolidated regulatory net capital of CFLF was $134,142, which exceeded the minimum requirement set for regulatory capital levels by $89,369.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quarterly basis and satisfy periodic financial and other reporting obligations. At June 30, 2015, the regulatory net capital of the combined European regulated group was $179,780, which exceeded the minimum requirement set for regulatory capital levels by $115,014.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8"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Certain other U.S. and non-U.S. subsidiaries are subject to various capital adequacy requirements promulgated by various regulatory and exchange authorities in the countries in which they operate. At September 30, 2015, for those subsidiaries with regulatory capital requirements, their aggregate net capital was $108,221, which exceeded the minimum required capital by $75,949.</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 September 30, 2015, each of these subsidiaries individually was in compliance with its regulatory capital requirements.</w:t>
      </w:r>
    </w:p>
    <w:p>
      <w:pPr>
        <w:spacing w:after="0" w:line="168" w:lineRule="exact"/>
        <w:rPr>
          <w:sz w:val="20"/>
          <w:szCs w:val="20"/>
          <w:color w:val="auto"/>
        </w:rPr>
      </w:pPr>
    </w:p>
    <w:p>
      <w:pPr>
        <w:ind w:right="100" w:firstLine="457"/>
        <w:spacing w:after="0" w:line="301" w:lineRule="auto"/>
        <w:rPr>
          <w:sz w:val="20"/>
          <w:szCs w:val="20"/>
          <w:color w:val="auto"/>
        </w:rPr>
      </w:pPr>
      <w:r>
        <w:rPr>
          <w:rFonts w:ascii="Times New Roman" w:cs="Times New Roman" w:eastAsia="Times New Roman" w:hAnsi="Times New Roman"/>
          <w:sz w:val="16"/>
          <w:szCs w:val="16"/>
          <w:color w:val="auto"/>
        </w:rPr>
        <w:t>Any new or expanded rules and regulations that may be adopted in countries in which we operate (including regulations that have not yet been proposed) could affect us in other ways.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00"/>
          </w:cols>
          <w:pgMar w:left="240" w:top="434" w:right="25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39" w:lineRule="exact"/>
        <w:rPr>
          <w:sz w:val="20"/>
          <w:szCs w:val="20"/>
          <w:color w:val="auto"/>
        </w:rPr>
      </w:pPr>
    </w:p>
    <w:p>
      <w:pPr>
        <w:ind w:left="460" w:hanging="459"/>
        <w:spacing w:after="0"/>
        <w:tabs>
          <w:tab w:leader="none" w:pos="46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SEGMENT INFORMATION</w:t>
      </w:r>
    </w:p>
    <w:p>
      <w:pPr>
        <w:spacing w:after="0" w:line="97" w:lineRule="exact"/>
        <w:rPr>
          <w:sz w:val="20"/>
          <w:szCs w:val="20"/>
          <w:color w:val="auto"/>
        </w:rPr>
      </w:pPr>
    </w:p>
    <w:p>
      <w:pPr>
        <w:ind w:right="120" w:firstLine="457"/>
        <w:spacing w:after="0" w:line="272" w:lineRule="auto"/>
        <w:rPr>
          <w:sz w:val="20"/>
          <w:szCs w:val="20"/>
          <w:color w:val="auto"/>
        </w:rPr>
      </w:pPr>
      <w:r>
        <w:rPr>
          <w:rFonts w:ascii="Times New Roman" w:cs="Times New Roman" w:eastAsia="Times New Roman" w:hAnsi="Times New Roman"/>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Company’s segment information for the three month and nine month periods ended September 30, 2015 and 2014 is prepared using the following methodology:</w:t>
      </w:r>
    </w:p>
    <w:p>
      <w:pPr>
        <w:spacing w:after="0" w:line="93" w:lineRule="exact"/>
        <w:rPr>
          <w:sz w:val="20"/>
          <w:szCs w:val="20"/>
          <w:color w:val="auto"/>
        </w:rPr>
      </w:pPr>
    </w:p>
    <w:p>
      <w:pPr>
        <w:ind w:left="900" w:hanging="333"/>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and expenses directly associated with each segment are included in determining operating income.</w:t>
      </w:r>
    </w:p>
    <w:p>
      <w:pPr>
        <w:spacing w:after="0" w:line="92" w:lineRule="exact"/>
        <w:rPr>
          <w:rFonts w:ascii="Times New Roman" w:cs="Times New Roman" w:eastAsia="Times New Roman" w:hAnsi="Times New Roman"/>
          <w:sz w:val="16"/>
          <w:szCs w:val="16"/>
          <w:color w:val="auto"/>
        </w:rPr>
      </w:pPr>
    </w:p>
    <w:p>
      <w:pPr>
        <w:ind w:left="900" w:hanging="333"/>
        <w:spacing w:after="0" w:line="301"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not directly associated with specific segments are allocated based on the most relevant measures applicable, including headcount, square footage and other factors.</w:t>
      </w:r>
    </w:p>
    <w:p>
      <w:pPr>
        <w:spacing w:after="0" w:line="16" w:lineRule="exact"/>
        <w:rPr>
          <w:rFonts w:ascii="Times New Roman" w:cs="Times New Roman" w:eastAsia="Times New Roman" w:hAnsi="Times New Roman"/>
          <w:sz w:val="16"/>
          <w:szCs w:val="16"/>
          <w:color w:val="auto"/>
        </w:rPr>
      </w:pPr>
    </w:p>
    <w:p>
      <w:pPr>
        <w:ind w:left="900" w:right="80" w:hanging="333"/>
        <w:spacing w:after="0" w:line="301"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92" w:lineRule="exact"/>
        <w:rPr>
          <w:sz w:val="20"/>
          <w:szCs w:val="20"/>
          <w:color w:val="auto"/>
        </w:rPr>
      </w:pPr>
    </w:p>
    <w:p>
      <w:pPr>
        <w:ind w:right="60" w:firstLine="457"/>
        <w:spacing w:after="0" w:line="301" w:lineRule="auto"/>
        <w:rPr>
          <w:sz w:val="20"/>
          <w:szCs w:val="20"/>
          <w:color w:val="auto"/>
        </w:rPr>
      </w:pPr>
      <w:r>
        <w:rPr>
          <w:rFonts w:ascii="Times New Roman" w:cs="Times New Roman" w:eastAsia="Times New Roman" w:hAnsi="Times New Roman"/>
          <w:sz w:val="16"/>
          <w:szCs w:val="16"/>
          <w:color w:val="auto"/>
        </w:rPr>
        <w:t>The Company allocates investment gains and losses, interest income and interest expense among the various segments based on the segment in which the underlying asset or liability is reported.</w:t>
      </w:r>
    </w:p>
    <w:p>
      <w:pPr>
        <w:spacing w:after="0" w:line="92" w:lineRule="exact"/>
        <w:rPr>
          <w:sz w:val="20"/>
          <w:szCs w:val="20"/>
          <w:color w:val="auto"/>
        </w:rPr>
      </w:pPr>
    </w:p>
    <w:p>
      <w:pPr>
        <w:jc w:val="both"/>
        <w:ind w:right="200" w:firstLine="457"/>
        <w:spacing w:after="0" w:line="275" w:lineRule="auto"/>
        <w:rPr>
          <w:sz w:val="20"/>
          <w:szCs w:val="20"/>
          <w:color w:val="auto"/>
        </w:rPr>
      </w:pPr>
      <w:r>
        <w:rPr>
          <w:rFonts w:ascii="Times New Roman" w:cs="Times New Roman" w:eastAsia="Times New Roman" w:hAnsi="Times New Roman"/>
          <w:sz w:val="16"/>
          <w:szCs w:val="16"/>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320"/>
          </w:cols>
          <w:pgMar w:left="240" w:top="434" w:right="33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for per share data, unless otherwise noted)</w:t>
      </w:r>
    </w:p>
    <w:p>
      <w:pPr>
        <w:spacing w:after="0" w:line="143" w:lineRule="exact"/>
        <w:rPr>
          <w:sz w:val="20"/>
          <w:szCs w:val="20"/>
          <w:color w:val="auto"/>
        </w:rPr>
      </w:pPr>
    </w:p>
    <w:p>
      <w:pPr>
        <w:ind w:right="800" w:firstLine="457"/>
        <w:spacing w:after="0" w:line="301" w:lineRule="auto"/>
        <w:rPr>
          <w:sz w:val="20"/>
          <w:szCs w:val="20"/>
          <w:color w:val="auto"/>
        </w:rPr>
      </w:pPr>
      <w:r>
        <w:rPr>
          <w:rFonts w:ascii="Times New Roman" w:cs="Times New Roman" w:eastAsia="Times New Roman" w:hAnsi="Times New Roman"/>
          <w:sz w:val="16"/>
          <w:szCs w:val="16"/>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36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Advisory</w:t>
            </w: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Revenue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330,832</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948,735</w:t>
            </w:r>
          </w:p>
        </w:tc>
        <w:tc>
          <w:tcPr>
            <w:tcW w:w="3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847,354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261,952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color w:val="auto"/>
              </w:rPr>
              <w:t>758,108</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68,880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35,859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190,627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 Management</w:t>
            </w: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720" w:type="dxa"/>
            <w:vAlign w:val="bottom"/>
            <w:gridSpan w:val="3"/>
            <w:vMerge w:val="continue"/>
          </w:tcPr>
          <w:p>
            <w:pPr>
              <w:spacing w:after="0"/>
              <w:rPr>
                <w:sz w:val="24"/>
                <w:szCs w:val="24"/>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264,581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291,967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color w:val="auto"/>
              </w:rPr>
              <w:t>850,226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179,155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191,501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554,738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552,499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Operating Income</w:t>
            </w:r>
          </w:p>
        </w:tc>
        <w:tc>
          <w:tcPr>
            <w:tcW w:w="9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85,426</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295,488</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(21,895)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(38,602)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Operating Expenses (a)</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(438,333)</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5,768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278"/>
              <w:spacing w:after="0"/>
              <w:rPr>
                <w:sz w:val="20"/>
                <w:szCs w:val="20"/>
                <w:color w:val="auto"/>
              </w:rPr>
            </w:pPr>
            <w:r>
              <w:rPr>
                <w:rFonts w:ascii="Times New Roman" w:cs="Times New Roman" w:eastAsia="Times New Roman" w:hAnsi="Times New Roman"/>
                <w:sz w:val="16"/>
                <w:szCs w:val="16"/>
                <w:color w:val="auto"/>
              </w:rPr>
              <w:t>603,482</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Operating Income (Loss)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416,438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(22,613)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(642,084)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(69,229)</w:t>
            </w: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720" w:type="dxa"/>
            <w:vAlign w:val="bottom"/>
            <w:gridSpan w:val="3"/>
            <w:vMerge w:val="continue"/>
          </w:tcPr>
          <w:p>
            <w:pPr>
              <w:spacing w:after="0"/>
              <w:rPr>
                <w:sz w:val="24"/>
                <w:szCs w:val="24"/>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573,518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566,211</w:t>
            </w:r>
          </w:p>
        </w:tc>
        <w:tc>
          <w:tcPr>
            <w:tcW w:w="1360" w:type="dxa"/>
            <w:vAlign w:val="bottom"/>
            <w:gridSpan w:val="5"/>
          </w:tcPr>
          <w:p>
            <w:pPr>
              <w:jc w:val="right"/>
              <w:ind w:right="278"/>
              <w:spacing w:after="0"/>
              <w:rPr>
                <w:sz w:val="20"/>
                <w:szCs w:val="20"/>
                <w:color w:val="auto"/>
              </w:rPr>
            </w:pPr>
            <w:r>
              <w:rPr>
                <w:rFonts w:ascii="Times New Roman" w:cs="Times New Roman" w:eastAsia="Times New Roman" w:hAnsi="Times New Roman"/>
                <w:sz w:val="16"/>
                <w:szCs w:val="16"/>
                <w:color w:val="auto"/>
              </w:rPr>
              <w:t>$ 1,760,359</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1,666,507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452,499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1,916,328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1,346,635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Operating Income (Loss)</w:t>
            </w:r>
          </w:p>
        </w:tc>
        <w:tc>
          <w:tcPr>
            <w:tcW w:w="9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570,744</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(155,969</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center"/>
              <w:ind w:right="458"/>
              <w:spacing w:after="0" w:line="116"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2"/>
              </w:rPr>
              <w:t>2015</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Financial Advisory</w:t>
            </w:r>
          </w:p>
        </w:tc>
        <w:tc>
          <w:tcPr>
            <w:tcW w:w="3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w w:val="99"/>
              </w:rPr>
              <w:t>742,298</w:t>
            </w: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Asset Management</w:t>
            </w:r>
          </w:p>
        </w:tc>
        <w:tc>
          <w:tcPr>
            <w:tcW w:w="3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515,544</w:t>
            </w: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588,403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Corporate (b)</w:t>
            </w:r>
          </w:p>
        </w:tc>
        <w:tc>
          <w:tcPr>
            <w:tcW w:w="3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117"/>
              <w:spacing w:after="0"/>
              <w:rPr>
                <w:sz w:val="20"/>
                <w:szCs w:val="20"/>
                <w:color w:val="auto"/>
              </w:rPr>
            </w:pPr>
            <w:r>
              <w:rPr>
                <w:rFonts w:ascii="Times New Roman" w:cs="Times New Roman" w:eastAsia="Times New Roman" w:hAnsi="Times New Roman"/>
                <w:sz w:val="16"/>
                <w:szCs w:val="16"/>
                <w:color w:val="auto"/>
              </w:rPr>
              <w:t>2,890,195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1,958,276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$ 4,148,037</w:t>
            </w: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3,332,236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3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right="80" w:hanging="459"/>
        <w:spacing w:after="0" w:line="268" w:lineRule="auto"/>
        <w:tabs>
          <w:tab w:leader="none" w:pos="4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include $(420,792) and $547,691 in the three month and nine month periods ended September 30, 2015, respectively, recorded for the provision (benefit) pursuant to the tax receivable agreement. See Note 14 of Notes to Condensed Consolidated Financial Statements for information regarding the tax receivable agreement obligation.</w:t>
      </w:r>
    </w:p>
    <w:p>
      <w:pPr>
        <w:ind w:left="460" w:hanging="459"/>
        <w:spacing w:after="0" w:line="285" w:lineRule="auto"/>
        <w:tabs>
          <w:tab w:leader="none" w:pos="4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segment assets include amounts recorded for deferred tax assets of $1,113,060 and $59,041 at September 30, 2015 and December 31, 2014, respectively. See Note 14 of Notes to Condensed Consolidated Financial Statements for information regarding deferred tax assets.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434" w:right="23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5" w:lineRule="exact"/>
        <w:rPr>
          <w:sz w:val="20"/>
          <w:szCs w:val="20"/>
          <w:color w:val="auto"/>
        </w:rPr>
      </w:pPr>
    </w:p>
    <w:p>
      <w:pPr>
        <w:ind w:right="40" w:firstLine="457"/>
        <w:spacing w:after="0" w:line="276"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“third quarter”, “first nine months” or “the period” refer to, as the context requires, the three month and nine month periods ended September 30, 2015 and September 30,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 and Certain Factors that May Affect Our Business</w:t>
      </w:r>
    </w:p>
    <w:p>
      <w:pPr>
        <w:spacing w:after="0" w:line="97"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43" w:lineRule="exact"/>
        <w:rPr>
          <w:sz w:val="20"/>
          <w:szCs w:val="20"/>
          <w:color w:val="auto"/>
        </w:rPr>
      </w:pPr>
    </w:p>
    <w:p>
      <w:pPr>
        <w:ind w:left="900" w:hanging="333"/>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general economic conditions or global or regional financial markets;</w:t>
      </w:r>
    </w:p>
    <w:p>
      <w:pPr>
        <w:spacing w:after="0" w:line="92" w:lineRule="exact"/>
        <w:rPr>
          <w:rFonts w:ascii="Times New Roman" w:cs="Times New Roman" w:eastAsia="Times New Roman" w:hAnsi="Times New Roman"/>
          <w:sz w:val="16"/>
          <w:szCs w:val="16"/>
          <w:color w:val="auto"/>
        </w:rPr>
      </w:pPr>
    </w:p>
    <w:p>
      <w:pPr>
        <w:ind w:left="900" w:right="80" w:hanging="333"/>
        <w:spacing w:after="0" w:line="301" w:lineRule="auto"/>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our revenues, for example due to a decline in overall mergers and acquisitions (“M&amp;A”) activity, our share of the M&amp;A market or our assets under management (“AUM”);</w:t>
      </w:r>
    </w:p>
    <w:p>
      <w:pPr>
        <w:spacing w:after="0" w:line="16"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caused by financial or other problems experienced by third parties;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due to unidentified or unanticipated risks;</w:t>
      </w:r>
    </w:p>
    <w:p>
      <w:pPr>
        <w:spacing w:after="0" w:line="90"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lack of liquidity,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ready access to funds, for use in our businesses; and</w:t>
      </w:r>
    </w:p>
    <w:p>
      <w:pPr>
        <w:spacing w:after="0" w:line="94"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pressure on our businesses and on our ability to retain and attract employees at current compensation levels.</w:t>
      </w:r>
    </w:p>
    <w:p>
      <w:pPr>
        <w:spacing w:after="0" w:line="168"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Forward-looking statements include, but are not limited to, statements about:</w:t>
      </w:r>
    </w:p>
    <w:p>
      <w:pPr>
        <w:spacing w:after="0" w:line="93" w:lineRule="exact"/>
        <w:rPr>
          <w:sz w:val="20"/>
          <w:szCs w:val="20"/>
          <w:color w:val="auto"/>
        </w:rPr>
      </w:pPr>
    </w:p>
    <w:p>
      <w:pPr>
        <w:ind w:left="900" w:hanging="333"/>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goals, including the ratio of awarded compensation and benefits expense to operating revenue;</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deploy surplus cash through dividends, share repurchases and debt repurchases;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offset stockholder dilution through share repurchases;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00"/>
          </w:cols>
          <w:pgMar w:left="240" w:top="434" w:right="25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or assumed future results of operations and operating cash flows;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strategies and investment policies;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plans and the availability of short-term borrowing;</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position;</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acquisitions, including the consideration to be paid and the timing of consummation;</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growth opportunities available to our businesses;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recruitment and retention of our managing directors and employees;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levels of compensation expense and non-compensation expense;</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operating performance, achievements, productivity improvements, efficiency and cost reduction efforts;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likelihood of success and impact of litigation;</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tax rates, including effective tax rates;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and tax rates;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certain tax benefits, including certain potential deductions;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impact of certain events or circumstances on our financial statements;</w:t>
      </w:r>
    </w:p>
    <w:p>
      <w:pPr>
        <w:spacing w:after="0" w:line="92" w:lineRule="exact"/>
        <w:rPr>
          <w:rFonts w:ascii="Times New Roman" w:cs="Times New Roman" w:eastAsia="Times New Roman" w:hAnsi="Times New Roman"/>
          <w:sz w:val="16"/>
          <w:szCs w:val="16"/>
          <w:color w:val="auto"/>
        </w:rPr>
      </w:pPr>
    </w:p>
    <w:p>
      <w:pPr>
        <w:ind w:left="900" w:right="420" w:hanging="333"/>
        <w:spacing w:after="0" w:line="301" w:lineRule="auto"/>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16"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competition on our business; and</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future legislation and regulation on our business.</w:t>
      </w:r>
    </w:p>
    <w:p>
      <w:pPr>
        <w:spacing w:after="0" w:line="168"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Times New Roman" w:cs="Times New Roman" w:eastAsia="Times New Roman" w:hAnsi="Times New Roman"/>
          <w:sz w:val="16"/>
          <w:szCs w:val="16"/>
          <w:i w:val="1"/>
          <w:iCs w:val="1"/>
          <w:color w:val="auto"/>
        </w:rPr>
        <w:t>http://www.lazard.com</w:t>
      </w:r>
      <w:r>
        <w:rPr>
          <w:rFonts w:ascii="Times New Roman" w:cs="Times New Roman" w:eastAsia="Times New Roman" w:hAnsi="Times New Roman"/>
          <w:sz w:val="16"/>
          <w:szCs w:val="16"/>
          <w:color w:val="auto"/>
        </w:rPr>
        <w:t>. Our websites and the information contained therein or connected thereto shall not be deemed to be incorporated into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Summary</w:t>
      </w:r>
    </w:p>
    <w:p>
      <w:pPr>
        <w:spacing w:after="0" w:line="97" w:lineRule="exact"/>
        <w:rPr>
          <w:sz w:val="20"/>
          <w:szCs w:val="20"/>
          <w:color w:val="auto"/>
        </w:rPr>
      </w:pPr>
    </w:p>
    <w:p>
      <w:pPr>
        <w:ind w:right="200" w:firstLine="457"/>
        <w:spacing w:after="0" w:line="275" w:lineRule="auto"/>
        <w:rPr>
          <w:sz w:val="20"/>
          <w:szCs w:val="20"/>
          <w:color w:val="auto"/>
        </w:rPr>
      </w:pPr>
      <w:r>
        <w:rPr>
          <w:rFonts w:ascii="Times New Roman" w:cs="Times New Roman" w:eastAsia="Times New Roman" w:hAnsi="Times New Roman"/>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320" w:firstLine="457"/>
        <w:spacing w:after="0" w:line="275" w:lineRule="auto"/>
        <w:rPr>
          <w:sz w:val="20"/>
          <w:szCs w:val="20"/>
          <w:color w:val="auto"/>
        </w:rPr>
      </w:pPr>
      <w:r>
        <w:rPr>
          <w:rFonts w:ascii="Times New Roman" w:cs="Times New Roman" w:eastAsia="Times New Roman" w:hAnsi="Times New Roman"/>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380"/>
          </w:cols>
          <w:pgMar w:left="240" w:top="434" w:right="27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principal sources of revenue are derived from activities in the following business segments:</w:t>
      </w:r>
    </w:p>
    <w:p>
      <w:pPr>
        <w:spacing w:after="0" w:line="93" w:lineRule="exact"/>
        <w:rPr>
          <w:sz w:val="20"/>
          <w:szCs w:val="20"/>
          <w:color w:val="auto"/>
        </w:rPr>
      </w:pPr>
    </w:p>
    <w:p>
      <w:pPr>
        <w:ind w:left="900" w:right="260" w:hanging="333"/>
        <w:spacing w:after="0" w:line="301"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16" w:lineRule="exact"/>
        <w:rPr>
          <w:rFonts w:ascii="Times New Roman" w:cs="Times New Roman" w:eastAsia="Times New Roman" w:hAnsi="Times New Roman"/>
          <w:sz w:val="16"/>
          <w:szCs w:val="16"/>
          <w:color w:val="auto"/>
        </w:rPr>
      </w:pPr>
    </w:p>
    <w:p>
      <w:pPr>
        <w:ind w:left="900" w:right="420" w:hanging="333"/>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07" w:lineRule="exact"/>
        <w:rPr>
          <w:sz w:val="20"/>
          <w:szCs w:val="20"/>
          <w:color w:val="auto"/>
        </w:rPr>
      </w:pPr>
    </w:p>
    <w:p>
      <w:pPr>
        <w:ind w:right="260" w:firstLine="457"/>
        <w:spacing w:after="0" w:line="301" w:lineRule="auto"/>
        <w:rPr>
          <w:sz w:val="20"/>
          <w:szCs w:val="20"/>
          <w:color w:val="auto"/>
        </w:rPr>
      </w:pPr>
      <w:r>
        <w:rPr>
          <w:rFonts w:ascii="Times New Roman" w:cs="Times New Roman" w:eastAsia="Times New Roman" w:hAnsi="Times New Roman"/>
          <w:sz w:val="16"/>
          <w:szCs w:val="16"/>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92" w:lineRule="exact"/>
        <w:rPr>
          <w:sz w:val="20"/>
          <w:szCs w:val="20"/>
          <w:color w:val="auto"/>
        </w:rPr>
      </w:pPr>
    </w:p>
    <w:p>
      <w:pPr>
        <w:ind w:right="160" w:firstLine="457"/>
        <w:spacing w:after="0" w:line="282" w:lineRule="auto"/>
        <w:rPr>
          <w:sz w:val="20"/>
          <w:szCs w:val="20"/>
          <w:color w:val="auto"/>
        </w:rPr>
      </w:pPr>
      <w:r>
        <w:rPr>
          <w:rFonts w:ascii="Times New Roman" w:cs="Times New Roman" w:eastAsia="Times New Roman" w:hAnsi="Times New Roman"/>
          <w:sz w:val="16"/>
          <w:szCs w:val="16"/>
          <w:color w:val="auto"/>
        </w:rPr>
        <w:t>LFB is a registered bank regulated by the Autorité de Contrôle Prudentiel et de Résolution (“ACPR”). It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consolidated net revenue was derived from the following segments: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w w:val="94"/>
              </w:rPr>
              <w:t>Three Months Ended</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3"/>
          </w:tcPr>
          <w:p>
            <w:pPr>
              <w:jc w:val="center"/>
              <w:ind w:left="324"/>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w w:val="92"/>
              </w:rPr>
              <w:t>2014</w:t>
            </w:r>
          </w:p>
        </w:tc>
        <w:tc>
          <w:tcPr>
            <w:tcW w:w="8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6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w w:val="92"/>
              </w:rPr>
              <w:t>2014</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Advisory</w:t>
            </w:r>
          </w:p>
        </w:tc>
        <w:tc>
          <w:tcPr>
            <w:tcW w:w="1340" w:type="dxa"/>
            <w:vAlign w:val="bottom"/>
            <w:gridSpan w:val="2"/>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51%</w:t>
            </w:r>
          </w:p>
        </w:tc>
        <w:tc>
          <w:tcPr>
            <w:tcW w:w="1360" w:type="dxa"/>
            <w:vAlign w:val="bottom"/>
            <w:gridSpan w:val="2"/>
            <w:shd w:val="clear" w:color="auto" w:fill="CCEEFF"/>
          </w:tcPr>
          <w:p>
            <w:pPr>
              <w:jc w:val="right"/>
              <w:ind w:right="657"/>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1"/>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Asset Management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20" w:type="dxa"/>
            <w:vAlign w:val="bottom"/>
          </w:tcPr>
          <w:p>
            <w:pPr>
              <w:spacing w:after="0"/>
              <w:rPr>
                <w:sz w:val="17"/>
                <w:szCs w:val="17"/>
                <w:color w:val="auto"/>
              </w:rPr>
            </w:pPr>
          </w:p>
        </w:tc>
        <w:tc>
          <w:tcPr>
            <w:tcW w:w="1360" w:type="dxa"/>
            <w:vAlign w:val="bottom"/>
            <w:gridSpan w:val="2"/>
          </w:tcPr>
          <w:p>
            <w:pPr>
              <w:jc w:val="right"/>
              <w:ind w:right="777"/>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w:t>
            </w:r>
          </w:p>
        </w:tc>
        <w:tc>
          <w:tcPr>
            <w:tcW w:w="134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gridSpan w:val="2"/>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80" w:type="dxa"/>
            <w:vAlign w:val="bottom"/>
            <w:vMerge w:val="continue"/>
          </w:tcPr>
          <w:p>
            <w:pPr>
              <w:spacing w:after="0"/>
              <w:rPr>
                <w:sz w:val="17"/>
                <w:szCs w:val="17"/>
                <w:color w:val="auto"/>
              </w:rPr>
            </w:pPr>
          </w:p>
        </w:tc>
        <w:tc>
          <w:tcPr>
            <w:tcW w:w="1340" w:type="dxa"/>
            <w:vAlign w:val="bottom"/>
            <w:gridSpan w:val="2"/>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gridSpan w:val="2"/>
          </w:tcPr>
          <w:p>
            <w:pPr>
              <w:jc w:val="right"/>
              <w:ind w:right="657"/>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an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Environment and Outlook</w:t>
      </w:r>
    </w:p>
    <w:p>
      <w:pPr>
        <w:spacing w:after="0" w:line="97" w:lineRule="exact"/>
        <w:rPr>
          <w:sz w:val="20"/>
          <w:szCs w:val="20"/>
          <w:color w:val="auto"/>
        </w:rPr>
      </w:pPr>
    </w:p>
    <w:p>
      <w:pPr>
        <w:ind w:right="60" w:firstLine="457"/>
        <w:spacing w:after="0" w:line="272" w:lineRule="auto"/>
        <w:rPr>
          <w:sz w:val="20"/>
          <w:szCs w:val="20"/>
          <w:color w:val="auto"/>
        </w:rPr>
      </w:pPr>
      <w:r>
        <w:rPr>
          <w:rFonts w:ascii="Times New Roman" w:cs="Times New Roman" w:eastAsia="Times New Roman" w:hAnsi="Times New Roman"/>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5" w:lineRule="exact"/>
        <w:rPr>
          <w:sz w:val="20"/>
          <w:szCs w:val="20"/>
          <w:color w:val="auto"/>
        </w:rPr>
      </w:pPr>
    </w:p>
    <w:p>
      <w:pPr>
        <w:ind w:right="80" w:firstLine="457"/>
        <w:spacing w:after="0" w:line="301" w:lineRule="auto"/>
        <w:rPr>
          <w:sz w:val="20"/>
          <w:szCs w:val="20"/>
          <w:color w:val="auto"/>
        </w:rPr>
      </w:pPr>
      <w:r>
        <w:rPr>
          <w:rFonts w:ascii="Times New Roman" w:cs="Times New Roman" w:eastAsia="Times New Roman" w:hAnsi="Times New Roman"/>
          <w:sz w:val="16"/>
          <w:szCs w:val="16"/>
          <w:color w:val="auto"/>
        </w:rPr>
        <w:t>Equity market indices for developed markets at September 30, 2015 generally decreased as compared to such indices at December 31, 2014. Emerging markets equity indices at September 30, 2015 have also generally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20"/>
          </w:cols>
          <w:pgMar w:left="240" w:top="434" w:right="23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decreased as compared to December 31, 2014. In the global M&amp;A markets during the first nine months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completed and announced transactions (excluding the subset of completed and announced transactions involving values greater than $500 million) decreased. During the first nine months of 2015, global restructuring activity remained low, consistent with the last several years.</w:t>
      </w:r>
    </w:p>
    <w:p>
      <w:pPr>
        <w:spacing w:after="0" w:line="117" w:lineRule="exact"/>
        <w:rPr>
          <w:sz w:val="20"/>
          <w:szCs w:val="20"/>
          <w:color w:val="auto"/>
        </w:rPr>
      </w:pPr>
    </w:p>
    <w:p>
      <w:pPr>
        <w:jc w:val="both"/>
        <w:ind w:right="60" w:firstLine="457"/>
        <w:spacing w:after="0" w:line="282" w:lineRule="auto"/>
        <w:rPr>
          <w:sz w:val="20"/>
          <w:szCs w:val="20"/>
          <w:color w:val="auto"/>
        </w:rPr>
      </w:pPr>
      <w:r>
        <w:rPr>
          <w:rFonts w:ascii="Times New Roman" w:cs="Times New Roman" w:eastAsia="Times New Roman" w:hAnsi="Times New Roman"/>
          <w:sz w:val="16"/>
          <w:szCs w:val="16"/>
          <w:color w:val="auto"/>
        </w:rPr>
        <w:t>In the first nine months of 2015, corporate cash balances remain high and interest rates remain low. The U.S. macroeconomic environment has improved, but Europe and many of the developing markets remain unsettled, particularly with respect to foreign exchange markets. Although market and foreign currency volatility may continue, the longer-term trends appear to remain favorable for both of our businesses.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outlook with respect to our Financial Advisory and Asset Management businesses is described below.</w:t>
      </w:r>
    </w:p>
    <w:p>
      <w:pPr>
        <w:spacing w:after="0" w:line="89" w:lineRule="exact"/>
        <w:rPr>
          <w:sz w:val="20"/>
          <w:szCs w:val="20"/>
          <w:color w:val="auto"/>
        </w:rPr>
      </w:pPr>
    </w:p>
    <w:p>
      <w:pPr>
        <w:ind w:left="900" w:hanging="333"/>
        <w:spacing w:after="0" w:line="273"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Financial Advisory </w:t>
      </w:r>
      <w:r>
        <w:rPr>
          <w:rFonts w:ascii="Times New Roman" w:cs="Times New Roman" w:eastAsia="Times New Roman" w:hAnsi="Times New Roman"/>
          <w:sz w:val="16"/>
          <w:szCs w:val="16"/>
          <w:color w:val="auto"/>
        </w:rPr>
        <w:t>– The fundamentals for continued M&amp;A activity generally appear to remain in place. Demand continues for expert, independent strategic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35" w:lineRule="exact"/>
        <w:rPr>
          <w:rFonts w:ascii="Times New Roman" w:cs="Times New Roman" w:eastAsia="Times New Roman" w:hAnsi="Times New Roman"/>
          <w:sz w:val="16"/>
          <w:szCs w:val="16"/>
          <w:color w:val="auto"/>
        </w:rPr>
      </w:pPr>
    </w:p>
    <w:p>
      <w:pPr>
        <w:ind w:left="900" w:right="20" w:hanging="333"/>
        <w:spacing w:after="0" w:line="268"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Asset Management </w:t>
      </w:r>
      <w:r>
        <w:rPr>
          <w:rFonts w:ascii="Times New Roman" w:cs="Times New Roman" w:eastAsia="Times New Roman" w:hAnsi="Times New Roman"/>
          <w:sz w:val="16"/>
          <w:szCs w:val="16"/>
          <w:color w:val="auto"/>
        </w:rPr>
        <w:t>– Generally, we have seen investor demand across regions and investment platforms. In the short to intermediate term, we expect most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growth will come from defined benefit and defined contribution plans in the developed economies because of their sheer scope and size. Over the longer term, we expect an increasing share of our AUM to come from the developing economies in Asia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U.S. Long/Short Equity, European Long/Short Equity, Quantitative Equity, Middle East North African Equities and Asian Equities.</w:t>
      </w:r>
    </w:p>
    <w:p>
      <w:pPr>
        <w:spacing w:after="0" w:line="118" w:lineRule="exact"/>
        <w:rPr>
          <w:sz w:val="20"/>
          <w:szCs w:val="20"/>
          <w:color w:val="auto"/>
        </w:rPr>
      </w:pPr>
    </w:p>
    <w:p>
      <w:pPr>
        <w:ind w:right="80" w:firstLine="457"/>
        <w:spacing w:after="0" w:line="274" w:lineRule="auto"/>
        <w:rPr>
          <w:sz w:val="20"/>
          <w:szCs w:val="20"/>
          <w:color w:val="auto"/>
        </w:rPr>
      </w:pPr>
      <w:r>
        <w:rPr>
          <w:rFonts w:ascii="Times New Roman" w:cs="Times New Roman" w:eastAsia="Times New Roman" w:hAnsi="Times New Roman"/>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340"/>
          </w:cols>
          <w:pgMar w:left="240" w:top="434" w:right="31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340" w:firstLine="457"/>
        <w:spacing w:after="0" w:line="301" w:lineRule="auto"/>
        <w:rPr>
          <w:sz w:val="20"/>
          <w:szCs w:val="20"/>
          <w:color w:val="auto"/>
        </w:rPr>
      </w:pPr>
      <w:r>
        <w:rPr>
          <w:rFonts w:ascii="Times New Roman" w:cs="Times New Roman" w:eastAsia="Times New Roman" w:hAnsi="Times New Roman"/>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Certain data with respect to our Financial Advisory and Asset Management businesses is included below.</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Financial Advisory</w:t>
      </w:r>
    </w:p>
    <w:p>
      <w:pPr>
        <w:spacing w:after="0" w:line="97" w:lineRule="exact"/>
        <w:rPr>
          <w:sz w:val="20"/>
          <w:szCs w:val="20"/>
          <w:color w:val="auto"/>
        </w:rPr>
      </w:pPr>
    </w:p>
    <w:p>
      <w:pPr>
        <w:ind w:right="40" w:firstLine="457"/>
        <w:spacing w:after="0" w:line="274" w:lineRule="auto"/>
        <w:rPr>
          <w:sz w:val="20"/>
          <w:szCs w:val="20"/>
          <w:color w:val="auto"/>
        </w:rPr>
      </w:pPr>
      <w:r>
        <w:rPr>
          <w:rFonts w:ascii="Times New Roman" w:cs="Times New Roman" w:eastAsia="Times New Roman" w:hAnsi="Times New Roman"/>
          <w:sz w:val="16"/>
          <w:szCs w:val="16"/>
          <w:color w:val="auto"/>
        </w:rPr>
        <w:t>As reflected in the following table, which sets forth global M&amp;A industry statistics, the value of all completed transactions, including completed transactions with values greater than $500 million, increased in the first nine months of 2015 as compared to the first nine months of 2014, while the number of all completed transactions decreased over the same period. With respect to announced M&amp;A transactions, the value of all announced transactions, including announced transactions with values greater than $500 million, increased in the first nine months of 2015 as compared to the first nine months of 2014, while the number of all announced transactions decreased over the same period.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3"/>
        </w:trPr>
        <w:tc>
          <w:tcPr>
            <w:tcW w:w="3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16"/>
        </w:trPr>
        <w:tc>
          <w:tcPr>
            <w:tcW w:w="3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jc w:val="right"/>
              <w:ind w:right="202"/>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ind w:right="202"/>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53"/>
        </w:trPr>
        <w:tc>
          <w:tcPr>
            <w:tcW w:w="3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440" w:type="dxa"/>
            <w:vAlign w:val="bottom"/>
          </w:tcPr>
          <w:p>
            <w:pPr>
              <w:spacing w:after="0"/>
              <w:rPr>
                <w:sz w:val="13"/>
                <w:szCs w:val="13"/>
                <w:color w:val="auto"/>
              </w:rPr>
            </w:pPr>
          </w:p>
        </w:tc>
        <w:tc>
          <w:tcPr>
            <w:tcW w:w="940" w:type="dxa"/>
            <w:vAlign w:val="bottom"/>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460" w:type="dxa"/>
            <w:vAlign w:val="bottom"/>
            <w:gridSpan w:val="2"/>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rPr>
              <w:t>Incr / (Decr)</w:t>
            </w:r>
          </w:p>
        </w:tc>
        <w:tc>
          <w:tcPr>
            <w:tcW w:w="80" w:type="dxa"/>
            <w:vAlign w:val="bottom"/>
          </w:tcPr>
          <w:p>
            <w:pPr>
              <w:spacing w:after="0"/>
              <w:rPr>
                <w:sz w:val="13"/>
                <w:szCs w:val="13"/>
                <w:color w:val="auto"/>
              </w:rPr>
            </w:pPr>
          </w:p>
        </w:tc>
        <w:tc>
          <w:tcPr>
            <w:tcW w:w="64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2015</w:t>
            </w:r>
          </w:p>
        </w:tc>
        <w:tc>
          <w:tcPr>
            <w:tcW w:w="440" w:type="dxa"/>
            <w:vAlign w:val="bottom"/>
          </w:tcPr>
          <w:p>
            <w:pPr>
              <w:spacing w:after="0"/>
              <w:rPr>
                <w:sz w:val="13"/>
                <w:szCs w:val="13"/>
                <w:color w:val="auto"/>
              </w:rPr>
            </w:pPr>
          </w:p>
        </w:tc>
        <w:tc>
          <w:tcPr>
            <w:tcW w:w="900" w:type="dxa"/>
            <w:vAlign w:val="bottom"/>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Incr / (Decr)</w:t>
            </w:r>
          </w:p>
        </w:tc>
      </w:tr>
      <w:tr>
        <w:trPr>
          <w:trHeight w:val="144"/>
        </w:trPr>
        <w:tc>
          <w:tcPr>
            <w:tcW w:w="3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8"/>
              </w:rPr>
              <w:t>($ in billions)</w:t>
            </w: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01"/>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Completed M&amp;A Transactions: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3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All deals: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3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Value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957</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727</w:t>
            </w:r>
          </w:p>
        </w:tc>
        <w:tc>
          <w:tcPr>
            <w:tcW w:w="146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2,871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2,089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r>
      <w:tr>
        <w:trPr>
          <w:trHeight w:val="201"/>
        </w:trPr>
        <w:tc>
          <w:tcPr>
            <w:tcW w:w="3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Number</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8,151</w:t>
            </w:r>
          </w:p>
        </w:tc>
        <w:tc>
          <w:tcPr>
            <w:tcW w:w="440" w:type="dxa"/>
            <w:vAlign w:val="bottom"/>
          </w:tcPr>
          <w:p>
            <w:pPr>
              <w:spacing w:after="0"/>
              <w:rPr>
                <w:sz w:val="17"/>
                <w:szCs w:val="17"/>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10,559</w:t>
            </w:r>
          </w:p>
        </w:tc>
        <w:tc>
          <w:tcPr>
            <w:tcW w:w="1460" w:type="dxa"/>
            <w:vAlign w:val="bottom"/>
            <w:gridSpan w:val="2"/>
          </w:tcPr>
          <w:p>
            <w:pPr>
              <w:jc w:val="right"/>
              <w:ind w:right="437"/>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27,035</w:t>
            </w:r>
          </w:p>
        </w:tc>
        <w:tc>
          <w:tcPr>
            <w:tcW w:w="440" w:type="dxa"/>
            <w:vAlign w:val="bottom"/>
          </w:tcPr>
          <w:p>
            <w:pPr>
              <w:spacing w:after="0"/>
              <w:rPr>
                <w:sz w:val="17"/>
                <w:szCs w:val="17"/>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30,372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01"/>
        </w:trPr>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Deals Greater than $500 million:</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3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Value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767</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507</w:t>
            </w:r>
          </w:p>
        </w:tc>
        <w:tc>
          <w:tcPr>
            <w:tcW w:w="146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2,267</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1,468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r>
      <w:tr>
        <w:trPr>
          <w:trHeight w:val="201"/>
        </w:trPr>
        <w:tc>
          <w:tcPr>
            <w:tcW w:w="3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Number</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263</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281</w:t>
            </w:r>
          </w:p>
        </w:tc>
        <w:tc>
          <w:tcPr>
            <w:tcW w:w="146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830</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201"/>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Announced M&amp;A Transactions: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All deals: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3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Value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1,226</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955</w:t>
            </w:r>
          </w:p>
        </w:tc>
        <w:tc>
          <w:tcPr>
            <w:tcW w:w="146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3,414</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2,668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r>
      <w:tr>
        <w:trPr>
          <w:trHeight w:val="201"/>
        </w:trPr>
        <w:tc>
          <w:tcPr>
            <w:tcW w:w="3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Number</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8,921</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10,816</w:t>
            </w:r>
          </w:p>
        </w:tc>
        <w:tc>
          <w:tcPr>
            <w:tcW w:w="146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28,601</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31,082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201"/>
        </w:trPr>
        <w:tc>
          <w:tcPr>
            <w:tcW w:w="3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Deals Greater than $500 million:</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3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Value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1,004</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721</w:t>
            </w:r>
          </w:p>
        </w:tc>
        <w:tc>
          <w:tcPr>
            <w:tcW w:w="146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2,006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3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Number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440" w:type="dxa"/>
            <w:vAlign w:val="bottom"/>
          </w:tcPr>
          <w:p>
            <w:pPr>
              <w:spacing w:after="0"/>
              <w:rPr>
                <w:sz w:val="18"/>
                <w:szCs w:val="18"/>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321</w:t>
            </w:r>
          </w:p>
        </w:tc>
        <w:tc>
          <w:tcPr>
            <w:tcW w:w="1460" w:type="dxa"/>
            <w:vAlign w:val="bottom"/>
            <w:gridSpan w:val="2"/>
          </w:tcPr>
          <w:p>
            <w:pPr>
              <w:jc w:val="right"/>
              <w:ind w:right="497"/>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967</w:t>
            </w:r>
          </w:p>
        </w:tc>
        <w:tc>
          <w:tcPr>
            <w:tcW w:w="440" w:type="dxa"/>
            <w:vAlign w:val="bottom"/>
          </w:tcPr>
          <w:p>
            <w:pPr>
              <w:spacing w:after="0"/>
              <w:rPr>
                <w:sz w:val="18"/>
                <w:szCs w:val="18"/>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873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55880</wp:posOffset>
            </wp:positionV>
            <wp:extent cx="7270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Source:Dealogic as of October 2, 2015.</w:t>
      </w:r>
    </w:p>
    <w:p>
      <w:pPr>
        <w:spacing w:after="0" w:line="168" w:lineRule="exact"/>
        <w:rPr>
          <w:sz w:val="20"/>
          <w:szCs w:val="20"/>
          <w:color w:val="auto"/>
        </w:rPr>
      </w:pPr>
    </w:p>
    <w:p>
      <w:pPr>
        <w:jc w:val="both"/>
        <w:ind w:right="100" w:firstLine="457"/>
        <w:spacing w:after="0" w:line="282" w:lineRule="auto"/>
        <w:rPr>
          <w:sz w:val="20"/>
          <w:szCs w:val="20"/>
          <w:color w:val="auto"/>
        </w:rPr>
      </w:pPr>
      <w:r>
        <w:rPr>
          <w:rFonts w:ascii="Times New Roman" w:cs="Times New Roman" w:eastAsia="Times New Roman" w:hAnsi="Times New Roman"/>
          <w:sz w:val="16"/>
          <w:szCs w:val="16"/>
          <w:color w:val="auto"/>
        </w:rPr>
        <w:t>Global restructuring activity during the first nine months of 2015, as measured by the number of corporate defaults, increased as compared to the first nine months of 2014, however, the aggregate value of debt defaults remained low, consistent with the last several years. The number of defaulting issuers increased to 68 in the 2015 period, according to Moody’s Investors Service, Inc., as compared to 43 in the 2014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420"/>
          </w:cols>
          <w:pgMar w:left="240" w:top="434" w:right="23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Asset Management</w:t>
      </w:r>
    </w:p>
    <w:p>
      <w:pPr>
        <w:spacing w:after="0" w:line="97"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The percentage change in major equity market indices at September 30, 2015, as compared to such indices at June 30, 2015, December 31, 2014, and at September 30, 2014, is shown in the table below.</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Percentage Changes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3"/>
        </w:trPr>
        <w:tc>
          <w:tcPr>
            <w:tcW w:w="54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September 30, 2015 vs.</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16"/>
        </w:trPr>
        <w:tc>
          <w:tcPr>
            <w:tcW w:w="5420" w:type="dxa"/>
            <w:vAlign w:val="bottom"/>
          </w:tcPr>
          <w:p>
            <w:pPr>
              <w:spacing w:after="0"/>
              <w:rPr>
                <w:sz w:val="10"/>
                <w:szCs w:val="10"/>
                <w:color w:val="auto"/>
              </w:rPr>
            </w:pPr>
          </w:p>
        </w:tc>
        <w:tc>
          <w:tcPr>
            <w:tcW w:w="1000" w:type="dxa"/>
            <w:vAlign w:val="bottom"/>
            <w:gridSpan w:val="2"/>
          </w:tcPr>
          <w:p>
            <w:pPr>
              <w:jc w:val="center"/>
              <w:ind w:right="540"/>
              <w:spacing w:after="0" w:line="116"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440" w:type="dxa"/>
            <w:vAlign w:val="bottom"/>
          </w:tcPr>
          <w:p>
            <w:pPr>
              <w:spacing w:after="0"/>
              <w:rPr>
                <w:sz w:val="10"/>
                <w:szCs w:val="10"/>
                <w:color w:val="auto"/>
              </w:rPr>
            </w:pPr>
          </w:p>
        </w:tc>
        <w:tc>
          <w:tcPr>
            <w:tcW w:w="17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0"/>
                <w:szCs w:val="10"/>
                <w:color w:val="auto"/>
              </w:rPr>
            </w:pPr>
          </w:p>
        </w:tc>
      </w:tr>
      <w:tr>
        <w:trPr>
          <w:trHeight w:val="153"/>
        </w:trPr>
        <w:tc>
          <w:tcPr>
            <w:tcW w:w="54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2015</w:t>
            </w:r>
          </w:p>
        </w:tc>
        <w:tc>
          <w:tcPr>
            <w:tcW w:w="5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2014</w:t>
            </w:r>
          </w:p>
        </w:tc>
        <w:tc>
          <w:tcPr>
            <w:tcW w:w="9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Borders>
              <w:bottom w:val="single" w:sz="8" w:color="CCEEFF"/>
            </w:tcBorders>
          </w:tcPr>
          <w:p>
            <w:pPr>
              <w:spacing w:after="0"/>
              <w:rPr>
                <w:sz w:val="13"/>
                <w:szCs w:val="13"/>
                <w:color w:val="auto"/>
              </w:rPr>
            </w:pPr>
          </w:p>
        </w:tc>
      </w:tr>
      <w:tr>
        <w:trPr>
          <w:trHeight w:val="19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 Stoxx</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(9.5)%</w:t>
            </w:r>
          </w:p>
        </w:tc>
        <w:tc>
          <w:tcPr>
            <w:tcW w:w="4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(1.5)%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201"/>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MSCI Emerging Market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(18.5)%</w:t>
            </w:r>
          </w:p>
        </w:tc>
        <w:tc>
          <w:tcPr>
            <w:tcW w:w="216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(17.2)%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r>
      <w:tr>
        <w:trPr>
          <w:trHeight w:val="20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MSCI World Index</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(8.9)%</w:t>
            </w:r>
          </w:p>
        </w:tc>
        <w:tc>
          <w:tcPr>
            <w:tcW w:w="21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(7.5)%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S&amp;P 500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w:t>
            </w:r>
          </w:p>
        </w:tc>
        <w:tc>
          <w:tcPr>
            <w:tcW w:w="216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(6.7)%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r>
    </w:tbl>
    <w:p>
      <w:pPr>
        <w:spacing w:after="0" w:line="126" w:lineRule="exact"/>
        <w:rPr>
          <w:sz w:val="20"/>
          <w:szCs w:val="20"/>
          <w:color w:val="auto"/>
        </w:rPr>
      </w:pPr>
    </w:p>
    <w:p>
      <w:pPr>
        <w:ind w:right="40" w:firstLine="457"/>
        <w:spacing w:after="0" w:line="269" w:lineRule="auto"/>
        <w:rPr>
          <w:sz w:val="20"/>
          <w:szCs w:val="20"/>
          <w:color w:val="auto"/>
        </w:rPr>
      </w:pPr>
      <w:r>
        <w:rPr>
          <w:rFonts w:ascii="Times New Roman" w:cs="Times New Roman" w:eastAsia="Times New Roman" w:hAnsi="Times New Roman"/>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September 30, 2015 decreased 7% versus AUM at December 31, 2014, primarily due to market depreciation and adverse foreign exchange movements, partially offset by net inflows. Average AUM for the three month period ended September 30, 2015 was 5% lower than average AUM for the three month period ended September 30, 2014. Average AUM for the nine month period ended September 30, 2015 increased 1% as compared to average AUM in the 2014 period.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 Overview</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Net Revenue</w:t>
      </w:r>
    </w:p>
    <w:p>
      <w:pPr>
        <w:spacing w:after="0" w:line="97"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firstLine="457"/>
        <w:spacing w:after="0" w:line="267" w:lineRule="auto"/>
        <w:rPr>
          <w:sz w:val="20"/>
          <w:szCs w:val="20"/>
          <w:color w:val="auto"/>
        </w:rPr>
      </w:pPr>
      <w:r>
        <w:rPr>
          <w:rFonts w:ascii="Times New Roman" w:cs="Times New Roman" w:eastAsia="Times New Roman" w:hAnsi="Times New Roman"/>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420"/>
          </w:cols>
          <w:pgMar w:left="240" w:top="434" w:right="23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13"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The Company earns performance-based incentive fees on various investment products, including traditional products and alternative investment funds, such as hedge funds and private equity funds.</w:t>
      </w:r>
    </w:p>
    <w:p>
      <w:pPr>
        <w:spacing w:after="0" w:line="92" w:lineRule="exact"/>
        <w:rPr>
          <w:sz w:val="20"/>
          <w:szCs w:val="20"/>
          <w:color w:val="auto"/>
        </w:rPr>
      </w:pPr>
    </w:p>
    <w:p>
      <w:pPr>
        <w:ind w:right="60" w:firstLine="457"/>
        <w:spacing w:after="0" w:line="270" w:lineRule="auto"/>
        <w:rPr>
          <w:sz w:val="20"/>
          <w:szCs w:val="20"/>
          <w:color w:val="auto"/>
        </w:rPr>
      </w:pPr>
      <w:r>
        <w:rPr>
          <w:rFonts w:ascii="Times New Roman" w:cs="Times New Roman" w:eastAsia="Times New Roman" w:hAnsi="Times New Roman"/>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17" w:lineRule="exact"/>
        <w:rPr>
          <w:sz w:val="20"/>
          <w:szCs w:val="20"/>
          <w:color w:val="auto"/>
        </w:rPr>
      </w:pPr>
    </w:p>
    <w:p>
      <w:pPr>
        <w:ind w:right="200" w:firstLine="457"/>
        <w:spacing w:after="0" w:line="275" w:lineRule="auto"/>
        <w:rPr>
          <w:sz w:val="20"/>
          <w:szCs w:val="20"/>
          <w:color w:val="auto"/>
        </w:rPr>
      </w:pPr>
      <w:r>
        <w:rPr>
          <w:rFonts w:ascii="Times New Roman" w:cs="Times New Roman" w:eastAsia="Times New Roman" w:hAnsi="Times New Roman"/>
          <w:sz w:val="16"/>
          <w:szCs w:val="16"/>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13" w:lineRule="exact"/>
        <w:rPr>
          <w:sz w:val="20"/>
          <w:szCs w:val="20"/>
          <w:color w:val="auto"/>
        </w:rPr>
      </w:pPr>
    </w:p>
    <w:p>
      <w:pPr>
        <w:ind w:right="40" w:firstLine="457"/>
        <w:spacing w:after="0" w:line="272" w:lineRule="auto"/>
        <w:rPr>
          <w:sz w:val="20"/>
          <w:szCs w:val="20"/>
          <w:color w:val="auto"/>
        </w:rPr>
      </w:pPr>
      <w:r>
        <w:rPr>
          <w:rFonts w:ascii="Times New Roman" w:cs="Times New Roman" w:eastAsia="Times New Roman" w:hAnsi="Times New Roman"/>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5"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Although Corporate segment net revenue during the first nine months of 2015 represented (2)% of Lazard’s net revenue, total assets in the Corporate segment represented 70% of Lazard’s consolidated total assets as of September 30, 2015, which are attributable to cash and cash equivalents, investments in debt and equity securities, interests in alternative investment, debt, equity and private equity funds, deferred tax assets and assets associated with LFB.</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97"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00"/>
          </w:cols>
          <w:pgMar w:left="240" w:top="434" w:right="259" w:bottom="1440" w:gutter="0" w:footer="0" w:header="0"/>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07"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8" w:lineRule="exact"/>
        <w:rPr>
          <w:sz w:val="20"/>
          <w:szCs w:val="20"/>
          <w:color w:val="auto"/>
        </w:rPr>
      </w:pPr>
    </w:p>
    <w:p>
      <w:pPr>
        <w:ind w:left="900" w:right="60" w:hanging="333"/>
        <w:spacing w:after="0" w:line="301" w:lineRule="auto"/>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14" w:lineRule="exact"/>
        <w:rPr>
          <w:rFonts w:ascii="Times New Roman" w:cs="Times New Roman" w:eastAsia="Times New Roman" w:hAnsi="Times New Roman"/>
          <w:sz w:val="16"/>
          <w:szCs w:val="16"/>
          <w:color w:val="auto"/>
        </w:rPr>
      </w:pPr>
    </w:p>
    <w:p>
      <w:pPr>
        <w:jc w:val="both"/>
        <w:ind w:left="900" w:right="20" w:hanging="333"/>
        <w:spacing w:after="0" w:line="276" w:lineRule="auto"/>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add (i) the deferred incentive compensation awards granted applicable to the relevant year-end compensation process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deferred incentive compensation awards granted in 2015, 2014 and 2013 related to the 2014, 2013 and 2012 year-end compensation processes, respectively) and (ii) investments in people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36"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adjust for year-end foreign exchange fluctuations.</w:t>
      </w:r>
    </w:p>
    <w:p>
      <w:pPr>
        <w:spacing w:after="0" w:line="168" w:lineRule="exact"/>
        <w:rPr>
          <w:sz w:val="20"/>
          <w:szCs w:val="20"/>
          <w:color w:val="auto"/>
        </w:rPr>
      </w:pPr>
    </w:p>
    <w:p>
      <w:pPr>
        <w:ind w:right="20" w:firstLine="457"/>
        <w:spacing w:after="0" w:line="267" w:lineRule="auto"/>
        <w:rPr>
          <w:sz w:val="20"/>
          <w:szCs w:val="20"/>
          <w:color w:val="auto"/>
        </w:rPr>
      </w:pPr>
      <w:r>
        <w:rPr>
          <w:rFonts w:ascii="Times New Roman" w:cs="Times New Roman" w:eastAsia="Times New Roman" w:hAnsi="Times New Roman"/>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55.8%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326"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our provision pursuant to the tax receivable agreement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360"/>
          </w:cols>
          <w:pgMar w:left="240" w:top="434" w:right="29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680" w:firstLine="457"/>
        <w:spacing w:after="0" w:line="301" w:lineRule="auto"/>
        <w:rPr>
          <w:sz w:val="20"/>
          <w:szCs w:val="20"/>
          <w:color w:val="auto"/>
        </w:rPr>
      </w:pPr>
      <w:r>
        <w:rPr>
          <w:rFonts w:ascii="Times New Roman" w:cs="Times New Roman" w:eastAsia="Times New Roman" w:hAnsi="Times New Roman"/>
          <w:sz w:val="16"/>
          <w:szCs w:val="16"/>
          <w:color w:val="auto"/>
        </w:rPr>
        <w:t>We believe that “adjusted non-compensation expense,” a non-U.S. GAAP measure, provides a more meaningful basis for assessing our operating results. For calculations with respect to “adjusted non-compensation expense” see the table under “Consolidated Results of Operations” below.</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 and Tax Receivable Agreement</w:t>
      </w:r>
    </w:p>
    <w:p>
      <w:pPr>
        <w:spacing w:after="0" w:line="97" w:lineRule="exact"/>
        <w:rPr>
          <w:sz w:val="20"/>
          <w:szCs w:val="20"/>
          <w:color w:val="auto"/>
        </w:rPr>
      </w:pPr>
    </w:p>
    <w:p>
      <w:pPr>
        <w:ind w:right="360" w:firstLine="457"/>
        <w:spacing w:after="0" w:line="275" w:lineRule="auto"/>
        <w:rPr>
          <w:sz w:val="20"/>
          <w:szCs w:val="20"/>
          <w:color w:val="auto"/>
        </w:rPr>
      </w:pPr>
      <w:r>
        <w:rPr>
          <w:rFonts w:ascii="Times New Roman" w:cs="Times New Roman" w:eastAsia="Times New Roman" w:hAnsi="Times New Roman"/>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13" w:lineRule="exact"/>
        <w:rPr>
          <w:sz w:val="20"/>
          <w:szCs w:val="20"/>
          <w:color w:val="auto"/>
        </w:rPr>
      </w:pPr>
    </w:p>
    <w:p>
      <w:pPr>
        <w:ind w:right="120" w:firstLine="457"/>
        <w:spacing w:after="0" w:line="272" w:lineRule="auto"/>
        <w:rPr>
          <w:sz w:val="20"/>
          <w:szCs w:val="20"/>
          <w:color w:val="auto"/>
        </w:rPr>
      </w:pPr>
      <w:r>
        <w:rPr>
          <w:rFonts w:ascii="Times New Roman" w:cs="Times New Roman" w:eastAsia="Times New Roman" w:hAnsi="Times New Roman"/>
          <w:sz w:val="16"/>
          <w:szCs w:val="16"/>
          <w:color w:val="auto"/>
        </w:rPr>
        <w:t>As discussed under “Critical Accounting Policies and Estimates—Income Taxes” below, in the second quarter of 2015, we concluded that certain of our tax-paying entities at which we have historically recorded valuation allowances had achieved sufficient sustained profitability that it was more likely than not that they would be able to realize their deferred tax assets. Accordingly, in the second quarter of 2015, we released substantially all of our valuation allowance related to the deferred tax assets. If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w:t>
      </w:r>
    </w:p>
    <w:p>
      <w:pPr>
        <w:spacing w:after="0" w:line="115" w:lineRule="exact"/>
        <w:rPr>
          <w:sz w:val="20"/>
          <w:szCs w:val="20"/>
          <w:color w:val="auto"/>
        </w:rPr>
      </w:pPr>
    </w:p>
    <w:p>
      <w:pPr>
        <w:ind w:right="200" w:firstLine="457"/>
        <w:spacing w:after="0" w:line="282" w:lineRule="auto"/>
        <w:rPr>
          <w:sz w:val="20"/>
          <w:szCs w:val="20"/>
          <w:color w:val="auto"/>
        </w:rPr>
      </w:pPr>
      <w:r>
        <w:rPr>
          <w:rFonts w:ascii="Times New Roman" w:cs="Times New Roman" w:eastAsia="Times New Roman" w:hAnsi="Times New Roman"/>
          <w:sz w:val="16"/>
          <w:szCs w:val="16"/>
          <w:color w:val="auto"/>
        </w:rPr>
        <w:t>As of September 30, 2015, we continued to conclude that the positive evidence in favor of releasing the valuation allowance in the relevant tax-paying entities outweighed the negative evidence and that it is more likely than not that these entities will be able to realize deferred tax assets. In addition, in the third quarter of 2015, we purchased a portion of our obligation relating to the tax receivable agreement.</w:t>
      </w:r>
    </w:p>
    <w:p>
      <w:pPr>
        <w:spacing w:after="0" w:line="107" w:lineRule="exact"/>
        <w:rPr>
          <w:sz w:val="20"/>
          <w:szCs w:val="20"/>
          <w:color w:val="auto"/>
        </w:rPr>
      </w:pPr>
    </w:p>
    <w:p>
      <w:pPr>
        <w:ind w:right="600" w:firstLine="457"/>
        <w:spacing w:after="0" w:line="301" w:lineRule="auto"/>
        <w:rPr>
          <w:sz w:val="20"/>
          <w:szCs w:val="20"/>
          <w:color w:val="auto"/>
        </w:rPr>
      </w:pPr>
      <w:r>
        <w:rPr>
          <w:rFonts w:ascii="Times New Roman" w:cs="Times New Roman" w:eastAsia="Times New Roman" w:hAnsi="Times New Roman"/>
          <w:sz w:val="16"/>
          <w:szCs w:val="16"/>
          <w:color w:val="auto"/>
        </w:rPr>
        <w:t>See “Critical Accounting Policies and Estimates—Income Taxes” below and Note 14 of Notes to Condensed Consolidated Financial Statements for additional information regarding income taxes, our deferred tax assets, the valuation allowance release and the tax receivable agreement obligation.</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97"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Noncontrolling interests primarily consist of amounts related to Edgewater’s management vehicles that the Company is deemed to control but not own and, through May 2014, the amount attributable to LAZ-MD Holdings LLC’s (“LAZ-MD Holdings”) ownership interest in the net income of Lazard Group. See Note 11 of Notes to Condensed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 See Note 1 of Notes to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95" w:lineRule="exact"/>
        <w:rPr>
          <w:sz w:val="20"/>
          <w:szCs w:val="20"/>
          <w:color w:val="auto"/>
        </w:rPr>
      </w:pPr>
    </w:p>
    <w:p>
      <w:pPr>
        <w:ind w:right="40" w:firstLine="457"/>
        <w:spacing w:after="0" w:line="270" w:lineRule="auto"/>
        <w:rPr>
          <w:sz w:val="20"/>
          <w:szCs w:val="20"/>
          <w:color w:val="auto"/>
        </w:rPr>
      </w:pPr>
      <w:r>
        <w:rPr>
          <w:rFonts w:ascii="Times New Roman" w:cs="Times New Roman" w:eastAsia="Times New Roman" w:hAnsi="Times New Roman"/>
          <w:sz w:val="16"/>
          <w:szCs w:val="16"/>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Foreign currency remeasurement gains and losses on transactions in non-functional currencies are included in the condensed consolidated statements of operations.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420"/>
          </w:cols>
          <w:pgMar w:left="240" w:top="434" w:right="23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nine month periods ended September 30, 2015 was negatively impacted in comparison to the prior year periods. The majority of the negative impact in each period was offset by the positive impact of the exchange rate movements on our operating expenses denominated in currencies other than the U.S. dollar.</w:t>
      </w:r>
    </w:p>
    <w:p>
      <w:pPr>
        <w:spacing w:after="0" w:line="113" w:lineRule="exact"/>
        <w:rPr>
          <w:sz w:val="20"/>
          <w:szCs w:val="20"/>
          <w:color w:val="auto"/>
        </w:rPr>
      </w:pPr>
    </w:p>
    <w:p>
      <w:pPr>
        <w:ind w:right="580" w:firstLine="457"/>
        <w:spacing w:after="0" w:line="301" w:lineRule="auto"/>
        <w:rPr>
          <w:sz w:val="20"/>
          <w:szCs w:val="20"/>
          <w:color w:val="auto"/>
        </w:rPr>
      </w:pPr>
      <w:r>
        <w:rPr>
          <w:rFonts w:ascii="Times New Roman" w:cs="Times New Roman" w:eastAsia="Times New Roman" w:hAnsi="Times New Roman"/>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28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6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2014</w:t>
            </w: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2015</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$ 573,518</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566,211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1,760,359</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1,666,507</w:t>
            </w:r>
          </w:p>
        </w:tc>
        <w:tc>
          <w:tcPr>
            <w:tcW w:w="0" w:type="dxa"/>
            <w:vAlign w:val="bottom"/>
          </w:tcPr>
          <w:p>
            <w:pPr>
              <w:spacing w:after="0"/>
              <w:rPr>
                <w:sz w:val="1"/>
                <w:szCs w:val="1"/>
                <w:color w:val="auto"/>
              </w:rPr>
            </w:pPr>
          </w:p>
        </w:tc>
      </w:tr>
      <w:tr>
        <w:trPr>
          <w:trHeight w:val="302"/>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319,565</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338,612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984,786</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1,006,101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9"/>
              </w:rPr>
              <w:t>110,043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380,450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325,524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 related to acquisitions</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4,020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(benefit) pursuant to tax receivable agreement</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(420,792)</w:t>
            </w: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547,691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452,499</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1,916,328</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1,346,635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Income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570,744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113,712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(155,969)</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319,872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170,954</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23,792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(993,560)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58,614</w:t>
            </w: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399,790</w:t>
            </w: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89,920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837,591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Less – Net Income Attributable to Noncontrolling Interests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1,061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6,365</w:t>
            </w: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Attributable to Lazard Ltd</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$ 398,521</w:t>
            </w: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88,859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828,587</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Income (Loss), as a % of net revenue</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3"/>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tcPr>
          <w:p>
            <w:pPr>
              <w:jc w:val="right"/>
              <w:ind w:right="74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Revenue:</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573,518</w:t>
            </w:r>
          </w:p>
        </w:tc>
        <w:tc>
          <w:tcPr>
            <w:tcW w:w="2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566,211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1,760,359</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1,666,507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 (a)</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39,112</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Revenue related to noncontrolling interests (b)</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(15,317)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(12,810)</w:t>
            </w:r>
          </w:p>
        </w:tc>
        <w:tc>
          <w:tcPr>
            <w:tcW w:w="0" w:type="dxa"/>
            <w:vAlign w:val="bottom"/>
          </w:tcPr>
          <w:p>
            <w:pPr>
              <w:spacing w:after="0"/>
              <w:rPr>
                <w:sz w:val="1"/>
                <w:szCs w:val="1"/>
                <w:color w:val="auto"/>
              </w:rPr>
            </w:pPr>
          </w:p>
        </w:tc>
      </w:tr>
      <w:tr>
        <w:trPr>
          <w:trHeight w:val="201"/>
        </w:trPr>
        <w:tc>
          <w:tcPr>
            <w:tcW w:w="4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Private equity revenue adjustment (c)</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(12,203)</w:t>
            </w:r>
          </w:p>
        </w:tc>
        <w:tc>
          <w:tcPr>
            <w:tcW w:w="2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(Gains) losses on investments pertaining to LFI (d)</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9,903</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25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594,267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1,781,854</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1,694,415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vMerge w:val="restart"/>
          </w:tcPr>
          <w:p>
            <w:pPr>
              <w:jc w:val="right"/>
              <w:ind w:right="1298"/>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6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270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60" w:right="320" w:hanging="459"/>
        <w:spacing w:after="0" w:line="270"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related to the consolidation of noncontrolling interests is excluded from operating revenue because the Company has no economic interest in such amount.</w:t>
      </w:r>
    </w:p>
    <w:p>
      <w:pPr>
        <w:spacing w:after="0" w:line="17" w:lineRule="exact"/>
        <w:rPr>
          <w:rFonts w:ascii="Times New Roman" w:cs="Times New Roman" w:eastAsia="Times New Roman" w:hAnsi="Times New Roman"/>
          <w:sz w:val="16"/>
          <w:szCs w:val="16"/>
          <w:color w:val="auto"/>
        </w:rPr>
      </w:pPr>
    </w:p>
    <w:p>
      <w:pPr>
        <w:ind w:left="460" w:right="40" w:hanging="459"/>
        <w:spacing w:after="0" w:line="262"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1" w:lineRule="exact"/>
        <w:rPr>
          <w:rFonts w:ascii="Times New Roman" w:cs="Times New Roman" w:eastAsia="Times New Roman" w:hAnsi="Times New Roman"/>
          <w:sz w:val="16"/>
          <w:szCs w:val="16"/>
          <w:color w:val="auto"/>
        </w:rPr>
      </w:pPr>
    </w:p>
    <w:p>
      <w:pPr>
        <w:ind w:left="460" w:right="380" w:hanging="459"/>
        <w:spacing w:after="0" w:line="285"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100" w:type="dxa"/>
            <w:vAlign w:val="bottom"/>
            <w:gridSpan w:val="4"/>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2"/>
                <w:szCs w:val="12"/>
                <w:color w:val="auto"/>
              </w:rPr>
            </w:pPr>
          </w:p>
        </w:tc>
        <w:tc>
          <w:tcPr>
            <w:tcW w:w="206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3"/>
        </w:trPr>
        <w:tc>
          <w:tcPr>
            <w:tcW w:w="11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100" w:type="dxa"/>
            <w:vAlign w:val="bottom"/>
            <w:gridSpan w:val="4"/>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206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31"/>
        </w:trPr>
        <w:tc>
          <w:tcPr>
            <w:tcW w:w="11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05"/>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5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6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1"/>
                <w:szCs w:val="11"/>
                <w:color w:val="auto"/>
              </w:rPr>
            </w:pPr>
          </w:p>
        </w:tc>
      </w:tr>
      <w:tr>
        <w:trPr>
          <w:trHeight w:val="144"/>
        </w:trPr>
        <w:tc>
          <w:tcPr>
            <w:tcW w:w="11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gridSpan w:val="5"/>
          </w:tcPr>
          <w:p>
            <w:pPr>
              <w:jc w:val="right"/>
              <w:ind w:right="72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1"/>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Compensation and Benefits Expense:</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compensation and benefits expense</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w w:val="99"/>
              </w:rPr>
              <w:t>$319,565</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$338,612</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$984,786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1,006,101</w:t>
            </w:r>
          </w:p>
        </w:tc>
      </w:tr>
      <w:tr>
        <w:trPr>
          <w:trHeight w:val="201"/>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Noncontrolling interests (a)</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(1,156)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(1,094)</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(3,557)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(3,340)</w:t>
            </w:r>
          </w:p>
        </w:tc>
      </w:tr>
      <w:tr>
        <w:trPr>
          <w:trHeight w:val="201"/>
        </w:trPr>
        <w:tc>
          <w:tcPr>
            <w:tcW w:w="7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(Charges) credits pertaining to LFI (b)</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12,145</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5,528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9,903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(6,004)</w:t>
            </w:r>
          </w:p>
        </w:tc>
      </w:tr>
      <w:tr>
        <w:trPr>
          <w:trHeight w:val="206"/>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compensation and benefits expense</w:t>
            </w: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330,554</w:t>
            </w:r>
          </w:p>
        </w:tc>
        <w:tc>
          <w:tcPr>
            <w:tcW w:w="5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343,046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991,132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996,757</w:t>
            </w:r>
          </w:p>
        </w:tc>
        <w:tc>
          <w:tcPr>
            <w:tcW w:w="1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2"/>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compensation and benefits expense, as a % of operating revenue</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55.6%</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58.8%</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58.8%</w:t>
            </w: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1"/>
        </w:trPr>
        <w:tc>
          <w:tcPr>
            <w:tcW w:w="1140" w:type="dxa"/>
            <w:vAlign w:val="bottom"/>
            <w:tcBorders>
              <w:bottom w:val="single" w:sz="8" w:color="auto"/>
            </w:tcBorders>
          </w:tcPr>
          <w:p>
            <w:pPr>
              <w:spacing w:after="0"/>
              <w:rPr>
                <w:sz w:val="7"/>
                <w:szCs w:val="7"/>
                <w:color w:val="auto"/>
              </w:rPr>
            </w:pPr>
          </w:p>
        </w:tc>
        <w:tc>
          <w:tcPr>
            <w:tcW w:w="5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2" w:lineRule="exact"/>
        <w:rPr>
          <w:sz w:val="20"/>
          <w:szCs w:val="20"/>
          <w:color w:val="auto"/>
        </w:rPr>
      </w:pPr>
    </w:p>
    <w:p>
      <w:pPr>
        <w:ind w:left="460" w:hanging="459"/>
        <w:spacing w:after="0"/>
        <w:tabs>
          <w:tab w:leader="none" w:pos="4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the consolidation of noncontrolling interests are excluded because Lazard has no economic interest in such amounts.</w:t>
      </w:r>
    </w:p>
    <w:p>
      <w:pPr>
        <w:spacing w:after="0" w:line="29" w:lineRule="exact"/>
        <w:rPr>
          <w:rFonts w:ascii="Times New Roman" w:cs="Times New Roman" w:eastAsia="Times New Roman" w:hAnsi="Times New Roman"/>
          <w:sz w:val="16"/>
          <w:szCs w:val="16"/>
          <w:color w:val="auto"/>
        </w:rPr>
      </w:pPr>
    </w:p>
    <w:p>
      <w:pPr>
        <w:ind w:left="460" w:right="160" w:hanging="459"/>
        <w:spacing w:after="0" w:line="285" w:lineRule="auto"/>
        <w:tabs>
          <w:tab w:leader="none" w:pos="4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6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2"/>
                <w:szCs w:val="12"/>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60" w:type="dxa"/>
            <w:vAlign w:val="bottom"/>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188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4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3"/>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4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5"/>
          </w:tcPr>
          <w:p>
            <w:pPr>
              <w:jc w:val="right"/>
              <w:ind w:right="82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Non-Compensation Expense:</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non-compensation expense</w:t>
            </w:r>
          </w:p>
        </w:tc>
        <w:tc>
          <w:tcPr>
            <w:tcW w:w="1860" w:type="dxa"/>
            <w:vAlign w:val="bottom"/>
            <w:gridSpan w:val="2"/>
          </w:tcPr>
          <w:p>
            <w:pPr>
              <w:jc w:val="center"/>
              <w:ind w:left="1158"/>
              <w:spacing w:after="0"/>
              <w:rPr>
                <w:sz w:val="20"/>
                <w:szCs w:val="20"/>
                <w:color w:val="auto"/>
              </w:rPr>
            </w:pPr>
            <w:r>
              <w:rPr>
                <w:rFonts w:ascii="Times New Roman" w:cs="Times New Roman" w:eastAsia="Times New Roman" w:hAnsi="Times New Roman"/>
                <w:sz w:val="16"/>
                <w:szCs w:val="16"/>
                <w:color w:val="auto"/>
              </w:rPr>
              <w:t>$103,490</w:t>
            </w:r>
          </w:p>
        </w:tc>
        <w:tc>
          <w:tcPr>
            <w:tcW w:w="4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$110,043</w:t>
            </w:r>
          </w:p>
        </w:tc>
        <w:tc>
          <w:tcPr>
            <w:tcW w:w="76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color w:val="auto"/>
              </w:rPr>
              <w:t>$380,450</w:t>
            </w:r>
          </w:p>
        </w:tc>
        <w:tc>
          <w:tcPr>
            <w:tcW w:w="4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$325,524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Noncontrolling interests (a)</w:t>
            </w:r>
          </w:p>
        </w:tc>
        <w:tc>
          <w:tcPr>
            <w:tcW w:w="22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(410)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(570)</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(1,125)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Charges pertaining to senior debt refinancing (b)</w:t>
            </w:r>
          </w:p>
        </w:tc>
        <w:tc>
          <w:tcPr>
            <w:tcW w:w="1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(60,219)</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Expense related to partial extinguishment of tax receivable obligation</w:t>
            </w:r>
          </w:p>
        </w:tc>
        <w:tc>
          <w:tcPr>
            <w:tcW w:w="124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(759)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(759)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non-compensation expense</w:t>
            </w:r>
          </w:p>
        </w:tc>
        <w:tc>
          <w:tcPr>
            <w:tcW w:w="1860" w:type="dxa"/>
            <w:vAlign w:val="bottom"/>
            <w:gridSpan w:val="2"/>
            <w:shd w:val="clear" w:color="auto" w:fill="CCEEFF"/>
          </w:tcPr>
          <w:p>
            <w:pPr>
              <w:jc w:val="center"/>
              <w:ind w:left="1158"/>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102,321</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109,473</w:t>
            </w:r>
          </w:p>
        </w:tc>
        <w:tc>
          <w:tcPr>
            <w:tcW w:w="76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318,347</w:t>
            </w: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323,953</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Adjusted non-compensation expense, as a % of operating revenue</w:t>
            </w:r>
          </w:p>
        </w:tc>
        <w:tc>
          <w:tcPr>
            <w:tcW w:w="1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gridSpan w:val="3"/>
            <w:vMerge w:val="continue"/>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0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hanging="459"/>
        <w:spacing w:after="0"/>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the consolidation of noncontrolling interests are excluded because the Company has no economic interest in such amounts.</w:t>
      </w:r>
    </w:p>
    <w:p>
      <w:pPr>
        <w:spacing w:after="0" w:line="29" w:lineRule="exact"/>
        <w:rPr>
          <w:rFonts w:ascii="Times New Roman" w:cs="Times New Roman" w:eastAsia="Times New Roman" w:hAnsi="Times New Roman"/>
          <w:sz w:val="16"/>
          <w:szCs w:val="16"/>
          <w:color w:val="auto"/>
        </w:rPr>
      </w:pPr>
    </w:p>
    <w:p>
      <w:pPr>
        <w:ind w:left="460" w:right="180" w:hanging="459"/>
        <w:spacing w:after="0" w:line="285"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Charges pertaining to the redemption of a substantial majority of the Company’s 2017 Notes are excluded because of the non-recurring nature of the transaction. See “—Liquidity and Capital Resources—Financing Activities.”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420"/>
          </w:cols>
          <w:pgMar w:left="240" w:top="434" w:right="239" w:bottom="1440" w:gutter="0" w:footer="0" w:header="0"/>
        </w:sectPr>
      </w:pPr>
    </w:p>
    <w:bookmarkStart w:id="54" w:name="page55"/>
    <w:bookmarkEnd w:id="5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520" w:type="dxa"/>
            <w:vAlign w:val="bottom"/>
            <w:gridSpan w:val="7"/>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10"/>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6580" w:type="dxa"/>
            <w:vAlign w:val="bottom"/>
          </w:tcPr>
          <w:p>
            <w:pPr>
              <w:spacing w:after="0"/>
              <w:rPr>
                <w:sz w:val="13"/>
                <w:szCs w:val="13"/>
                <w:color w:val="auto"/>
              </w:rPr>
            </w:pPr>
          </w:p>
        </w:tc>
        <w:tc>
          <w:tcPr>
            <w:tcW w:w="2520" w:type="dxa"/>
            <w:vAlign w:val="bottom"/>
            <w:gridSpan w:val="7"/>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45"/>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4"/>
          </w:tcPr>
          <w:p>
            <w:pPr>
              <w:jc w:val="right"/>
              <w:ind w:right="137"/>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4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right"/>
              <w:ind w:right="158"/>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9"/>
          </w:tcPr>
          <w:p>
            <w:pPr>
              <w:jc w:val="right"/>
              <w:ind w:right="116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From Operations: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$ 594,267</w:t>
            </w:r>
          </w:p>
        </w:tc>
        <w:tc>
          <w:tcPr>
            <w:tcW w:w="26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$ 583,154</w:t>
            </w:r>
          </w:p>
        </w:tc>
        <w:tc>
          <w:tcPr>
            <w:tcW w:w="5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1,781,854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w w:val="99"/>
              </w:rPr>
              <w:t>1,694,415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compensation and benefits expense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(330,554)</w:t>
            </w:r>
          </w:p>
        </w:tc>
        <w:tc>
          <w:tcPr>
            <w:tcW w:w="158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color w:val="auto"/>
              </w:rPr>
              <w:t>(343,046)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(991,132)</w:t>
            </w:r>
          </w:p>
        </w:tc>
        <w:tc>
          <w:tcPr>
            <w:tcW w:w="80" w:type="dxa"/>
            <w:vAlign w:val="bottom"/>
          </w:tcPr>
          <w:p>
            <w:pPr>
              <w:spacing w:after="0"/>
              <w:rPr>
                <w:sz w:val="17"/>
                <w:szCs w:val="17"/>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(996,757)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non-compensation expense</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(102,321)</w:t>
            </w:r>
          </w:p>
        </w:tc>
        <w:tc>
          <w:tcPr>
            <w:tcW w:w="158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(109,473)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(318,347)</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(323,953)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$ 161,392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$ 130,635</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472,375</w:t>
            </w:r>
          </w:p>
        </w:tc>
        <w:tc>
          <w:tcPr>
            <w:tcW w:w="6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373,705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from operations, as a % of operating revenue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w:t>
            </w:r>
          </w:p>
        </w:tc>
        <w:tc>
          <w:tcPr>
            <w:tcW w:w="158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Headcount information is set forth below:</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3"/>
              </w:rPr>
              <w:t>As Of</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tcPr>
          <w:p>
            <w:pPr>
              <w:jc w:val="right"/>
              <w:ind w:right="820"/>
              <w:spacing w:after="0" w:line="116" w:lineRule="exact"/>
              <w:rPr>
                <w:sz w:val="20"/>
                <w:szCs w:val="20"/>
                <w:color w:val="auto"/>
              </w:rPr>
            </w:pPr>
            <w:r>
              <w:rPr>
                <w:rFonts w:ascii="Times New Roman" w:cs="Times New Roman" w:eastAsia="Times New Roman" w:hAnsi="Times New Roman"/>
                <w:sz w:val="13"/>
                <w:szCs w:val="13"/>
                <w:b w:val="1"/>
                <w:bCs w:val="1"/>
                <w:color w:val="auto"/>
                <w:w w:val="93"/>
              </w:rPr>
              <w:t>September 30,</w:t>
            </w:r>
          </w:p>
        </w:tc>
        <w:tc>
          <w:tcPr>
            <w:tcW w:w="1400" w:type="dxa"/>
            <w:vAlign w:val="bottom"/>
            <w:gridSpan w:val="7"/>
          </w:tcPr>
          <w:p>
            <w:pPr>
              <w:jc w:val="center"/>
              <w:ind w:right="660"/>
              <w:spacing w:after="0" w:line="116"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3"/>
              </w:rPr>
              <w:t>September 30,</w:t>
            </w:r>
          </w:p>
        </w:tc>
        <w:tc>
          <w:tcPr>
            <w:tcW w:w="0" w:type="dxa"/>
            <w:vAlign w:val="bottom"/>
          </w:tcPr>
          <w:p>
            <w:pPr>
              <w:spacing w:after="0"/>
              <w:rPr>
                <w:sz w:val="1"/>
                <w:szCs w:val="1"/>
                <w:color w:val="auto"/>
              </w:rPr>
            </w:pPr>
          </w:p>
        </w:tc>
      </w:tr>
      <w:tr>
        <w:trPr>
          <w:trHeight w:val="153"/>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Headcount:</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Managing Directors: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Financial Advisory</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Asset Management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7"/>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Managing Directors</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Employees: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Business segment professionals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1,139</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All other professionals and support staff</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1,182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1,148</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2,611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2,523</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93" w:lineRule="exact"/>
        <w:rPr>
          <w:sz w:val="20"/>
          <w:szCs w:val="20"/>
          <w:color w:val="auto"/>
        </w:rPr>
      </w:pPr>
    </w:p>
    <w:p>
      <w:pPr>
        <w:jc w:val="both"/>
        <w:ind w:right="300" w:firstLine="457"/>
        <w:spacing w:after="0" w:line="277" w:lineRule="auto"/>
        <w:rPr>
          <w:sz w:val="20"/>
          <w:szCs w:val="20"/>
          <w:color w:val="auto"/>
        </w:rPr>
      </w:pPr>
      <w:r>
        <w:rPr>
          <w:rFonts w:ascii="Times New Roman" w:cs="Times New Roman" w:eastAsia="Times New Roman" w:hAnsi="Times New Roman"/>
          <w:sz w:val="16"/>
          <w:szCs w:val="16"/>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2015 versus September 30, 2014</w:t>
      </w:r>
    </w:p>
    <w:p>
      <w:pPr>
        <w:spacing w:after="0" w:line="97" w:lineRule="exact"/>
        <w:rPr>
          <w:sz w:val="20"/>
          <w:szCs w:val="20"/>
          <w:color w:val="auto"/>
        </w:rPr>
      </w:pPr>
    </w:p>
    <w:p>
      <w:pPr>
        <w:ind w:right="540" w:firstLine="457"/>
        <w:spacing w:after="0" w:line="301" w:lineRule="auto"/>
        <w:rPr>
          <w:sz w:val="20"/>
          <w:szCs w:val="20"/>
          <w:color w:val="auto"/>
        </w:rPr>
      </w:pPr>
      <w:r>
        <w:rPr>
          <w:rFonts w:ascii="Times New Roman" w:cs="Times New Roman" w:eastAsia="Times New Roman" w:hAnsi="Times New Roman"/>
          <w:sz w:val="16"/>
          <w:szCs w:val="16"/>
          <w:color w:val="auto"/>
        </w:rPr>
        <w:t>The Company reported net income attributable to Lazard Ltd of $399 million, as compared to net income of $89 million in the 2014 period. The changes in the Company’s operating results during these periods are described below.</w:t>
      </w:r>
    </w:p>
    <w:p>
      <w:pPr>
        <w:spacing w:after="0" w:line="92" w:lineRule="exact"/>
        <w:rPr>
          <w:sz w:val="20"/>
          <w:szCs w:val="20"/>
          <w:color w:val="auto"/>
        </w:rPr>
      </w:pPr>
    </w:p>
    <w:p>
      <w:pPr>
        <w:ind w:right="40" w:firstLine="457"/>
        <w:spacing w:after="0" w:line="269" w:lineRule="auto"/>
        <w:rPr>
          <w:sz w:val="20"/>
          <w:szCs w:val="20"/>
          <w:color w:val="auto"/>
        </w:rPr>
      </w:pPr>
      <w:r>
        <w:rPr>
          <w:rFonts w:ascii="Times New Roman" w:cs="Times New Roman" w:eastAsia="Times New Roman" w:hAnsi="Times New Roman"/>
          <w:sz w:val="16"/>
          <w:szCs w:val="16"/>
          <w:color w:val="auto"/>
        </w:rPr>
        <w:t>Net revenue increased $7 million, or 1%, with operating revenue increasing $11 million, or 2%, as compared to the 2014 period. Fee revenue from investment banking and other advisory activities increased $40 million, or 14%,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2014 period. Asset management fees, including incentive fees, decreased $23 million, or 8%, as compared to the 2014 period, principally reflecting an $11 billion, or 5%, decrease in average AUM as compared to the 2014 period and a decrease in incentive fees relating to traditional investment products. In the aggregate, interest income, other revenue and interest expense decreased $9 million as compared to the 2014 period, primarily due to investment losses due to LFI, partially offset by lower interest expense due to the refinancing of the 2017 Notes.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420"/>
          </w:cols>
          <w:pgMar w:left="240" w:top="434" w:right="23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Compensation and benefits expense decreased $19 million, or 6%, as compared to the 2014 period, primarily driven by a decrease in discretionary compensation.</w:t>
      </w:r>
    </w:p>
    <w:p>
      <w:pPr>
        <w:spacing w:after="0" w:line="168" w:lineRule="exact"/>
        <w:rPr>
          <w:sz w:val="20"/>
          <w:szCs w:val="20"/>
          <w:color w:val="auto"/>
        </w:rPr>
      </w:pPr>
    </w:p>
    <w:p>
      <w:pPr>
        <w:ind w:right="240" w:firstLine="457"/>
        <w:spacing w:after="0" w:line="282" w:lineRule="auto"/>
        <w:rPr>
          <w:sz w:val="20"/>
          <w:szCs w:val="20"/>
          <w:color w:val="auto"/>
        </w:rPr>
      </w:pPr>
      <w:r>
        <w:rPr>
          <w:rFonts w:ascii="Times New Roman" w:cs="Times New Roman" w:eastAsia="Times New Roman" w:hAnsi="Times New Roman"/>
          <w:sz w:val="16"/>
          <w:szCs w:val="16"/>
          <w:color w:val="auto"/>
        </w:rPr>
        <w:t>Adjusted compensation and benefits expense (which excludes certain items and which we believe allows for improved comparability between periods, as described above) was $331 million, a decrease of $12 million, or 4%, as compared to $343 million in the 2014 period. The ratio of adjusted compensation and benefits expense to operating revenue was 55.6% for the 2015 period, as compared to 58.8% for the 2014 period and 55.6% for full-year 2014.</w:t>
      </w:r>
    </w:p>
    <w:p>
      <w:pPr>
        <w:spacing w:after="0" w:line="107" w:lineRule="exact"/>
        <w:rPr>
          <w:sz w:val="20"/>
          <w:szCs w:val="20"/>
          <w:color w:val="auto"/>
        </w:rPr>
      </w:pPr>
    </w:p>
    <w:p>
      <w:pPr>
        <w:ind w:right="160" w:firstLine="457"/>
        <w:spacing w:after="0" w:line="301" w:lineRule="auto"/>
        <w:rPr>
          <w:sz w:val="20"/>
          <w:szCs w:val="20"/>
          <w:color w:val="auto"/>
        </w:rPr>
      </w:pPr>
      <w:r>
        <w:rPr>
          <w:rFonts w:ascii="Times New Roman" w:cs="Times New Roman" w:eastAsia="Times New Roman" w:hAnsi="Times New Roman"/>
          <w:sz w:val="16"/>
          <w:szCs w:val="16"/>
          <w:color w:val="auto"/>
        </w:rPr>
        <w:t>Non-compensation expense decreased $7 million, or 6%, as compared to the 2014 period. The ratio of adjusted non-compensation expense to operating revenue was 17.2%, as compared to 18.8% in the 2014 period.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Amortization of intangible assets decreased $4 million as compared to the 2014 period.</w:t>
      </w:r>
    </w:p>
    <w:p>
      <w:pPr>
        <w:spacing w:after="0" w:line="168" w:lineRule="exact"/>
        <w:rPr>
          <w:sz w:val="20"/>
          <w:szCs w:val="20"/>
          <w:color w:val="auto"/>
        </w:rPr>
      </w:pPr>
    </w:p>
    <w:p>
      <w:pPr>
        <w:ind w:right="180" w:firstLine="457"/>
        <w:spacing w:after="0" w:line="301" w:lineRule="auto"/>
        <w:rPr>
          <w:sz w:val="20"/>
          <w:szCs w:val="20"/>
          <w:color w:val="auto"/>
        </w:rPr>
      </w:pPr>
      <w:r>
        <w:rPr>
          <w:rFonts w:ascii="Times New Roman" w:cs="Times New Roman" w:eastAsia="Times New Roman" w:hAnsi="Times New Roman"/>
          <w:sz w:val="16"/>
          <w:szCs w:val="16"/>
          <w:color w:val="auto"/>
        </w:rPr>
        <w:t>The benefit pursuant to the tax receivable agreement of $421 million in the 2015 period reflects a gain on the partial extinguishment of our tax receivable agreement obligation in the third quarter (see Note 14 of Notes to Condensed Consolidated Financial Statements for additional information).</w:t>
      </w:r>
    </w:p>
    <w:p>
      <w:pPr>
        <w:spacing w:after="0" w:line="92" w:lineRule="exact"/>
        <w:rPr>
          <w:sz w:val="20"/>
          <w:szCs w:val="20"/>
          <w:color w:val="auto"/>
        </w:rPr>
      </w:pPr>
    </w:p>
    <w:p>
      <w:pPr>
        <w:ind w:right="640" w:firstLine="457"/>
        <w:spacing w:after="0" w:line="301" w:lineRule="auto"/>
        <w:rPr>
          <w:sz w:val="20"/>
          <w:szCs w:val="20"/>
          <w:color w:val="auto"/>
        </w:rPr>
      </w:pPr>
      <w:r>
        <w:rPr>
          <w:rFonts w:ascii="Times New Roman" w:cs="Times New Roman" w:eastAsia="Times New Roman" w:hAnsi="Times New Roman"/>
          <w:sz w:val="16"/>
          <w:szCs w:val="16"/>
          <w:color w:val="auto"/>
        </w:rPr>
        <w:t>Operating income, which included the impact of the gain on the partial extinguishment of our tax receivable agreement obligation described above, increased $457 million as compared to the 2014 period, and, as a percentage of net revenue, was 99.5%, as compared to 20.1% in the 2014 period.</w:t>
      </w:r>
    </w:p>
    <w:p>
      <w:pPr>
        <w:spacing w:after="0" w:line="92"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Earnings from operations, which excludes the impact of the gain on the partial extinguishment of our tax receivable agreement obligation described above, increased $31 million, or 24%, as compared to the 2014 period, and, as a percentage of operating revenue, was 27.2%, as compared to 22.4% in the 2014 period.</w:t>
      </w:r>
    </w:p>
    <w:p>
      <w:pPr>
        <w:spacing w:after="0" w:line="92" w:lineRule="exact"/>
        <w:rPr>
          <w:sz w:val="20"/>
          <w:szCs w:val="20"/>
          <w:color w:val="auto"/>
        </w:rPr>
      </w:pPr>
    </w:p>
    <w:p>
      <w:pPr>
        <w:ind w:right="160" w:firstLine="457"/>
        <w:spacing w:after="0" w:line="272" w:lineRule="auto"/>
        <w:rPr>
          <w:sz w:val="20"/>
          <w:szCs w:val="20"/>
          <w:color w:val="auto"/>
        </w:rPr>
      </w:pPr>
      <w:r>
        <w:rPr>
          <w:rFonts w:ascii="Times New Roman" w:cs="Times New Roman" w:eastAsia="Times New Roman" w:hAnsi="Times New Roman"/>
          <w:sz w:val="16"/>
          <w:szCs w:val="16"/>
          <w:color w:val="auto"/>
        </w:rPr>
        <w:t>The provision for income taxes reflects an effective tax rate of 30.0%, as compared to 20.9% for the 2014 period. The increase in the effective tax rate in 2015 as compared to 2014 was primarily driven by (i) the increase in operating income as a result of the gain on partial extinguishment of our tax receivable agreement obligation described above, and (ii) the provision (benefit) for income taxes, which was impacted by deferred tax expense of approximately $161 million relating to the partial extinguishment of the tax receivable agreement obligation and a deferred tax benefit of $18 million relating to the release of valuation allowance on deferred tax assets. See Note 14 of Notes to Condensed Consolidated Financial Statements.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income attributable to noncontrolling interests remained substantially unchanged as compared to the 2014 period.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2015 versus September 30, 2014</w:t>
      </w:r>
    </w:p>
    <w:p>
      <w:pPr>
        <w:spacing w:after="0" w:line="97" w:lineRule="exact"/>
        <w:rPr>
          <w:sz w:val="20"/>
          <w:szCs w:val="20"/>
          <w:color w:val="auto"/>
        </w:rPr>
      </w:pPr>
    </w:p>
    <w:p>
      <w:pPr>
        <w:ind w:right="440" w:firstLine="457"/>
        <w:spacing w:after="0" w:line="301" w:lineRule="auto"/>
        <w:rPr>
          <w:sz w:val="20"/>
          <w:szCs w:val="20"/>
          <w:color w:val="auto"/>
        </w:rPr>
      </w:pPr>
      <w:r>
        <w:rPr>
          <w:rFonts w:ascii="Times New Roman" w:cs="Times New Roman" w:eastAsia="Times New Roman" w:hAnsi="Times New Roman"/>
          <w:sz w:val="16"/>
          <w:szCs w:val="16"/>
          <w:color w:val="auto"/>
        </w:rPr>
        <w:t>The Company reported net income attributable to Lazard Ltd of $829 million, as compared to net income of $255 million in the 2014 period. The changes in the Company’s operating results during these periods are described below.</w:t>
      </w:r>
    </w:p>
    <w:p>
      <w:pPr>
        <w:spacing w:after="0" w:line="92"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Net revenue increased $94 million, or 6%, with operating revenue increasing $87 million, or 5%, as compared to the 2014 period. Fee revenue from investment banking and other advisory activities increased $103 million, or 12%,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2014 period. Asset management fees, including incentive fees, decreased $21 million, or 3%, as compared to the 2014 period, principally reflecting a decrease in incentive fees relating to traditional investment products. In the aggregate, interest income, other revenue and interest expense increased $12 million as compared to the 2014 period, primarily due to a $24 million gain on the disposal of the Company’s Australian private equity business (which primarily relates to the realization of carried interest at fair value), partially offset by lower investment gains due to LFI. Interest expense was lower due to the refinancing of the 2017 Notes.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400"/>
          </w:cols>
          <w:pgMar w:left="240" w:top="434" w:right="25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Compensation and benefits expense decreased $21 million, or 2%, as compared to the 2014 period, primarily driven by a decrease in discretionary compensation.</w:t>
      </w:r>
    </w:p>
    <w:p>
      <w:pPr>
        <w:spacing w:after="0" w:line="168" w:lineRule="exact"/>
        <w:rPr>
          <w:sz w:val="20"/>
          <w:szCs w:val="20"/>
          <w:color w:val="auto"/>
        </w:rPr>
      </w:pPr>
    </w:p>
    <w:p>
      <w:pPr>
        <w:ind w:right="260" w:firstLine="457"/>
        <w:spacing w:after="0" w:line="282" w:lineRule="auto"/>
        <w:rPr>
          <w:sz w:val="20"/>
          <w:szCs w:val="20"/>
          <w:color w:val="auto"/>
        </w:rPr>
      </w:pPr>
      <w:r>
        <w:rPr>
          <w:rFonts w:ascii="Times New Roman" w:cs="Times New Roman" w:eastAsia="Times New Roman" w:hAnsi="Times New Roman"/>
          <w:sz w:val="16"/>
          <w:szCs w:val="16"/>
          <w:color w:val="auto"/>
        </w:rPr>
        <w:t>Adjusted compensation and benefits expense (which excludes certain items and which we believe allows for improved comparability between periods, as described above) was $991 million, a decrease of $6 million, or 1%, as compared to $997 million in the 2014 period. The ratio of adjusted compensation and benefits expense to operating revenue was 55.6% for the 2015 period, as compared to 58.8% for the 2014 period and 55.6% for full-year 2014.</w:t>
      </w:r>
    </w:p>
    <w:p>
      <w:pPr>
        <w:spacing w:after="0" w:line="107" w:lineRule="exact"/>
        <w:rPr>
          <w:sz w:val="20"/>
          <w:szCs w:val="20"/>
          <w:color w:val="auto"/>
        </w:rPr>
      </w:pPr>
    </w:p>
    <w:p>
      <w:pPr>
        <w:ind w:right="180" w:firstLine="457"/>
        <w:spacing w:after="0" w:line="275" w:lineRule="auto"/>
        <w:rPr>
          <w:sz w:val="20"/>
          <w:szCs w:val="20"/>
          <w:color w:val="auto"/>
        </w:rPr>
      </w:pPr>
      <w:r>
        <w:rPr>
          <w:rFonts w:ascii="Times New Roman" w:cs="Times New Roman" w:eastAsia="Times New Roman" w:hAnsi="Times New Roman"/>
          <w:sz w:val="16"/>
          <w:szCs w:val="16"/>
          <w:color w:val="auto"/>
        </w:rPr>
        <w:t>Non-compensation expense increased $55 million, or 17%, as compared to the 2014 period primarily due to a charge of $60 million related to the redemption of a substantial majority of the Company’s 2017 Notes. Adjusted non-compensation expense, which excludes such charge, as well as non-compensation costs relating to noncontrolling interests, decreased $6 million, or 2%, as compared to the 2014 period. The ratio of adjusted non-compensation expense to operating revenue was 17.9%, as compared to 19.1% in the 2014 period.</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Amortization of intangible assets decreased $3 million in the 2015 period as compared to the 2014 period.</w:t>
      </w:r>
    </w:p>
    <w:p>
      <w:pPr>
        <w:spacing w:after="0" w:line="168" w:lineRule="exact"/>
        <w:rPr>
          <w:sz w:val="20"/>
          <w:szCs w:val="20"/>
          <w:color w:val="auto"/>
        </w:rPr>
      </w:pPr>
    </w:p>
    <w:p>
      <w:pPr>
        <w:jc w:val="both"/>
        <w:ind w:firstLine="457"/>
        <w:spacing w:after="0" w:line="282" w:lineRule="auto"/>
        <w:rPr>
          <w:sz w:val="20"/>
          <w:szCs w:val="20"/>
          <w:color w:val="auto"/>
        </w:rPr>
      </w:pPr>
      <w:r>
        <w:rPr>
          <w:rFonts w:ascii="Times New Roman" w:cs="Times New Roman" w:eastAsia="Times New Roman" w:hAnsi="Times New Roman"/>
          <w:sz w:val="16"/>
          <w:szCs w:val="16"/>
          <w:color w:val="auto"/>
        </w:rPr>
        <w:t>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was $548 million in the 2015 period, as compared to $9 million in the 2014 period (see Note 14 of Notes to Condensed Consolidated Financial Statements for additional information).</w:t>
      </w:r>
    </w:p>
    <w:p>
      <w:pPr>
        <w:spacing w:after="0" w:line="107" w:lineRule="exact"/>
        <w:rPr>
          <w:sz w:val="20"/>
          <w:szCs w:val="20"/>
          <w:color w:val="auto"/>
        </w:rPr>
      </w:pPr>
    </w:p>
    <w:p>
      <w:pPr>
        <w:ind w:right="100" w:firstLine="457"/>
        <w:spacing w:after="0" w:line="282" w:lineRule="auto"/>
        <w:rPr>
          <w:sz w:val="20"/>
          <w:szCs w:val="20"/>
          <w:color w:val="auto"/>
        </w:rPr>
      </w:pPr>
      <w:r>
        <w:rPr>
          <w:rFonts w:ascii="Times New Roman" w:cs="Times New Roman" w:eastAsia="Times New Roman" w:hAnsi="Times New Roman"/>
          <w:sz w:val="16"/>
          <w:szCs w:val="16"/>
          <w:color w:val="auto"/>
        </w:rPr>
        <w:t>Operating income, which included the charge relating to the redemption of a substantial majority of the Company’s 2017 Notes, as well as the impact of the provision pursuant to the tax receivable agreement described above, decreased $476 million as compared to the 2014 period, and, as a percentage of net revenue, was (8.9)%, as compared to 19.2% in the 2014 period.</w:t>
      </w:r>
    </w:p>
    <w:p>
      <w:pPr>
        <w:spacing w:after="0" w:line="107" w:lineRule="exact"/>
        <w:rPr>
          <w:sz w:val="20"/>
          <w:szCs w:val="20"/>
          <w:color w:val="auto"/>
        </w:rPr>
      </w:pPr>
    </w:p>
    <w:p>
      <w:pPr>
        <w:ind w:right="320" w:firstLine="457"/>
        <w:spacing w:after="0" w:line="282" w:lineRule="auto"/>
        <w:rPr>
          <w:sz w:val="20"/>
          <w:szCs w:val="20"/>
          <w:color w:val="auto"/>
        </w:rPr>
      </w:pPr>
      <w:r>
        <w:rPr>
          <w:rFonts w:ascii="Times New Roman" w:cs="Times New Roman" w:eastAsia="Times New Roman" w:hAnsi="Times New Roman"/>
          <w:sz w:val="16"/>
          <w:szCs w:val="16"/>
          <w:color w:val="auto"/>
        </w:rPr>
        <w:t>Earnings from operations, which excludes the charge related to the redemption of a substantial majority of the Company’s 2017 Notes, as well as the impact of the provision pursuant to the tax receivable agreement described above, increased $99 million, or 26%, as compared to the 2014 period, and, as a percentage of operating revenue, was 26.5%, as compared to 22.1% in the 2014 period.</w:t>
      </w:r>
    </w:p>
    <w:p>
      <w:pPr>
        <w:spacing w:after="0" w:line="107" w:lineRule="exact"/>
        <w:rPr>
          <w:sz w:val="20"/>
          <w:szCs w:val="20"/>
          <w:color w:val="auto"/>
        </w:rPr>
      </w:pPr>
    </w:p>
    <w:p>
      <w:pPr>
        <w:ind w:right="60" w:firstLine="457"/>
        <w:spacing w:after="0" w:line="274" w:lineRule="auto"/>
        <w:rPr>
          <w:sz w:val="20"/>
          <w:szCs w:val="20"/>
          <w:color w:val="auto"/>
        </w:rPr>
      </w:pPr>
      <w:r>
        <w:rPr>
          <w:rFonts w:ascii="Times New Roman" w:cs="Times New Roman" w:eastAsia="Times New Roman" w:hAnsi="Times New Roman"/>
          <w:sz w:val="16"/>
          <w:szCs w:val="16"/>
          <w:color w:val="auto"/>
        </w:rPr>
        <w:t>The provision for income taxes reflects an effective tax rate of 637.0%, as compared to 18.3% for the 2014 period. The increase in the effective tax rate in 2015 as compared to 2014 was primarily driven by (i) the reduction of operating income as a result of the provision pursuant to the tax receivable agreement described above, and (ii) the provision (benefit) for income taxes, which was impacted by the recognition of deferred tax assets of $1,217 million and deferred tax expense of approximately $161 million relating to the partial extinguishment of the tax receivable agreement obligation in the third quarter. See Note 14 of Notes to Condensed Consolidated Financial Statements.</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increased $3 million as compared to the 2014 period.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97" w:lineRule="exact"/>
        <w:rPr>
          <w:sz w:val="20"/>
          <w:szCs w:val="20"/>
          <w:color w:val="auto"/>
        </w:rPr>
      </w:pPr>
    </w:p>
    <w:p>
      <w:pPr>
        <w:ind w:right="320" w:firstLine="457"/>
        <w:spacing w:after="0" w:line="275" w:lineRule="auto"/>
        <w:rPr>
          <w:sz w:val="20"/>
          <w:szCs w:val="20"/>
          <w:color w:val="auto"/>
        </w:rPr>
      </w:pPr>
      <w:r>
        <w:rPr>
          <w:rFonts w:ascii="Times New Roman" w:cs="Times New Roman" w:eastAsia="Times New Roman" w:hAnsi="Times New Roman"/>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420"/>
          </w:cols>
          <w:pgMar w:left="240" w:top="434" w:right="239" w:bottom="1440" w:gutter="0" w:footer="0" w:header="0"/>
        </w:sectPr>
      </w:pPr>
    </w:p>
    <w:bookmarkStart w:id="57" w:name="page58"/>
    <w:bookmarkEnd w:id="5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Advisory</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summarize the reported operating results attributable to the Financial Advisory segment: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2"/>
                <w:szCs w:val="12"/>
                <w:color w:val="auto"/>
              </w:rPr>
            </w:pP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5"/>
          </w:tcPr>
          <w:p>
            <w:pPr>
              <w:jc w:val="right"/>
              <w:ind w:right="112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M&amp;A and Other Advisory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288,109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241,213</w:t>
            </w:r>
          </w:p>
        </w:tc>
        <w:tc>
          <w:tcPr>
            <w:tcW w:w="3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$822,063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713,670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Capital Raising</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16,932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17,842</w:t>
            </w:r>
          </w:p>
        </w:tc>
        <w:tc>
          <w:tcPr>
            <w:tcW w:w="380" w:type="dxa"/>
            <w:vAlign w:val="bottom"/>
          </w:tcPr>
          <w:p>
            <w:pPr>
              <w:spacing w:after="0"/>
              <w:rPr>
                <w:sz w:val="17"/>
                <w:szCs w:val="17"/>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51,794</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50,632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Strategic Advisory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305,041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259,055</w:t>
            </w:r>
          </w:p>
        </w:tc>
        <w:tc>
          <w:tcPr>
            <w:tcW w:w="3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873,857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764,302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25,791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32,034</w:t>
            </w:r>
          </w:p>
        </w:tc>
        <w:tc>
          <w:tcPr>
            <w:tcW w:w="380" w:type="dxa"/>
            <w:vAlign w:val="bottom"/>
          </w:tcPr>
          <w:p>
            <w:pPr>
              <w:spacing w:after="0"/>
              <w:rPr>
                <w:sz w:val="17"/>
                <w:szCs w:val="17"/>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74,878</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83,052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330,832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291,089</w:t>
            </w:r>
          </w:p>
        </w:tc>
        <w:tc>
          <w:tcPr>
            <w:tcW w:w="3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948,735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847,354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9"/>
              </w:rPr>
              <w:t>261,952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255,230</w:t>
            </w:r>
          </w:p>
        </w:tc>
        <w:tc>
          <w:tcPr>
            <w:tcW w:w="380" w:type="dxa"/>
            <w:vAlign w:val="bottom"/>
          </w:tcPr>
          <w:p>
            <w:pPr>
              <w:spacing w:after="0"/>
              <w:rPr>
                <w:sz w:val="17"/>
                <w:szCs w:val="17"/>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758,108</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754,449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68,880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35,859</w:t>
            </w:r>
          </w:p>
        </w:tc>
        <w:tc>
          <w:tcPr>
            <w:tcW w:w="3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190,627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92,905</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non-public or sovereign advisory assignments. For example, our M&amp;A and Other Advisory revenue, which includes Sovereign and Capital Structure Advisory revenue, increased 15% in 2015 as compared to 2014. In contrast, the industry statistics for global M&amp;A transactions described above reflect a 37% increase in the value, and an 11% decrease in the number, of all completed transactions in the first nine months of 2015 as compared to 2014. For M&amp;A deals with values greater than $500 million, the value and number of completed transactions in the first nine months of 2015 increased 54% and 7%, respectively, as compared to 2014.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Certain Lazard fee and transaction statistics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6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9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r>
      <w:tr>
        <w:trPr>
          <w:trHeight w:val="153"/>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0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44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Borders>
              <w:bottom w:val="single" w:sz="8" w:color="auto"/>
            </w:tcBorders>
            <w:gridSpan w:val="3"/>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1"/>
        </w:trPr>
        <w:tc>
          <w:tcPr>
            <w:tcW w:w="3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7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6"/>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7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Borders>
              <w:bottom w:val="single" w:sz="8" w:color="CCEEFF"/>
            </w:tcBorders>
          </w:tcPr>
          <w:p>
            <w:pPr>
              <w:spacing w:after="0"/>
              <w:rPr>
                <w:sz w:val="11"/>
                <w:szCs w:val="11"/>
                <w:color w:val="auto"/>
              </w:rPr>
            </w:pPr>
          </w:p>
        </w:tc>
      </w:tr>
      <w:tr>
        <w:trPr>
          <w:trHeight w:val="181"/>
        </w:trPr>
        <w:tc>
          <w:tcPr>
            <w:tcW w:w="55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Lazard Statistics:</w:t>
            </w:r>
          </w:p>
        </w:tc>
        <w:tc>
          <w:tcPr>
            <w:tcW w:w="1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1"/>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Number of clients with fees greater than $1 million:</w:t>
            </w: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300" w:type="dxa"/>
            <w:vAlign w:val="bottom"/>
            <w:shd w:val="clear" w:color="auto" w:fill="CCEEFF"/>
          </w:tcPr>
          <w:p>
            <w:pPr>
              <w:spacing w:after="0"/>
              <w:rPr>
                <w:sz w:val="17"/>
                <w:szCs w:val="17"/>
                <w:color w:val="auto"/>
              </w:rPr>
            </w:pPr>
          </w:p>
        </w:tc>
        <w:tc>
          <w:tcPr>
            <w:tcW w:w="5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Financial Advisory</w:t>
            </w:r>
          </w:p>
        </w:tc>
        <w:tc>
          <w:tcPr>
            <w:tcW w:w="27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62</w:t>
            </w: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203</w:t>
            </w:r>
          </w:p>
        </w:tc>
      </w:tr>
      <w:tr>
        <w:trPr>
          <w:trHeight w:val="201"/>
        </w:trPr>
        <w:tc>
          <w:tcPr>
            <w:tcW w:w="300" w:type="dxa"/>
            <w:vAlign w:val="bottom"/>
          </w:tcPr>
          <w:p>
            <w:pPr>
              <w:spacing w:after="0"/>
              <w:rPr>
                <w:sz w:val="17"/>
                <w:szCs w:val="17"/>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M&amp;A and Other Advisory</w:t>
            </w:r>
          </w:p>
        </w:tc>
        <w:tc>
          <w:tcPr>
            <w:tcW w:w="274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7"/>
                <w:szCs w:val="17"/>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50</w:t>
            </w:r>
          </w:p>
        </w:tc>
        <w:tc>
          <w:tcPr>
            <w:tcW w:w="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161</w:t>
            </w:r>
          </w:p>
        </w:tc>
      </w:tr>
      <w:tr>
        <w:trPr>
          <w:trHeight w:val="201"/>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total Financial Advisory net revenue from top 10 clients</w:t>
            </w:r>
          </w:p>
        </w:tc>
        <w:tc>
          <w:tcPr>
            <w:tcW w:w="27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Number of M&amp;A transactions completed with values greater than $500 million (a)</w:t>
            </w:r>
          </w:p>
        </w:tc>
        <w:tc>
          <w:tcPr>
            <w:tcW w:w="2740" w:type="dxa"/>
            <w:vAlign w:val="bottom"/>
            <w:gridSpan w:val="3"/>
          </w:tcPr>
          <w:p>
            <w:pPr>
              <w:ind w:left="186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20</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r>
      <w:tr>
        <w:trPr>
          <w:trHeight w:val="88"/>
        </w:trPr>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19"/>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(a)</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Source: Dealogic as of October 5, 2015.</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520" w:type="dxa"/>
            <w:vAlign w:val="bottom"/>
          </w:tcPr>
          <w:p>
            <w:pPr>
              <w:jc w:val="right"/>
              <w:ind w:right="1158"/>
              <w:spacing w:after="0"/>
              <w:rPr>
                <w:sz w:val="20"/>
                <w:szCs w:val="20"/>
                <w:color w:val="auto"/>
              </w:rPr>
            </w:pPr>
            <w:r>
              <w:rPr>
                <w:rFonts w:ascii="Times New Roman" w:cs="Times New Roman" w:eastAsia="Times New Roman" w:hAnsi="Times New Roman"/>
                <w:sz w:val="16"/>
                <w:szCs w:val="16"/>
                <w:color w:val="auto"/>
              </w:rPr>
              <w:t>56</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34" w:right="23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00" w:firstLine="457"/>
        <w:spacing w:after="0" w:line="282" w:lineRule="auto"/>
        <w:rPr>
          <w:sz w:val="20"/>
          <w:szCs w:val="20"/>
          <w:color w:val="auto"/>
        </w:rPr>
      </w:pPr>
      <w:r>
        <w:rPr>
          <w:rFonts w:ascii="Times New Roman" w:cs="Times New Roman" w:eastAsia="Times New Roman" w:hAnsi="Times New Roman"/>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2520" w:type="dxa"/>
            <w:vAlign w:val="bottom"/>
            <w:gridSpan w:val="4"/>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94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9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6"/>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76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6"/>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3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59%</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54%</w:t>
            </w:r>
          </w:p>
        </w:tc>
        <w:tc>
          <w:tcPr>
            <w:tcW w:w="13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58%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1"/>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760" w:type="dxa"/>
            <w:vAlign w:val="bottom"/>
          </w:tcPr>
          <w:p>
            <w:pPr>
              <w:spacing w:after="0"/>
              <w:rPr>
                <w:sz w:val="17"/>
                <w:szCs w:val="17"/>
                <w:color w:val="auto"/>
              </w:rPr>
            </w:pPr>
          </w:p>
        </w:tc>
        <w:tc>
          <w:tcPr>
            <w:tcW w:w="13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7</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vMerge w:val="continue"/>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100%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firstLine="457"/>
        <w:spacing w:after="0" w:line="272" w:lineRule="auto"/>
        <w:rPr>
          <w:sz w:val="20"/>
          <w:szCs w:val="20"/>
          <w:color w:val="auto"/>
        </w:rPr>
      </w:pPr>
      <w:r>
        <w:rPr>
          <w:rFonts w:ascii="Times New Roman" w:cs="Times New Roman" w:eastAsia="Times New Roman" w:hAnsi="Times New Roman"/>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Financial Advisory Results of Operations</w:t>
      </w:r>
    </w:p>
    <w:p>
      <w:pPr>
        <w:spacing w:after="0" w:line="93" w:lineRule="exact"/>
        <w:rPr>
          <w:sz w:val="20"/>
          <w:szCs w:val="20"/>
          <w:color w:val="auto"/>
        </w:rPr>
      </w:pPr>
    </w:p>
    <w:p>
      <w:pPr>
        <w:ind w:right="120" w:firstLine="457"/>
        <w:spacing w:after="0" w:line="284" w:lineRule="auto"/>
        <w:rPr>
          <w:sz w:val="20"/>
          <w:szCs w:val="20"/>
          <w:color w:val="auto"/>
        </w:rPr>
      </w:pPr>
      <w:r>
        <w:rPr>
          <w:rFonts w:ascii="Times New Roman" w:cs="Times New Roman" w:eastAsia="Times New Roman" w:hAnsi="Times New Roman"/>
          <w:sz w:val="16"/>
          <w:szCs w:val="16"/>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2015 versus September 30, 2014</w:t>
      </w:r>
    </w:p>
    <w:p>
      <w:pPr>
        <w:spacing w:after="0" w:line="97" w:lineRule="exact"/>
        <w:rPr>
          <w:sz w:val="20"/>
          <w:szCs w:val="20"/>
          <w:color w:val="auto"/>
        </w:rPr>
      </w:pPr>
    </w:p>
    <w:p>
      <w:pPr>
        <w:jc w:val="both"/>
        <w:ind w:right="20" w:firstLine="457"/>
        <w:spacing w:after="0" w:line="301" w:lineRule="auto"/>
        <w:rPr>
          <w:sz w:val="20"/>
          <w:szCs w:val="20"/>
          <w:color w:val="auto"/>
        </w:rPr>
      </w:pPr>
      <w:r>
        <w:rPr>
          <w:rFonts w:ascii="Times New Roman" w:cs="Times New Roman" w:eastAsia="Times New Roman" w:hAnsi="Times New Roman"/>
          <w:sz w:val="16"/>
          <w:szCs w:val="16"/>
          <w:color w:val="auto"/>
        </w:rPr>
        <w:t>Financial Advisory net revenue increased $40 million, or 14%, as compared to the 2014 period. Total Strategic Advisory net revenue, representing fees from our M&amp;A and Other Advisory and Capital Raising businesses, increased $46 million, or 18%, and Restructuring revenue decreased $6 million, or 19%, as compared to the 2014 period.</w:t>
      </w:r>
    </w:p>
    <w:p>
      <w:pPr>
        <w:spacing w:after="0" w:line="92"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6"/>
          <w:szCs w:val="16"/>
          <w:color w:val="auto"/>
        </w:rPr>
        <w:t>M&amp;A and Other Advisory revenue increased $47 million, or 19%, while Capital Raising revenue decreased by $1 million, or 5%, as compared to the 2014 period. The increase in M&amp;A and Other Advisory revenue was primarily due to an increase in the number of, and average transaction fee with respect to, completed transactions involving fees greater than $1 million as compared to the 2014 period. Our major clients, which in the aggregate represented a significant portion of our M&amp;A and Other Advisory revenue in the 2015 period, included AT&amp;T, Capgemini Group, D.E Master Blenders 1753, Heinz, NiSource, Pfizer and RockTenn.</w:t>
      </w:r>
    </w:p>
    <w:p>
      <w:pPr>
        <w:spacing w:after="0" w:line="113" w:lineRule="exact"/>
        <w:rPr>
          <w:sz w:val="20"/>
          <w:szCs w:val="20"/>
          <w:color w:val="auto"/>
        </w:rPr>
      </w:pPr>
    </w:p>
    <w:p>
      <w:pPr>
        <w:ind w:right="220" w:firstLine="457"/>
        <w:spacing w:after="0" w:line="282" w:lineRule="auto"/>
        <w:rPr>
          <w:sz w:val="20"/>
          <w:szCs w:val="20"/>
          <w:color w:val="auto"/>
        </w:rPr>
      </w:pPr>
      <w:r>
        <w:rPr>
          <w:rFonts w:ascii="Times New Roman" w:cs="Times New Roman" w:eastAsia="Times New Roman" w:hAnsi="Times New Roman"/>
          <w:sz w:val="16"/>
          <w:szCs w:val="16"/>
          <w:color w:val="auto"/>
        </w:rPr>
        <w:t>The Restructuring revenue in the 2015 period was generally in line with the continued industry-wide low level of corporate restructuring activity. Our major clients, which in the aggregate represented a significant portion of our Restructuring revenue for the 2015 period, included Chassix, RadioShack, Standard Register and Target Canada.</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Operating expenses increased $7 million, or 3%, as compared to the 2014 period, primarily due to an increase in compensation and benefits expense.</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420"/>
          </w:cols>
          <w:pgMar w:left="240" w:top="434" w:right="239" w:bottom="1440" w:gutter="0" w:footer="0" w:header="0"/>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301" w:lineRule="auto"/>
        <w:rPr>
          <w:sz w:val="20"/>
          <w:szCs w:val="20"/>
          <w:color w:val="auto"/>
        </w:rPr>
      </w:pPr>
      <w:r>
        <w:rPr>
          <w:rFonts w:ascii="Times New Roman" w:cs="Times New Roman" w:eastAsia="Times New Roman" w:hAnsi="Times New Roman"/>
          <w:sz w:val="16"/>
          <w:szCs w:val="16"/>
          <w:color w:val="auto"/>
        </w:rPr>
        <w:t>Financial Advisory operating income was $69 million, an increase of $33 million, or 92%, as compared to operating income of $36 million in the 2014 period and, as a percentage of net revenue, was 20.8%, as compared to 12.3% in the 2014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2015 versus September 30, 2014</w:t>
      </w:r>
    </w:p>
    <w:p>
      <w:pPr>
        <w:spacing w:after="0" w:line="97" w:lineRule="exact"/>
        <w:rPr>
          <w:sz w:val="20"/>
          <w:szCs w:val="20"/>
          <w:color w:val="auto"/>
        </w:rPr>
      </w:pPr>
    </w:p>
    <w:p>
      <w:pPr>
        <w:ind w:right="40" w:firstLine="457"/>
        <w:spacing w:after="0" w:line="296" w:lineRule="auto"/>
        <w:rPr>
          <w:sz w:val="20"/>
          <w:szCs w:val="20"/>
          <w:color w:val="auto"/>
        </w:rPr>
      </w:pPr>
      <w:r>
        <w:rPr>
          <w:rFonts w:ascii="Times New Roman" w:cs="Times New Roman" w:eastAsia="Times New Roman" w:hAnsi="Times New Roman"/>
          <w:sz w:val="16"/>
          <w:szCs w:val="16"/>
          <w:color w:val="auto"/>
        </w:rPr>
        <w:t>Financial Advisory net revenue increased $101 million, or 12%, as compared to the 2014 period. Total Strategic Advisory net revenue, representing fees from our M&amp;A and Other Advisory and Capital Raising businesses, increased $110 million, or 14%, and Restructuring revenue decreased $8 million, or 10%, as compared to the 2014 period.</w:t>
      </w:r>
    </w:p>
    <w:p>
      <w:pPr>
        <w:spacing w:after="0" w:line="301" w:lineRule="exact"/>
        <w:rPr>
          <w:sz w:val="20"/>
          <w:szCs w:val="20"/>
          <w:color w:val="auto"/>
        </w:rPr>
      </w:pPr>
    </w:p>
    <w:p>
      <w:pPr>
        <w:ind w:right="180" w:firstLine="457"/>
        <w:spacing w:after="0" w:line="275" w:lineRule="auto"/>
        <w:rPr>
          <w:sz w:val="20"/>
          <w:szCs w:val="20"/>
          <w:color w:val="auto"/>
        </w:rPr>
      </w:pPr>
      <w:r>
        <w:rPr>
          <w:rFonts w:ascii="Times New Roman" w:cs="Times New Roman" w:eastAsia="Times New Roman" w:hAnsi="Times New Roman"/>
          <w:sz w:val="16"/>
          <w:szCs w:val="16"/>
          <w:color w:val="auto"/>
        </w:rPr>
        <w:t>M&amp;A and Other Advisory revenue increased $108 million, or 15%, while Capital Raising revenue increased $1 million, or 2%, as compared to the 2014 period. The increase in M&amp;A and Other Advisory revenue was primarily due to an increase in the number of, and average transaction fee with respect to, completed transactions involving fees greater than $1 million as compared to the 2014 period. Restructuring revenue in the 2015 period was generally in line with the continued industry-wide low level of corporate restructuring activity.</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Operating expenses increased $4 million, or 1%, as compared to the 2014 period, primarily due to an increase in compensation and benefits expense.</w:t>
      </w:r>
    </w:p>
    <w:p>
      <w:pPr>
        <w:spacing w:after="0" w:line="168"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Financial Advisory operating income was $191 million, an increase of $98 million, or 105%, as compared to operating income of $93 million in the 2014 period and, as a percentage of net revenue, was 20.1%, as compared to 11.0% in the 2014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Management</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shows the composition of AUM for the Asset Management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86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8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60" w:type="dxa"/>
            <w:vAlign w:val="bottom"/>
          </w:tcPr>
          <w:p>
            <w:pPr>
              <w:spacing w:after="0"/>
              <w:rPr>
                <w:sz w:val="10"/>
                <w:szCs w:val="10"/>
                <w:color w:val="auto"/>
              </w:rPr>
            </w:pPr>
          </w:p>
        </w:tc>
        <w:tc>
          <w:tcPr>
            <w:tcW w:w="7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jc w:val="center"/>
              <w:ind w:left="341"/>
              <w:spacing w:after="0" w:line="144" w:lineRule="exact"/>
              <w:rPr>
                <w:sz w:val="20"/>
                <w:szCs w:val="20"/>
                <w:color w:val="auto"/>
              </w:rPr>
            </w:pPr>
            <w:r>
              <w:rPr>
                <w:rFonts w:ascii="Times New Roman" w:cs="Times New Roman" w:eastAsia="Times New Roman" w:hAnsi="Times New Roman"/>
                <w:sz w:val="13"/>
                <w:szCs w:val="13"/>
                <w:b w:val="1"/>
                <w:bCs w:val="1"/>
                <w:color w:val="auto"/>
                <w:w w:val="96"/>
              </w:rPr>
              <w:t>($ in millions)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AUM by Asset Class:</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Emerging Markets</w:t>
            </w:r>
          </w:p>
        </w:tc>
        <w:tc>
          <w:tcPr>
            <w:tcW w:w="5480" w:type="dxa"/>
            <w:vAlign w:val="bottom"/>
            <w:gridSpan w:val="2"/>
            <w:shd w:val="clear" w:color="auto" w:fill="CCEEFF"/>
          </w:tcPr>
          <w:p>
            <w:pPr>
              <w:ind w:left="5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37,663</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Global</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30,143</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Local</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29,622</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Multi-Regional</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49,364</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Equity</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146,792</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Fixed Income:</w:t>
            </w:r>
          </w:p>
        </w:tc>
        <w:tc>
          <w:tcPr>
            <w:tcW w:w="5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Emerging Markets</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14,920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Global</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4,200</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Local</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3,846</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Multi-Regional</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8,478</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Fixed Income</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31,444</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Alternative Investments</w:t>
            </w:r>
          </w:p>
        </w:tc>
        <w:tc>
          <w:tcPr>
            <w:tcW w:w="5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Equity</w:t>
            </w: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858</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Management</w:t>
            </w: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AUM</w:t>
            </w:r>
          </w:p>
        </w:tc>
        <w:tc>
          <w:tcPr>
            <w:tcW w:w="5480" w:type="dxa"/>
            <w:vAlign w:val="bottom"/>
            <w:gridSpan w:val="2"/>
            <w:shd w:val="clear" w:color="auto" w:fill="CCEEFF"/>
          </w:tcPr>
          <w:p>
            <w:pPr>
              <w:ind w:left="5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182,622</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320" w:type="dxa"/>
            <w:vAlign w:val="bottom"/>
            <w:vMerge w:val="restart"/>
          </w:tcPr>
          <w:p>
            <w:pPr>
              <w:jc w:val="right"/>
              <w:ind w:right="3298"/>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jc w:val="both"/>
        <w:ind w:right="40" w:firstLine="457"/>
        <w:spacing w:after="0" w:line="275" w:lineRule="auto"/>
        <w:rPr>
          <w:sz w:val="20"/>
          <w:szCs w:val="20"/>
          <w:color w:val="auto"/>
        </w:rPr>
      </w:pPr>
      <w:r>
        <w:rPr>
          <w:rFonts w:ascii="Times New Roman" w:cs="Times New Roman" w:eastAsia="Times New Roman" w:hAnsi="Times New Roman"/>
          <w:sz w:val="16"/>
          <w:szCs w:val="16"/>
          <w:color w:val="auto"/>
        </w:rPr>
        <w:t>Total AUM at September 30, 2015 was $183 billion, a decrease of $14 billion, or 7%, as compared to total AUM of $197 billion at December 31, 2014, and a decrease of $20 billion, or 10%, as compared to total AUM of $203 billion at June 30, 2015, primarily due to market depreciation and foreign exchange movements, partially offset by net inflows. Average AUM for the three month period ended September 30, 2015 was 5% lower than average AUM for the three month period ended September 30, 2014. Average AUM for the nine month period ended September 30, 2015 was 1% higher than average AUM for the nine month period ended September 30, 2014.</w:t>
      </w:r>
    </w:p>
    <w:p>
      <w:pPr>
        <w:spacing w:after="0" w:line="113"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6"/>
          <w:szCs w:val="16"/>
          <w:color w:val="auto"/>
        </w:rPr>
        <w:t>As of September 30, 2015,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90% as of December 31, 2014, and, as of September 30, 2015, approximately 12% of our AUM was managed on behalf of individual client relationships, which are principally with family offices and individuals, compared to approximately 10% at December 31, 2014.</w:t>
      </w:r>
    </w:p>
    <w:p>
      <w:pPr>
        <w:spacing w:after="0" w:line="113" w:lineRule="exact"/>
        <w:rPr>
          <w:sz w:val="20"/>
          <w:szCs w:val="20"/>
          <w:color w:val="auto"/>
        </w:rPr>
      </w:pPr>
    </w:p>
    <w:p>
      <w:pPr>
        <w:ind w:right="40" w:firstLine="457"/>
        <w:spacing w:after="0" w:line="282" w:lineRule="auto"/>
        <w:rPr>
          <w:sz w:val="20"/>
          <w:szCs w:val="20"/>
          <w:color w:val="auto"/>
        </w:rPr>
      </w:pPr>
      <w:r>
        <w:rPr>
          <w:rFonts w:ascii="Times New Roman" w:cs="Times New Roman" w:eastAsia="Times New Roman" w:hAnsi="Times New Roman"/>
          <w:sz w:val="16"/>
          <w:szCs w:val="16"/>
          <w:color w:val="auto"/>
        </w:rPr>
        <w:t>As of September 30, 2015, AUM with foreign currency exposure represented approximately 72% of our total AUM, compared to approximately 73% at December 31, 2014. AUM with foreign currency exposure generally declines in value with the strengthening of the U.S. Dollar and increases in value as the U.S. Dollar weakens, with all other factors held constant.</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is a summary of changes in AUM by asset class for the three month and nine month periods ended September 30, 2015 and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2015</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6"/>
        </w:trPr>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444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Exchange</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r>
      <w:tr>
        <w:trPr>
          <w:trHeight w:val="138"/>
        </w:trPr>
        <w:tc>
          <w:tcPr>
            <w:tcW w:w="444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w w:val="95"/>
              </w:rPr>
              <w:t>Beginning</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Net</w:t>
            </w:r>
          </w:p>
        </w:tc>
        <w:tc>
          <w:tcPr>
            <w:tcW w:w="108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Appreciation/</w:t>
            </w:r>
          </w:p>
        </w:tc>
        <w:tc>
          <w:tcPr>
            <w:tcW w:w="140" w:type="dxa"/>
            <w:vAlign w:val="bottom"/>
          </w:tcPr>
          <w:p>
            <w:pPr>
              <w:spacing w:after="0"/>
              <w:rPr>
                <w:sz w:val="12"/>
                <w:szCs w:val="12"/>
                <w:color w:val="auto"/>
              </w:rPr>
            </w:pPr>
          </w:p>
        </w:tc>
        <w:tc>
          <w:tcPr>
            <w:tcW w:w="1220" w:type="dxa"/>
            <w:vAlign w:val="bottom"/>
            <w:gridSpan w:val="3"/>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Appreciation/</w:t>
            </w: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Ending</w:t>
            </w:r>
          </w:p>
        </w:tc>
      </w:tr>
      <w:tr>
        <w:trPr>
          <w:trHeight w:val="153"/>
        </w:trPr>
        <w:tc>
          <w:tcPr>
            <w:tcW w:w="44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Inflows</w:t>
            </w:r>
          </w:p>
        </w:tc>
        <w:tc>
          <w:tcPr>
            <w:tcW w:w="320" w:type="dxa"/>
            <w:vAlign w:val="bottom"/>
          </w:tcPr>
          <w:p>
            <w:pPr>
              <w:spacing w:after="0"/>
              <w:rPr>
                <w:sz w:val="13"/>
                <w:szCs w:val="13"/>
                <w:color w:val="auto"/>
              </w:rPr>
            </w:pPr>
          </w:p>
        </w:tc>
        <w:tc>
          <w:tcPr>
            <w:tcW w:w="8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Outflows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Flows</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Balance</w:t>
            </w:r>
          </w:p>
        </w:tc>
      </w:tr>
      <w:tr>
        <w:trPr>
          <w:trHeight w:val="131"/>
        </w:trPr>
        <w:tc>
          <w:tcPr>
            <w:tcW w:w="4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90"/>
              <w:spacing w:after="0" w:line="131"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$ 166,402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7,427</w:t>
            </w:r>
          </w:p>
        </w:tc>
        <w:tc>
          <w:tcPr>
            <w:tcW w:w="116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  (7,812)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(385)</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(15,430)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146,792</w:t>
            </w:r>
          </w:p>
        </w:tc>
        <w:tc>
          <w:tcPr>
            <w:tcW w:w="100" w:type="dxa"/>
            <w:vAlign w:val="bottom"/>
            <w:shd w:val="clear" w:color="auto" w:fill="CCEEFF"/>
          </w:tcPr>
          <w:p>
            <w:pPr>
              <w:spacing w:after="0"/>
              <w:rPr>
                <w:sz w:val="17"/>
                <w:szCs w:val="17"/>
                <w:color w:val="auto"/>
              </w:rPr>
            </w:pPr>
          </w:p>
        </w:tc>
      </w:tr>
      <w:tr>
        <w:trPr>
          <w:trHeight w:val="201"/>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Fixed Income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32,513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16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(1,902)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286</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31,444</w:t>
            </w:r>
          </w:p>
        </w:tc>
        <w:tc>
          <w:tcPr>
            <w:tcW w:w="100" w:type="dxa"/>
            <w:vAlign w:val="bottom"/>
          </w:tcPr>
          <w:p>
            <w:pPr>
              <w:spacing w:after="0"/>
              <w:rPr>
                <w:sz w:val="17"/>
                <w:szCs w:val="17"/>
                <w:color w:val="auto"/>
              </w:rPr>
            </w:pPr>
          </w:p>
        </w:tc>
      </w:tr>
      <w:tr>
        <w:trPr>
          <w:trHeight w:val="20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4,171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16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shd w:val="clear" w:color="auto" w:fill="CCEEFF"/>
          </w:tcPr>
          <w:p>
            <w:pPr>
              <w:spacing w:after="0"/>
              <w:rPr>
                <w:sz w:val="17"/>
                <w:szCs w:val="17"/>
                <w:color w:val="auto"/>
              </w:rPr>
            </w:pPr>
          </w:p>
        </w:tc>
      </w:tr>
      <w:tr>
        <w:trPr>
          <w:trHeight w:val="20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$ 203,086</w:t>
            </w:r>
          </w:p>
        </w:tc>
        <w:tc>
          <w:tcPr>
            <w:tcW w:w="3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$ 10,461</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(10,260</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182,622</w:t>
            </w:r>
          </w:p>
        </w:tc>
        <w:tc>
          <w:tcPr>
            <w:tcW w:w="10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4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Nine Months Ended September 30, 2015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444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Exchange</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r>
      <w:tr>
        <w:trPr>
          <w:trHeight w:val="138"/>
        </w:trPr>
        <w:tc>
          <w:tcPr>
            <w:tcW w:w="444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w w:val="95"/>
              </w:rPr>
              <w:t>Beginning</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Net</w:t>
            </w:r>
          </w:p>
        </w:tc>
        <w:tc>
          <w:tcPr>
            <w:tcW w:w="108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Appreciation/</w:t>
            </w:r>
          </w:p>
        </w:tc>
        <w:tc>
          <w:tcPr>
            <w:tcW w:w="140" w:type="dxa"/>
            <w:vAlign w:val="bottom"/>
          </w:tcPr>
          <w:p>
            <w:pPr>
              <w:spacing w:after="0"/>
              <w:rPr>
                <w:sz w:val="12"/>
                <w:szCs w:val="12"/>
                <w:color w:val="auto"/>
              </w:rPr>
            </w:pPr>
          </w:p>
        </w:tc>
        <w:tc>
          <w:tcPr>
            <w:tcW w:w="1220" w:type="dxa"/>
            <w:vAlign w:val="bottom"/>
            <w:gridSpan w:val="3"/>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Appreciation/</w:t>
            </w: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Ending</w:t>
            </w:r>
          </w:p>
        </w:tc>
      </w:tr>
      <w:tr>
        <w:trPr>
          <w:trHeight w:val="153"/>
        </w:trPr>
        <w:tc>
          <w:tcPr>
            <w:tcW w:w="44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Inflows</w:t>
            </w:r>
          </w:p>
        </w:tc>
        <w:tc>
          <w:tcPr>
            <w:tcW w:w="320" w:type="dxa"/>
            <w:vAlign w:val="bottom"/>
          </w:tcPr>
          <w:p>
            <w:pPr>
              <w:spacing w:after="0"/>
              <w:rPr>
                <w:sz w:val="13"/>
                <w:szCs w:val="13"/>
                <w:color w:val="auto"/>
              </w:rPr>
            </w:pPr>
          </w:p>
        </w:tc>
        <w:tc>
          <w:tcPr>
            <w:tcW w:w="8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Outflows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Flows</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Balance</w:t>
            </w:r>
          </w:p>
        </w:tc>
      </w:tr>
      <w:tr>
        <w:trPr>
          <w:trHeight w:val="131"/>
        </w:trPr>
        <w:tc>
          <w:tcPr>
            <w:tcW w:w="4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90"/>
              <w:spacing w:after="0" w:line="131"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$ 160,912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$ 21,338</w:t>
            </w:r>
          </w:p>
        </w:tc>
        <w:tc>
          <w:tcPr>
            <w:tcW w:w="116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 (21,453)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146,792</w:t>
            </w:r>
          </w:p>
        </w:tc>
        <w:tc>
          <w:tcPr>
            <w:tcW w:w="100" w:type="dxa"/>
            <w:vAlign w:val="bottom"/>
            <w:shd w:val="clear" w:color="auto" w:fill="CCEEFF"/>
          </w:tcPr>
          <w:p>
            <w:pPr>
              <w:spacing w:after="0"/>
              <w:rPr>
                <w:sz w:val="17"/>
                <w:szCs w:val="17"/>
                <w:color w:val="auto"/>
              </w:rPr>
            </w:pPr>
          </w:p>
        </w:tc>
      </w:tr>
      <w:tr>
        <w:trPr>
          <w:trHeight w:val="201"/>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Fixed Income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31,110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116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(4,527)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3,429</w:t>
            </w:r>
          </w:p>
        </w:tc>
        <w:tc>
          <w:tcPr>
            <w:tcW w:w="2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(2,432)</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31,444</w:t>
            </w:r>
          </w:p>
        </w:tc>
        <w:tc>
          <w:tcPr>
            <w:tcW w:w="100" w:type="dxa"/>
            <w:vAlign w:val="bottom"/>
          </w:tcPr>
          <w:p>
            <w:pPr>
              <w:spacing w:after="0"/>
              <w:rPr>
                <w:sz w:val="17"/>
                <w:szCs w:val="17"/>
                <w:color w:val="auto"/>
              </w:rPr>
            </w:pPr>
          </w:p>
        </w:tc>
      </w:tr>
      <w:tr>
        <w:trPr>
          <w:trHeight w:val="20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16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shd w:val="clear" w:color="auto" w:fill="CCEEFF"/>
          </w:tcPr>
          <w:p>
            <w:pPr>
              <w:spacing w:after="0"/>
              <w:rPr>
                <w:sz w:val="17"/>
                <w:szCs w:val="17"/>
                <w:color w:val="auto"/>
              </w:rPr>
            </w:pPr>
          </w:p>
        </w:tc>
      </w:tr>
      <w:tr>
        <w:trPr>
          <w:trHeight w:val="20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$ 197,103</w:t>
            </w:r>
          </w:p>
        </w:tc>
        <w:tc>
          <w:tcPr>
            <w:tcW w:w="3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$ 30,463</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(27,673</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$ 2,790</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(10,386)</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182,622</w:t>
            </w:r>
          </w:p>
        </w:tc>
        <w:tc>
          <w:tcPr>
            <w:tcW w:w="10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4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34" w:right="239" w:bottom="1440" w:gutter="0" w:footer="0" w:header="0"/>
        </w:sectPr>
      </w:pPr>
    </w:p>
    <w:bookmarkStart w:id="61" w:name="page62"/>
    <w:bookmarkEnd w:id="6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jc w:val="both"/>
        <w:ind w:right="200" w:firstLine="457"/>
        <w:spacing w:after="0" w:line="282" w:lineRule="auto"/>
        <w:rPr>
          <w:sz w:val="20"/>
          <w:szCs w:val="20"/>
          <w:color w:val="auto"/>
        </w:rPr>
      </w:pPr>
      <w:r>
        <w:rPr>
          <w:rFonts w:ascii="Times New Roman" w:cs="Times New Roman" w:eastAsia="Times New Roman" w:hAnsi="Times New Roman"/>
          <w:sz w:val="16"/>
          <w:szCs w:val="16"/>
          <w:color w:val="auto"/>
        </w:rPr>
        <w:t>Inflows in the Equity and Fixed Income asset classes were primarily attributable to the Emerging Markets, Multi-Regional and Global equity platforms. Outflows in the Equity asset class were primarily attributable to the Emerging Markets, Multi-Regional and Global equity platforms, and outflows in the Fixed Income asset class were primarily attributable to the Multi-Regional and Emerging Markets platforms.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1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 2014</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6"/>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r>
      <w:tr>
        <w:trPr>
          <w:trHeight w:val="13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5"/>
              </w:rPr>
              <w:t>Beginning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2"/>
                <w:szCs w:val="12"/>
                <w:color w:val="auto"/>
              </w:rPr>
            </w:pPr>
          </w:p>
        </w:tc>
        <w:tc>
          <w:tcPr>
            <w:tcW w:w="1160" w:type="dxa"/>
            <w:vAlign w:val="bottom"/>
            <w:gridSpan w:val="5"/>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Appreciation/</w:t>
            </w:r>
          </w:p>
        </w:tc>
        <w:tc>
          <w:tcPr>
            <w:tcW w:w="20" w:type="dxa"/>
            <w:vAlign w:val="bottom"/>
          </w:tcPr>
          <w:p>
            <w:pPr>
              <w:spacing w:after="0"/>
              <w:rPr>
                <w:sz w:val="12"/>
                <w:szCs w:val="12"/>
                <w:color w:val="auto"/>
              </w:rPr>
            </w:pPr>
          </w:p>
        </w:tc>
        <w:tc>
          <w:tcPr>
            <w:tcW w:w="1160" w:type="dxa"/>
            <w:vAlign w:val="bottom"/>
            <w:gridSpan w:val="3"/>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Appreciation/</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8"/>
              </w:rPr>
              <w:t>Ending</w:t>
            </w:r>
          </w:p>
        </w:tc>
      </w:tr>
      <w:tr>
        <w:trPr>
          <w:trHeight w:val="153"/>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Inflows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w w:val="98"/>
              </w:rPr>
              <w:t>Outflows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Flows</w:t>
            </w:r>
          </w:p>
        </w:tc>
        <w:tc>
          <w:tcPr>
            <w:tcW w:w="100" w:type="dxa"/>
            <w:vAlign w:val="bottom"/>
          </w:tcPr>
          <w:p>
            <w:pPr>
              <w:spacing w:after="0"/>
              <w:rPr>
                <w:sz w:val="13"/>
                <w:szCs w:val="13"/>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20" w:type="dxa"/>
            <w:vAlign w:val="bottom"/>
          </w:tcPr>
          <w:p>
            <w:pPr>
              <w:spacing w:after="0"/>
              <w:rPr>
                <w:sz w:val="13"/>
                <w:szCs w:val="13"/>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2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Balance</w:t>
            </w:r>
          </w:p>
        </w:tc>
      </w:tr>
      <w:tr>
        <w:trPr>
          <w:trHeight w:val="131"/>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tcPr>
          <w:p>
            <w:pPr>
              <w:jc w:val="center"/>
              <w:ind w:right="112"/>
              <w:spacing w:after="0" w:line="131" w:lineRule="exact"/>
              <w:rPr>
                <w:sz w:val="20"/>
                <w:szCs w:val="20"/>
                <w:color w:val="auto"/>
              </w:rPr>
            </w:pPr>
            <w:r>
              <w:rPr>
                <w:rFonts w:ascii="Times New Roman" w:cs="Times New Roman" w:eastAsia="Times New Roman" w:hAnsi="Times New Roman"/>
                <w:sz w:val="13"/>
                <w:szCs w:val="13"/>
                <w:b w:val="1"/>
                <w:bCs w:val="1"/>
                <w:color w:val="auto"/>
                <w:w w:val="96"/>
              </w:rPr>
              <w:t>($ in millions)</w:t>
            </w: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167,374</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8,028</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(6,424)</w:t>
            </w:r>
          </w:p>
        </w:tc>
        <w:tc>
          <w:tcPr>
            <w:tcW w:w="1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(1,286)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161,301</w:t>
            </w:r>
          </w:p>
        </w:tc>
        <w:tc>
          <w:tcPr>
            <w:tcW w:w="100" w:type="dxa"/>
            <w:vAlign w:val="bottom"/>
            <w:shd w:val="clear" w:color="auto" w:fill="CCEEFF"/>
          </w:tcPr>
          <w:p>
            <w:pPr>
              <w:spacing w:after="0"/>
              <w:rPr>
                <w:sz w:val="17"/>
                <w:szCs w:val="17"/>
                <w:color w:val="auto"/>
              </w:rPr>
            </w:pPr>
          </w:p>
        </w:tc>
      </w:tr>
      <w:tr>
        <w:trPr>
          <w:trHeight w:val="201"/>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Fixed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31,264</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7"/>
                <w:szCs w:val="17"/>
                <w:color w:val="auto"/>
              </w:rPr>
            </w:pPr>
          </w:p>
        </w:tc>
      </w:tr>
      <w:tr>
        <w:trPr>
          <w:trHeight w:val="20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5,887</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100" w:type="dxa"/>
            <w:vAlign w:val="bottom"/>
            <w:shd w:val="clear" w:color="auto" w:fill="CCEEFF"/>
          </w:tcPr>
          <w:p>
            <w:pPr>
              <w:spacing w:after="0"/>
              <w:rPr>
                <w:sz w:val="17"/>
                <w:szCs w:val="17"/>
                <w:color w:val="auto"/>
              </w:rPr>
            </w:pPr>
          </w:p>
        </w:tc>
      </w:tr>
      <w:tr>
        <w:trPr>
          <w:trHeight w:val="20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204,525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$ 10,525</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(7,924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$ 2,601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197,589</w:t>
            </w:r>
          </w:p>
        </w:tc>
        <w:tc>
          <w:tcPr>
            <w:tcW w:w="10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440"/>
              <w:spacing w:after="0" w:line="116" w:lineRule="exact"/>
              <w:rPr>
                <w:sz w:val="20"/>
                <w:szCs w:val="20"/>
                <w:color w:val="auto"/>
              </w:rPr>
            </w:pPr>
            <w:r>
              <w:rPr>
                <w:rFonts w:ascii="Times New Roman" w:cs="Times New Roman" w:eastAsia="Times New Roman" w:hAnsi="Times New Roman"/>
                <w:sz w:val="13"/>
                <w:szCs w:val="13"/>
                <w:b w:val="1"/>
                <w:bCs w:val="1"/>
                <w:color w:val="auto"/>
                <w:w w:val="92"/>
              </w:rPr>
              <w:t>Foreign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AUM</w:t>
            </w:r>
          </w:p>
        </w:tc>
      </w:tr>
      <w:tr>
        <w:trPr>
          <w:trHeight w:val="13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w w:val="99"/>
              </w:rPr>
              <w:t>Beginning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Appreciation/</w:t>
            </w:r>
          </w:p>
        </w:tc>
        <w:tc>
          <w:tcPr>
            <w:tcW w:w="20" w:type="dxa"/>
            <w:vAlign w:val="bottom"/>
          </w:tcPr>
          <w:p>
            <w:pPr>
              <w:spacing w:after="0"/>
              <w:rPr>
                <w:sz w:val="12"/>
                <w:szCs w:val="12"/>
                <w:color w:val="auto"/>
              </w:rPr>
            </w:pPr>
          </w:p>
        </w:tc>
        <w:tc>
          <w:tcPr>
            <w:tcW w:w="1160" w:type="dxa"/>
            <w:vAlign w:val="bottom"/>
            <w:gridSpan w:val="3"/>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3"/>
              </w:rPr>
              <w:t>Appreciation/</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8"/>
              </w:rPr>
              <w:t>Ending</w:t>
            </w:r>
          </w:p>
        </w:tc>
      </w:tr>
      <w:tr>
        <w:trPr>
          <w:trHeight w:val="153"/>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Inflows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w w:val="98"/>
              </w:rPr>
              <w:t>Outflows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Flows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2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(Depreciation)</w:t>
            </w:r>
          </w:p>
        </w:tc>
        <w:tc>
          <w:tcPr>
            <w:tcW w:w="12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Balance</w:t>
            </w:r>
          </w:p>
        </w:tc>
      </w:tr>
      <w:tr>
        <w:trPr>
          <w:trHeight w:val="131"/>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tcPr>
          <w:p>
            <w:pPr>
              <w:jc w:val="center"/>
              <w:ind w:right="112"/>
              <w:spacing w:after="0" w:line="131" w:lineRule="exact"/>
              <w:rPr>
                <w:sz w:val="20"/>
                <w:szCs w:val="20"/>
                <w:color w:val="auto"/>
              </w:rPr>
            </w:pPr>
            <w:r>
              <w:rPr>
                <w:rFonts w:ascii="Times New Roman" w:cs="Times New Roman" w:eastAsia="Times New Roman" w:hAnsi="Times New Roman"/>
                <w:sz w:val="13"/>
                <w:szCs w:val="13"/>
                <w:b w:val="1"/>
                <w:bCs w:val="1"/>
                <w:color w:val="auto"/>
                <w:w w:val="96"/>
              </w:rPr>
              <w:t>($ in millions)</w:t>
            </w: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$ 22,398</w:t>
            </w:r>
          </w:p>
        </w:tc>
        <w:tc>
          <w:tcPr>
            <w:tcW w:w="1080" w:type="dxa"/>
            <w:vAlign w:val="bottom"/>
            <w:gridSpan w:val="5"/>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 (18,604)</w:t>
            </w:r>
          </w:p>
        </w:tc>
        <w:tc>
          <w:tcPr>
            <w:tcW w:w="8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$ 3,794</w:t>
            </w:r>
          </w:p>
        </w:tc>
        <w:tc>
          <w:tcPr>
            <w:tcW w:w="3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8,267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161,301</w:t>
            </w:r>
          </w:p>
        </w:tc>
        <w:tc>
          <w:tcPr>
            <w:tcW w:w="100" w:type="dxa"/>
            <w:vAlign w:val="bottom"/>
            <w:shd w:val="clear" w:color="auto" w:fill="CCEEFF"/>
          </w:tcPr>
          <w:p>
            <w:pPr>
              <w:spacing w:after="0"/>
              <w:rPr>
                <w:sz w:val="17"/>
                <w:szCs w:val="17"/>
                <w:color w:val="auto"/>
              </w:rPr>
            </w:pPr>
          </w:p>
        </w:tc>
      </w:tr>
      <w:tr>
        <w:trPr>
          <w:trHeight w:val="201"/>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Fixed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7,321</w:t>
            </w:r>
          </w:p>
        </w:tc>
        <w:tc>
          <w:tcPr>
            <w:tcW w:w="1080" w:type="dxa"/>
            <w:vAlign w:val="bottom"/>
            <w:gridSpan w:val="5"/>
          </w:tcPr>
          <w:p>
            <w:pPr>
              <w:jc w:val="right"/>
              <w:ind w:right="18"/>
              <w:spacing w:after="0"/>
              <w:rPr>
                <w:sz w:val="20"/>
                <w:szCs w:val="20"/>
                <w:color w:val="auto"/>
              </w:rPr>
            </w:pPr>
            <w:r>
              <w:rPr>
                <w:rFonts w:ascii="Times New Roman" w:cs="Times New Roman" w:eastAsia="Times New Roman" w:hAnsi="Times New Roman"/>
                <w:sz w:val="16"/>
                <w:szCs w:val="16"/>
                <w:color w:val="auto"/>
              </w:rPr>
              <w:t>(2,698)</w:t>
            </w: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1,009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7"/>
                <w:szCs w:val="17"/>
                <w:color w:val="auto"/>
              </w:rPr>
            </w:pPr>
          </w:p>
        </w:tc>
      </w:tr>
      <w:tr>
        <w:trPr>
          <w:trHeight w:val="20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1,024</w:t>
            </w:r>
          </w:p>
        </w:tc>
        <w:tc>
          <w:tcPr>
            <w:tcW w:w="1080" w:type="dxa"/>
            <w:vAlign w:val="bottom"/>
            <w:gridSpan w:val="5"/>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(1,283)</w:t>
            </w:r>
          </w:p>
        </w:tc>
        <w:tc>
          <w:tcPr>
            <w:tcW w:w="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100" w:type="dxa"/>
            <w:vAlign w:val="bottom"/>
            <w:shd w:val="clear" w:color="auto" w:fill="CCEEFF"/>
          </w:tcPr>
          <w:p>
            <w:pPr>
              <w:spacing w:after="0"/>
              <w:rPr>
                <w:sz w:val="17"/>
                <w:szCs w:val="17"/>
                <w:color w:val="auto"/>
              </w:rPr>
            </w:pPr>
          </w:p>
        </w:tc>
      </w:tr>
      <w:tr>
        <w:trPr>
          <w:trHeight w:val="20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$ 30,743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 (22,585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gridSpan w:val="2"/>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5"/>
              </w:rPr>
              <w:t>$ 8,158</w:t>
            </w:r>
          </w:p>
        </w:tc>
        <w:tc>
          <w:tcPr>
            <w:tcW w:w="1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197,589</w:t>
            </w:r>
          </w:p>
        </w:tc>
        <w:tc>
          <w:tcPr>
            <w:tcW w:w="10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0" w:firstLine="457"/>
        <w:spacing w:after="0" w:line="301" w:lineRule="auto"/>
        <w:rPr>
          <w:sz w:val="20"/>
          <w:szCs w:val="20"/>
          <w:color w:val="auto"/>
        </w:rPr>
      </w:pPr>
      <w:r>
        <w:rPr>
          <w:rFonts w:ascii="Times New Roman" w:cs="Times New Roman" w:eastAsia="Times New Roman" w:hAnsi="Times New Roman"/>
          <w:sz w:val="16"/>
          <w:szCs w:val="16"/>
          <w:color w:val="auto"/>
        </w:rPr>
        <w:t>As of October 16, 2015, AUM was $193.1 billion, a $10.5 billion increase since September 30, 2015. The increase in AUM was due to market appreciation of $8.0 billion and foreign exchange appreciation of $2.5 billion, with net outflows of $0.04 billion.</w:t>
      </w:r>
    </w:p>
    <w:p>
      <w:pPr>
        <w:spacing w:after="0" w:line="92" w:lineRule="exact"/>
        <w:rPr>
          <w:sz w:val="20"/>
          <w:szCs w:val="20"/>
          <w:color w:val="auto"/>
        </w:rPr>
      </w:pPr>
    </w:p>
    <w:p>
      <w:pPr>
        <w:ind w:right="460" w:firstLine="457"/>
        <w:spacing w:after="0" w:line="301" w:lineRule="auto"/>
        <w:rPr>
          <w:sz w:val="20"/>
          <w:szCs w:val="20"/>
          <w:color w:val="auto"/>
        </w:rPr>
      </w:pPr>
      <w:r>
        <w:rPr>
          <w:rFonts w:ascii="Times New Roman" w:cs="Times New Roman" w:eastAsia="Times New Roman" w:hAnsi="Times New Roman"/>
          <w:sz w:val="16"/>
          <w:szCs w:val="16"/>
          <w:color w:val="auto"/>
        </w:rPr>
        <w:t>Average AUM for the three month and nine month periods ended September 30, 2015 and 2014 for each significant asset class is set forth below. Average AUM generally represents the average of the monthly ending AUM balances for the period.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3"/>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3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800"/>
              <w:spacing w:after="0" w:line="144"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Average AUM by Asset Class:</w:t>
            </w:r>
          </w:p>
        </w:tc>
        <w:tc>
          <w:tcPr>
            <w:tcW w:w="3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Equity</w:t>
            </w: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155,116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165,760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161,076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Fixed Income</w:t>
            </w:r>
          </w:p>
        </w:tc>
        <w:tc>
          <w:tcPr>
            <w:tcW w:w="3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32,406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Alternative Investments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3,516</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Private Equity</w:t>
            </w:r>
          </w:p>
        </w:tc>
        <w:tc>
          <w:tcPr>
            <w:tcW w:w="3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Management</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Average AUM</w:t>
            </w:r>
          </w:p>
        </w:tc>
        <w:tc>
          <w:tcPr>
            <w:tcW w:w="3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192,026</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202,842</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198,085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60" w:type="dxa"/>
            <w:vAlign w:val="bottom"/>
            <w:vMerge w:val="restart"/>
          </w:tcPr>
          <w:p>
            <w:pPr>
              <w:jc w:val="right"/>
              <w:ind w:right="1658"/>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62" w:name="page63"/>
    <w:bookmarkEnd w:id="6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the reported operating results attributable to the Asset Management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4"/>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96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4"/>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96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5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52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5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gridSpan w:val="4"/>
          </w:tcPr>
          <w:p>
            <w:pPr>
              <w:jc w:val="right"/>
              <w:ind w:right="960"/>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 Fees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248,143</w:t>
            </w:r>
          </w:p>
        </w:tc>
        <w:tc>
          <w:tcPr>
            <w:tcW w:w="52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w w:val="99"/>
              </w:rPr>
              <w:t>$262,992</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$758,631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$760,022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Incentive Fees</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11,801</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15,966</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37,953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Revenue</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13,733</w:t>
            </w:r>
          </w:p>
        </w:tc>
        <w:tc>
          <w:tcPr>
            <w:tcW w:w="52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17,174</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75,629</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50,720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Net Revenue</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264,581</w:t>
            </w: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291,967</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850,226</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848,695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179,155</w:t>
            </w:r>
          </w:p>
        </w:tc>
        <w:tc>
          <w:tcPr>
            <w:tcW w:w="52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191,501</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554,738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552,499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85,426</w:t>
            </w: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100,466</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295,488</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296,196</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32.3%</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34.8%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80" w:firstLine="457"/>
        <w:spacing w:after="0" w:line="301" w:lineRule="auto"/>
        <w:rPr>
          <w:sz w:val="20"/>
          <w:szCs w:val="20"/>
          <w:color w:val="auto"/>
        </w:rPr>
      </w:pPr>
      <w:r>
        <w:rPr>
          <w:rFonts w:ascii="Times New Roman" w:cs="Times New Roman" w:eastAsia="Times New Roman" w:hAnsi="Times New Roman"/>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w w:val="94"/>
              </w:rPr>
              <w:t>Three Months Ended</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3"/>
          </w:tcPr>
          <w:p>
            <w:pPr>
              <w:jc w:val="center"/>
              <w:ind w:left="344"/>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3"/>
        </w:trPr>
        <w:tc>
          <w:tcPr>
            <w:tcW w:w="66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1"/>
        </w:trPr>
        <w:tc>
          <w:tcPr>
            <w:tcW w:w="66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2"/>
              <w:spacing w:after="0" w:line="131" w:lineRule="exact"/>
              <w:rPr>
                <w:sz w:val="20"/>
                <w:szCs w:val="20"/>
                <w:color w:val="auto"/>
              </w:rPr>
            </w:pPr>
            <w:r>
              <w:rPr>
                <w:rFonts w:ascii="Times New Roman" w:cs="Times New Roman" w:eastAsia="Times New Roman" w:hAnsi="Times New Roman"/>
                <w:sz w:val="13"/>
                <w:szCs w:val="13"/>
                <w:b w:val="1"/>
                <w:bCs w:val="1"/>
                <w:color w:val="auto"/>
                <w:w w:val="92"/>
              </w:rPr>
              <w:t>2014</w:t>
            </w:r>
          </w:p>
        </w:tc>
        <w:tc>
          <w:tcPr>
            <w:tcW w:w="8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6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2"/>
              <w:spacing w:after="0" w:line="131" w:lineRule="exact"/>
              <w:rPr>
                <w:sz w:val="20"/>
                <w:szCs w:val="20"/>
                <w:color w:val="auto"/>
              </w:rPr>
            </w:pPr>
            <w:r>
              <w:rPr>
                <w:rFonts w:ascii="Times New Roman" w:cs="Times New Roman" w:eastAsia="Times New Roman" w:hAnsi="Times New Roman"/>
                <w:sz w:val="13"/>
                <w:szCs w:val="13"/>
                <w:b w:val="1"/>
                <w:bCs w:val="1"/>
                <w:color w:val="auto"/>
                <w:w w:val="92"/>
              </w:rPr>
              <w:t>2014</w:t>
            </w:r>
          </w:p>
        </w:tc>
        <w:tc>
          <w:tcPr>
            <w:tcW w:w="180" w:type="dxa"/>
            <w:vAlign w:val="bottom"/>
            <w:tcBorders>
              <w:bottom w:val="single" w:sz="8" w:color="CCEEFF"/>
            </w:tcBorders>
          </w:tcPr>
          <w:p>
            <w:pPr>
              <w:spacing w:after="0"/>
              <w:rPr>
                <w:sz w:val="11"/>
                <w:szCs w:val="11"/>
                <w:color w:val="auto"/>
              </w:rPr>
            </w:pPr>
          </w:p>
        </w:tc>
      </w:tr>
      <w:tr>
        <w:trPr>
          <w:trHeight w:val="19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340" w:type="dxa"/>
            <w:vAlign w:val="bottom"/>
            <w:gridSpan w:val="2"/>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66%</w:t>
            </w:r>
          </w:p>
        </w:tc>
        <w:tc>
          <w:tcPr>
            <w:tcW w:w="1400" w:type="dxa"/>
            <w:vAlign w:val="bottom"/>
            <w:gridSpan w:val="2"/>
            <w:shd w:val="clear" w:color="auto" w:fill="CCEEFF"/>
          </w:tcPr>
          <w:p>
            <w:pPr>
              <w:jc w:val="right"/>
              <w:ind w:right="657"/>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r>
      <w:tr>
        <w:trPr>
          <w:trHeight w:val="201"/>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20" w:type="dxa"/>
            <w:vAlign w:val="bottom"/>
          </w:tcPr>
          <w:p>
            <w:pPr>
              <w:spacing w:after="0"/>
              <w:rPr>
                <w:sz w:val="17"/>
                <w:szCs w:val="17"/>
                <w:color w:val="auto"/>
              </w:rPr>
            </w:pPr>
          </w:p>
        </w:tc>
        <w:tc>
          <w:tcPr>
            <w:tcW w:w="1400" w:type="dxa"/>
            <w:vAlign w:val="bottom"/>
            <w:gridSpan w:val="2"/>
          </w:tcPr>
          <w:p>
            <w:pPr>
              <w:jc w:val="right"/>
              <w:ind w:right="797"/>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r>
      <w:tr>
        <w:trPr>
          <w:trHeight w:val="20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7"/>
                <w:szCs w:val="17"/>
                <w:color w:val="auto"/>
              </w:rPr>
            </w:pPr>
          </w:p>
        </w:tc>
      </w:tr>
      <w:tr>
        <w:trPr>
          <w:trHeight w:val="20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gridSpan w:val="2"/>
          </w:tcPr>
          <w:p>
            <w:pPr>
              <w:jc w:val="right"/>
              <w:ind w:right="637"/>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100%</w:t>
            </w:r>
          </w:p>
        </w:tc>
        <w:tc>
          <w:tcPr>
            <w:tcW w:w="1400" w:type="dxa"/>
            <w:vAlign w:val="bottom"/>
            <w:gridSpan w:val="2"/>
          </w:tcPr>
          <w:p>
            <w:pPr>
              <w:jc w:val="right"/>
              <w:ind w:right="657"/>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6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Asset Management Results of Operations</w:t>
      </w:r>
    </w:p>
    <w:p>
      <w:pPr>
        <w:spacing w:after="0" w:line="93" w:lineRule="exact"/>
        <w:rPr>
          <w:sz w:val="20"/>
          <w:szCs w:val="20"/>
          <w:color w:val="auto"/>
        </w:rPr>
      </w:pPr>
    </w:p>
    <w:p>
      <w:pPr>
        <w:ind w:right="20" w:firstLine="457"/>
        <w:spacing w:after="0" w:line="284" w:lineRule="auto"/>
        <w:rPr>
          <w:sz w:val="20"/>
          <w:szCs w:val="20"/>
          <w:color w:val="auto"/>
        </w:rPr>
      </w:pPr>
      <w:r>
        <w:rPr>
          <w:rFonts w:ascii="Times New Roman" w:cs="Times New Roman" w:eastAsia="Times New Roman" w:hAnsi="Times New Roman"/>
          <w:sz w:val="16"/>
          <w:szCs w:val="16"/>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2015 versus September 30, 2014</w:t>
      </w:r>
    </w:p>
    <w:p>
      <w:pPr>
        <w:spacing w:after="0" w:line="97"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Asset Management net revenue decreased $27 million, or 9%, as compared to the 2014 period. Management fees decreased $15 million, or 6%, as compared to the 2014 period, primarily reflecting an $11 billion, or 5%, decrease in average AUM. Incentive fees decreased $9 million, or 77%, as compared to the 2014 period, primarily due to incentive fees related to traditional investment products. Other revenue decreased $3 million as compared to the 2014 period.</w:t>
      </w:r>
    </w:p>
    <w:p>
      <w:pPr>
        <w:spacing w:after="0" w:line="107" w:lineRule="exact"/>
        <w:rPr>
          <w:sz w:val="20"/>
          <w:szCs w:val="20"/>
          <w:color w:val="auto"/>
        </w:rPr>
      </w:pPr>
    </w:p>
    <w:p>
      <w:pPr>
        <w:ind w:right="400" w:firstLine="457"/>
        <w:spacing w:after="0" w:line="301" w:lineRule="auto"/>
        <w:rPr>
          <w:sz w:val="20"/>
          <w:szCs w:val="20"/>
          <w:color w:val="auto"/>
        </w:rPr>
      </w:pPr>
      <w:r>
        <w:rPr>
          <w:rFonts w:ascii="Times New Roman" w:cs="Times New Roman" w:eastAsia="Times New Roman" w:hAnsi="Times New Roman"/>
          <w:sz w:val="16"/>
          <w:szCs w:val="16"/>
          <w:color w:val="auto"/>
        </w:rPr>
        <w:t>Operating expenses decreased $12 million, or 6%, as compared to the 2014 period, primarily due to decreases in (i) compensation and benefits expense related to discretionary compensation, (ii) non-compensation expense related to business activity and (iii) amortization of intangible assets related to Edgewater.</w:t>
      </w:r>
    </w:p>
    <w:p>
      <w:pPr>
        <w:spacing w:after="0" w:line="92" w:lineRule="exact"/>
        <w:rPr>
          <w:sz w:val="20"/>
          <w:szCs w:val="20"/>
          <w:color w:val="auto"/>
        </w:rPr>
      </w:pPr>
    </w:p>
    <w:p>
      <w:pPr>
        <w:ind w:right="80" w:firstLine="457"/>
        <w:spacing w:after="0" w:line="301" w:lineRule="auto"/>
        <w:rPr>
          <w:sz w:val="20"/>
          <w:szCs w:val="20"/>
          <w:color w:val="auto"/>
        </w:rPr>
      </w:pPr>
      <w:r>
        <w:rPr>
          <w:rFonts w:ascii="Times New Roman" w:cs="Times New Roman" w:eastAsia="Times New Roman" w:hAnsi="Times New Roman"/>
          <w:sz w:val="16"/>
          <w:szCs w:val="16"/>
          <w:color w:val="auto"/>
        </w:rPr>
        <w:t>Asset Management operating income was $85 million, a decrease of $15 million, or 15%, as compared to operating income of $100 million in the 2014 period and, as a percentage of net revenue, was 32.3%, as compared to 34.4% in the 2014 period.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420"/>
          </w:cols>
          <w:pgMar w:left="240" w:top="434" w:right="239" w:bottom="1440" w:gutter="0" w:footer="0" w:header="0"/>
        </w:sectPr>
      </w:pPr>
    </w:p>
    <w:bookmarkStart w:id="63" w:name="page64"/>
    <w:bookmarkEnd w:id="6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2015 versus September 30, 2014</w:t>
      </w:r>
    </w:p>
    <w:p>
      <w:pPr>
        <w:spacing w:after="0" w:line="97" w:lineRule="exact"/>
        <w:rPr>
          <w:sz w:val="20"/>
          <w:szCs w:val="20"/>
          <w:color w:val="auto"/>
        </w:rPr>
      </w:pPr>
    </w:p>
    <w:p>
      <w:pPr>
        <w:ind w:right="120" w:firstLine="457"/>
        <w:spacing w:after="0" w:line="275" w:lineRule="auto"/>
        <w:rPr>
          <w:sz w:val="20"/>
          <w:szCs w:val="20"/>
          <w:color w:val="auto"/>
        </w:rPr>
      </w:pPr>
      <w:r>
        <w:rPr>
          <w:rFonts w:ascii="Times New Roman" w:cs="Times New Roman" w:eastAsia="Times New Roman" w:hAnsi="Times New Roman"/>
          <w:sz w:val="16"/>
          <w:szCs w:val="16"/>
          <w:color w:val="auto"/>
        </w:rPr>
        <w:t>Asset Management net revenue increased $2 million, or 1%, as compared to the 2014 period. Management fees decreased $1 million as compared to the 2014 period. Incentive fees decreased $22 million, or 58%, as compared to the 2014 period, primarily due to incentive fees related to traditional investment products. Other revenue increased $25 million, or 49%, as compared to the 2014 period, primarily due to a $24 million gain on disposal of the Company’s Australian private equity business (which relates primarily to the realization of carried interest at fair value).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Operating expenses increased $2 million, or 1%, as compared to the 2014 period.</w:t>
      </w:r>
    </w:p>
    <w:p>
      <w:pPr>
        <w:spacing w:after="0" w:line="168" w:lineRule="exact"/>
        <w:rPr>
          <w:sz w:val="20"/>
          <w:szCs w:val="20"/>
          <w:color w:val="auto"/>
        </w:rPr>
      </w:pPr>
    </w:p>
    <w:p>
      <w:pPr>
        <w:ind w:right="580" w:firstLine="457"/>
        <w:spacing w:after="0" w:line="301" w:lineRule="auto"/>
        <w:rPr>
          <w:sz w:val="20"/>
          <w:szCs w:val="20"/>
          <w:color w:val="auto"/>
        </w:rPr>
      </w:pPr>
      <w:r>
        <w:rPr>
          <w:rFonts w:ascii="Times New Roman" w:cs="Times New Roman" w:eastAsia="Times New Roman" w:hAnsi="Times New Roman"/>
          <w:sz w:val="16"/>
          <w:szCs w:val="16"/>
          <w:color w:val="auto"/>
        </w:rPr>
        <w:t>Asset Management operating income was $295 million, a decrease of $1 million as compared to operating income of $296 million in the 2014 period and, as a percentage of net revenue, was 34.8%, as compared to 34.9% in the 2014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the reported operating results attributable to the Corporate segment: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2"/>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4"/>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 in thousands)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837"/>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2,113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777"/>
              <w:spacing w:after="0"/>
              <w:rPr>
                <w:sz w:val="20"/>
                <w:szCs w:val="20"/>
                <w:color w:val="auto"/>
              </w:rPr>
            </w:pPr>
            <w:r>
              <w:rPr>
                <w:rFonts w:ascii="Times New Roman" w:cs="Times New Roman" w:eastAsia="Times New Roman" w:hAnsi="Times New Roman"/>
                <w:sz w:val="16"/>
                <w:szCs w:val="16"/>
                <w:color w:val="auto"/>
              </w:rPr>
              <w:t>(11,787)</w:t>
            </w:r>
          </w:p>
        </w:tc>
        <w:tc>
          <w:tcPr>
            <w:tcW w:w="1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(15,510)</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(39,403)</w:t>
            </w: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(47,170)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Interest (Expense)</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6"/>
                <w:szCs w:val="16"/>
                <w:color w:val="auto"/>
              </w:rPr>
              <w:t>(11,092)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(14,459)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(37,290)</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777"/>
              <w:spacing w:after="0"/>
              <w:rPr>
                <w:sz w:val="20"/>
                <w:szCs w:val="20"/>
                <w:color w:val="auto"/>
              </w:rPr>
            </w:pPr>
            <w:r>
              <w:rPr>
                <w:rFonts w:ascii="Times New Roman" w:cs="Times New Roman" w:eastAsia="Times New Roman" w:hAnsi="Times New Roman"/>
                <w:sz w:val="16"/>
                <w:szCs w:val="16"/>
                <w:color w:val="auto"/>
              </w:rPr>
              <w:t>(10,803)</w:t>
            </w:r>
          </w:p>
        </w:tc>
        <w:tc>
          <w:tcPr>
            <w:tcW w:w="1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Revenue (Expense)</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6"/>
                <w:szCs w:val="16"/>
                <w:color w:val="auto"/>
              </w:rPr>
              <w:t>(21,895)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(16,845)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(38,602)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 (a)</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777"/>
              <w:spacing w:after="0"/>
              <w:rPr>
                <w:sz w:val="20"/>
                <w:szCs w:val="20"/>
                <w:color w:val="auto"/>
              </w:rPr>
            </w:pPr>
            <w:r>
              <w:rPr>
                <w:rFonts w:ascii="Times New Roman" w:cs="Times New Roman" w:eastAsia="Times New Roman" w:hAnsi="Times New Roman"/>
                <w:sz w:val="16"/>
                <w:szCs w:val="16"/>
                <w:color w:val="auto"/>
              </w:rPr>
              <w:t>(438,333)</w:t>
            </w:r>
          </w:p>
        </w:tc>
        <w:tc>
          <w:tcPr>
            <w:tcW w:w="12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5,768</w:t>
            </w:r>
          </w:p>
        </w:tc>
        <w:tc>
          <w:tcPr>
            <w:tcW w:w="12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603,482</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416,438</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(22,613)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(642,084)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right="80" w:hanging="459"/>
        <w:spacing w:after="0" w:line="275"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in the nine months ended September 30, 2015, $60,219 relating to the redemption of a substantial majority of the Company’s 2017 Notes, (ii) in the three month and nine month periods ended September 30, 2015, $(420,792) and $547,691, respectively, relating to the provision (benefit) pursuant to the tax receivable agreement, and (iii) in the three month and nine month periods ended September 30, 2014, $(176) and $9,064, respectively, relating to the provision (benefit) pursuant to the tax receivable agreement.</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 of Operations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Corporate operating results in any particular quarter or period may not be indicative of future results and may fluctuate based on a variety of factors.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Lazard management believes that annual results are the most meaningful basis for comparison among present, historical and future periods.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2015 versus September 30, 2014</w:t>
      </w:r>
    </w:p>
    <w:p>
      <w:pPr>
        <w:spacing w:after="0" w:line="97" w:lineRule="exact"/>
        <w:rPr>
          <w:sz w:val="20"/>
          <w:szCs w:val="20"/>
          <w:color w:val="auto"/>
        </w:rPr>
      </w:pPr>
    </w:p>
    <w:p>
      <w:pPr>
        <w:ind w:right="340" w:firstLine="457"/>
        <w:spacing w:after="0" w:line="301" w:lineRule="auto"/>
        <w:rPr>
          <w:sz w:val="20"/>
          <w:szCs w:val="20"/>
          <w:color w:val="auto"/>
        </w:rPr>
      </w:pPr>
      <w:r>
        <w:rPr>
          <w:rFonts w:ascii="Times New Roman" w:cs="Times New Roman" w:eastAsia="Times New Roman" w:hAnsi="Times New Roman"/>
          <w:sz w:val="16"/>
          <w:szCs w:val="16"/>
          <w:color w:val="auto"/>
        </w:rPr>
        <w:t>Net interest expense decreased $3 million, or 23%, as compared to the 2014 period, primarily due to the redemption of $450 million of the 2017 Notes and Lazard Group’s issuance of $400 million of 3.75% senior notes due 2025 (the “2025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revenue decreased $8 million as compared to the 2014 period, primarily due to investment losses in LFI.</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20"/>
          </w:cols>
          <w:pgMar w:left="240" w:top="434" w:right="239" w:bottom="1440" w:gutter="0" w:footer="0" w:header="0"/>
        </w:sectPr>
      </w:pPr>
    </w:p>
    <w:bookmarkStart w:id="64" w:name="page65"/>
    <w:bookmarkEnd w:id="6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80" w:firstLine="457"/>
        <w:spacing w:after="0" w:line="282" w:lineRule="auto"/>
        <w:rPr>
          <w:sz w:val="20"/>
          <w:szCs w:val="20"/>
          <w:color w:val="auto"/>
        </w:rPr>
      </w:pPr>
      <w:r>
        <w:rPr>
          <w:rFonts w:ascii="Times New Roman" w:cs="Times New Roman" w:eastAsia="Times New Roman" w:hAnsi="Times New Roman"/>
          <w:sz w:val="16"/>
          <w:szCs w:val="16"/>
          <w:color w:val="auto"/>
        </w:rPr>
        <w:t>Operating expenses decreased $444 million as compared to the 2014 period, primarily due to a gain of $421 million related to the partial extinguishment of our tax receivable agreement obligation (see Note 14 of Notes to Condensed Consolidated Financial Statements) and decreased compensation and benefits expense relating to discretionary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2015 versus September 30, 2014</w:t>
      </w:r>
    </w:p>
    <w:p>
      <w:pPr>
        <w:spacing w:after="0" w:line="97" w:lineRule="exact"/>
        <w:rPr>
          <w:sz w:val="20"/>
          <w:szCs w:val="20"/>
          <w:color w:val="auto"/>
        </w:rPr>
      </w:pPr>
    </w:p>
    <w:p>
      <w:pPr>
        <w:ind w:right="560" w:firstLine="457"/>
        <w:spacing w:after="0" w:line="301" w:lineRule="auto"/>
        <w:rPr>
          <w:sz w:val="20"/>
          <w:szCs w:val="20"/>
          <w:color w:val="auto"/>
        </w:rPr>
      </w:pPr>
      <w:r>
        <w:rPr>
          <w:rFonts w:ascii="Times New Roman" w:cs="Times New Roman" w:eastAsia="Times New Roman" w:hAnsi="Times New Roman"/>
          <w:sz w:val="16"/>
          <w:szCs w:val="16"/>
          <w:color w:val="auto"/>
        </w:rPr>
        <w:t>Net interest expense decreased $7 million, or 16%, as compared to the 2014 period, primarily due to the redemption of $450 million of the 2017 Notes and the issuance of the 2025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revenue decreased $16 million as compared to the 2014 period, primarily due to investment losses recorded in connection with LFI.</w:t>
      </w:r>
    </w:p>
    <w:p>
      <w:pPr>
        <w:spacing w:after="0" w:line="168"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Operating expenses increased $564 million as compared to the 2014 period, including (i) in the 2015 period, a charge of $60 million related to the redemption of a substantial majority of the Company’s 2017 Notes and (ii) in the 2015 and 2014 periods, $548 million and $9 million, respectively, relating to the provision (benefit) pursuant to the tax receivable agreement (see Note 14 of Notes to Condensed Consolidated Financial Statements). Excluding the impact of such charges, operating expenses decreased $35 million compared to the 2014 period, primarily due to decreased compensation and benefits expense related to discretionary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97"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15" w:lineRule="exact"/>
        <w:rPr>
          <w:sz w:val="20"/>
          <w:szCs w:val="20"/>
          <w:color w:val="auto"/>
        </w:rPr>
      </w:pPr>
    </w:p>
    <w:p>
      <w:pPr>
        <w:ind w:right="220" w:firstLine="457"/>
        <w:spacing w:after="0" w:line="282" w:lineRule="auto"/>
        <w:rPr>
          <w:sz w:val="20"/>
          <w:szCs w:val="20"/>
          <w:color w:val="auto"/>
        </w:rPr>
      </w:pPr>
      <w:r>
        <w:rPr>
          <w:rFonts w:ascii="Times New Roman" w:cs="Times New Roman" w:eastAsia="Times New Roman" w:hAnsi="Times New Roman"/>
          <w:sz w:val="16"/>
          <w:szCs w:val="16"/>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 The Company also paid a special dividend in February 2015.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400"/>
          </w:cols>
          <w:pgMar w:left="240" w:top="434" w:right="259" w:bottom="1440" w:gutter="0" w:footer="0" w:header="0"/>
        </w:sectPr>
      </w:pPr>
    </w:p>
    <w:bookmarkStart w:id="65" w:name="page66"/>
    <w:bookmarkEnd w:id="6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7"/>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9"/>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right"/>
              <w:ind w:right="279"/>
              <w:spacing w:after="0" w:line="144"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(a)</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operating activities (b)</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Financing activities (c)</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(396.1)</w:t>
            </w: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2"/>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(a)</w:t>
            </w: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Consists of the following: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3"/>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59"/>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of property</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Amortization of deferred expenses and stock units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intangible assets related to acquisitions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(1,056.7)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 pursuant to tax receivable agreement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0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disposal of subsidiaries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(24.4)</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8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9"/>
        <w:spacing w:after="0"/>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changes in operating assets and liabilities.</w:t>
      </w:r>
    </w:p>
    <w:p>
      <w:pPr>
        <w:spacing w:after="0" w:line="29" w:lineRule="exact"/>
        <w:rPr>
          <w:rFonts w:ascii="Times New Roman" w:cs="Times New Roman" w:eastAsia="Times New Roman" w:hAnsi="Times New Roman"/>
          <w:sz w:val="16"/>
          <w:szCs w:val="16"/>
          <w:color w:val="auto"/>
        </w:rPr>
      </w:pPr>
    </w:p>
    <w:p>
      <w:pPr>
        <w:ind w:left="460" w:right="120" w:hanging="459"/>
        <w:spacing w:after="0" w:line="270" w:lineRule="auto"/>
        <w:tabs>
          <w:tab w:leader="none" w:pos="4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purchases of shares of Class A common stock, tax withholdings related to the settlement of vested restricted stock units (“RSUs”) and vested performance-based restricted stock units (“PRSUs”), Class A common stock dividends and distributions to noncontrolling interest holders, activity relating to borrowings, including, in 2015, the redemption of a majority of the Company’s 2017 Notes and issuance of the 2025 Notes, and payments made relating to the partial extinguishment of our obligations under the tax receivable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Company’s liquidity and capital resources are derived from operating activities, financing activities and equity offerings.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97" w:lineRule="exact"/>
        <w:rPr>
          <w:sz w:val="20"/>
          <w:szCs w:val="20"/>
          <w:color w:val="auto"/>
        </w:rPr>
      </w:pPr>
    </w:p>
    <w:p>
      <w:pPr>
        <w:ind w:right="160" w:firstLine="457"/>
        <w:spacing w:after="0" w:line="301" w:lineRule="auto"/>
        <w:rPr>
          <w:sz w:val="20"/>
          <w:szCs w:val="20"/>
          <w:color w:val="auto"/>
        </w:rPr>
      </w:pPr>
      <w:r>
        <w:rPr>
          <w:rFonts w:ascii="Times New Roman" w:cs="Times New Roman" w:eastAsia="Times New Roman" w:hAnsi="Times New Roman"/>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420"/>
          </w:cols>
          <w:pgMar w:left="240" w:top="434" w:right="239" w:bottom="1440" w:gutter="0" w:footer="0" w:header="0"/>
        </w:sectPr>
      </w:pPr>
    </w:p>
    <w:bookmarkStart w:id="66" w:name="page67"/>
    <w:bookmarkEnd w:id="6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11"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19" w:lineRule="exact"/>
        <w:rPr>
          <w:sz w:val="20"/>
          <w:szCs w:val="20"/>
          <w:color w:val="auto"/>
        </w:rPr>
      </w:pPr>
    </w:p>
    <w:p>
      <w:pPr>
        <w:ind w:right="40" w:firstLine="457"/>
        <w:spacing w:after="0" w:line="272" w:lineRule="auto"/>
        <w:rPr>
          <w:sz w:val="20"/>
          <w:szCs w:val="20"/>
          <w:color w:val="auto"/>
        </w:rPr>
      </w:pPr>
      <w:r>
        <w:rPr>
          <w:rFonts w:ascii="Times New Roman" w:cs="Times New Roman" w:eastAsia="Times New Roman" w:hAnsi="Times New Roman"/>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September 30, 2015, Lazard had approximately $860 million of cash, with such amount including approximately $369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5"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6"/>
          <w:szCs w:val="16"/>
          <w:color w:val="auto"/>
        </w:rPr>
        <w:t>We maintain lines of credit in excess of anticipated liquidity requirements. As of September 30, 2015, Lazard had approximately $247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$39 million (at September 30, 2015 exchange rates) and Edgewater of $55 million. In addition, LFB has access to the Eurosystem Covered Bond Purchase Program of the Banque de France.</w:t>
      </w:r>
    </w:p>
    <w:p>
      <w:pPr>
        <w:spacing w:after="0" w:line="113" w:lineRule="exact"/>
        <w:rPr>
          <w:sz w:val="20"/>
          <w:szCs w:val="20"/>
          <w:color w:val="auto"/>
        </w:rPr>
      </w:pPr>
    </w:p>
    <w:p>
      <w:pPr>
        <w:ind w:right="60" w:firstLine="457"/>
        <w:spacing w:after="0" w:line="275" w:lineRule="auto"/>
        <w:rPr>
          <w:sz w:val="20"/>
          <w:szCs w:val="20"/>
          <w:color w:val="auto"/>
        </w:rPr>
      </w:pPr>
      <w:r>
        <w:rPr>
          <w:rFonts w:ascii="Times New Roman" w:cs="Times New Roman" w:eastAsia="Times New Roman" w:hAnsi="Times New Roman"/>
          <w:sz w:val="16"/>
          <w:szCs w:val="16"/>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97" w:lineRule="exact"/>
        <w:rPr>
          <w:sz w:val="20"/>
          <w:szCs w:val="20"/>
          <w:color w:val="auto"/>
        </w:rPr>
      </w:pPr>
    </w:p>
    <w:p>
      <w:pPr>
        <w:ind w:right="620" w:firstLine="457"/>
        <w:spacing w:after="0" w:line="301" w:lineRule="auto"/>
        <w:rPr>
          <w:sz w:val="20"/>
          <w:szCs w:val="20"/>
          <w:color w:val="auto"/>
        </w:rPr>
      </w:pPr>
      <w:r>
        <w:rPr>
          <w:rFonts w:ascii="Times New Roman" w:cs="Times New Roman" w:eastAsia="Times New Roman" w:hAnsi="Times New Roman"/>
          <w:sz w:val="16"/>
          <w:szCs w:val="16"/>
          <w:color w:val="auto"/>
        </w:rPr>
        <w:t>The table below sets forth our corporate indebtedness as of September 30, 2015 and December 31, 2014. The agreements with respect to this indebtedness are discussed in more detail in our condensed consolidated financial statements and related notes included elsewhere in this Form 10-Q and in our Form 10-K.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As of</w:t>
            </w:r>
          </w:p>
        </w:tc>
        <w:tc>
          <w:tcPr>
            <w:tcW w:w="58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w w:val="93"/>
              </w:rPr>
              <w:t>September</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6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3"/>
                <w:szCs w:val="13"/>
                <w:b w:val="1"/>
                <w:bCs w:val="1"/>
                <w:color w:val="auto"/>
                <w:w w:val="94"/>
              </w:rPr>
              <w:t>Maturity</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44"/>
              <w:spacing w:after="0" w:line="139" w:lineRule="exact"/>
              <w:rPr>
                <w:sz w:val="20"/>
                <w:szCs w:val="20"/>
                <w:color w:val="auto"/>
              </w:rPr>
            </w:pPr>
            <w:r>
              <w:rPr>
                <w:rFonts w:ascii="Times New Roman" w:cs="Times New Roman" w:eastAsia="Times New Roman" w:hAnsi="Times New Roman"/>
                <w:sz w:val="13"/>
                <w:szCs w:val="13"/>
                <w:b w:val="1"/>
                <w:bCs w:val="1"/>
                <w:color w:val="auto"/>
              </w:rPr>
              <w:t>30,</w:t>
            </w:r>
          </w:p>
        </w:tc>
        <w:tc>
          <w:tcPr>
            <w:tcW w:w="720" w:type="dxa"/>
            <w:vAlign w:val="bottom"/>
          </w:tcPr>
          <w:p>
            <w:pPr>
              <w:spacing w:after="0"/>
              <w:rPr>
                <w:sz w:val="12"/>
                <w:szCs w:val="12"/>
                <w:color w:val="auto"/>
              </w:rPr>
            </w:pPr>
          </w:p>
        </w:tc>
        <w:tc>
          <w:tcPr>
            <w:tcW w:w="7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720" w:type="dxa"/>
            <w:vAlign w:val="bottom"/>
          </w:tcPr>
          <w:p>
            <w:pPr>
              <w:spacing w:after="0"/>
              <w:rPr>
                <w:sz w:val="12"/>
                <w:szCs w:val="12"/>
                <w:color w:val="auto"/>
              </w:rPr>
            </w:pPr>
          </w:p>
        </w:tc>
        <w:tc>
          <w:tcPr>
            <w:tcW w:w="660" w:type="dxa"/>
            <w:vAlign w:val="bottom"/>
            <w:gridSpan w:val="3"/>
          </w:tcPr>
          <w:p>
            <w:pPr>
              <w:jc w:val="right"/>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2014</w:t>
            </w:r>
          </w:p>
        </w:tc>
        <w:tc>
          <w:tcPr>
            <w:tcW w:w="7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7"/>
              <w:spacing w:after="0" w:line="144" w:lineRule="exact"/>
              <w:rPr>
                <w:sz w:val="20"/>
                <w:szCs w:val="20"/>
                <w:color w:val="auto"/>
              </w:rPr>
            </w:pPr>
            <w:r>
              <w:rPr>
                <w:rFonts w:ascii="Times New Roman" w:cs="Times New Roman" w:eastAsia="Times New Roman" w:hAnsi="Times New Roman"/>
                <w:sz w:val="13"/>
                <w:szCs w:val="13"/>
                <w:b w:val="1"/>
                <w:bCs w:val="1"/>
                <w:color w:val="auto"/>
              </w:rPr>
              <w:t>($ in millions)</w:t>
            </w:r>
          </w:p>
        </w:tc>
        <w:tc>
          <w:tcPr>
            <w:tcW w:w="5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shd w:val="clear" w:color="auto" w:fill="CCEEFF"/>
          </w:tcPr>
          <w:p>
            <w:pPr>
              <w:jc w:val="right"/>
              <w:ind w:right="2478"/>
              <w:spacing w:after="0"/>
              <w:rPr>
                <w:sz w:val="20"/>
                <w:szCs w:val="20"/>
                <w:color w:val="auto"/>
              </w:rPr>
            </w:pPr>
            <w:r>
              <w:rPr>
                <w:rFonts w:ascii="Times New Roman" w:cs="Times New Roman" w:eastAsia="Times New Roman" w:hAnsi="Times New Roman"/>
                <w:sz w:val="16"/>
                <w:szCs w:val="16"/>
                <w:color w:val="auto"/>
                <w:w w:val="98"/>
              </w:rPr>
              <w:t>Senior Debt:</w:t>
            </w:r>
          </w:p>
        </w:tc>
        <w:tc>
          <w:tcPr>
            <w:tcW w:w="3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jc w:val="right"/>
              <w:ind w:right="2498"/>
              <w:spacing w:after="0"/>
              <w:rPr>
                <w:sz w:val="20"/>
                <w:szCs w:val="20"/>
                <w:color w:val="auto"/>
              </w:rPr>
            </w:pPr>
            <w:r>
              <w:rPr>
                <w:rFonts w:ascii="Times New Roman" w:cs="Times New Roman" w:eastAsia="Times New Roman" w:hAnsi="Times New Roman"/>
                <w:sz w:val="16"/>
                <w:szCs w:val="16"/>
                <w:color w:val="auto"/>
              </w:rPr>
              <w:t>6.85%</w:t>
            </w:r>
          </w:p>
        </w:tc>
        <w:tc>
          <w:tcPr>
            <w:tcW w:w="42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2017</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shd w:val="clear" w:color="auto" w:fill="CCEEFF"/>
          </w:tcPr>
          <w:p>
            <w:pPr>
              <w:jc w:val="right"/>
              <w:ind w:right="2498"/>
              <w:spacing w:after="0"/>
              <w:rPr>
                <w:sz w:val="20"/>
                <w:szCs w:val="20"/>
                <w:color w:val="auto"/>
              </w:rPr>
            </w:pPr>
            <w:r>
              <w:rPr>
                <w:rFonts w:ascii="Times New Roman" w:cs="Times New Roman" w:eastAsia="Times New Roman" w:hAnsi="Times New Roman"/>
                <w:sz w:val="16"/>
                <w:szCs w:val="16"/>
                <w:color w:val="auto"/>
              </w:rPr>
              <w:t>4.25%</w:t>
            </w:r>
          </w:p>
        </w:tc>
        <w:tc>
          <w:tcPr>
            <w:tcW w:w="4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2020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80" w:type="dxa"/>
            <w:vAlign w:val="bottom"/>
          </w:tcPr>
          <w:p>
            <w:pPr>
              <w:jc w:val="right"/>
              <w:ind w:right="2498"/>
              <w:spacing w:after="0"/>
              <w:rPr>
                <w:sz w:val="20"/>
                <w:szCs w:val="20"/>
                <w:color w:val="auto"/>
              </w:rPr>
            </w:pPr>
            <w:r>
              <w:rPr>
                <w:rFonts w:ascii="Times New Roman" w:cs="Times New Roman" w:eastAsia="Times New Roman" w:hAnsi="Times New Roman"/>
                <w:sz w:val="16"/>
                <w:szCs w:val="16"/>
                <w:color w:val="auto"/>
              </w:rPr>
              <w:t>3.75%</w:t>
            </w:r>
          </w:p>
        </w:tc>
        <w:tc>
          <w:tcPr>
            <w:tcW w:w="42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shd w:val="clear" w:color="auto" w:fill="CCEEFF"/>
          </w:tcPr>
          <w:p>
            <w:pPr>
              <w:jc w:val="right"/>
              <w:ind w:right="2158"/>
              <w:spacing w:after="0"/>
              <w:rPr>
                <w:sz w:val="20"/>
                <w:szCs w:val="20"/>
                <w:color w:val="auto"/>
              </w:rPr>
            </w:pPr>
            <w:r>
              <w:rPr>
                <w:rFonts w:ascii="Times New Roman" w:cs="Times New Roman" w:eastAsia="Times New Roman" w:hAnsi="Times New Roman"/>
                <w:sz w:val="16"/>
                <w:szCs w:val="16"/>
                <w:color w:val="auto"/>
                <w:w w:val="97"/>
              </w:rPr>
              <w:t>Total Senior Debt</w:t>
            </w:r>
          </w:p>
        </w:tc>
        <w:tc>
          <w:tcPr>
            <w:tcW w:w="3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1,048.4</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40" w:type="dxa"/>
            <w:vAlign w:val="bottom"/>
            <w:vMerge w:val="restart"/>
          </w:tcPr>
          <w:p>
            <w:pPr>
              <w:jc w:val="right"/>
              <w:ind w:right="858"/>
              <w:spacing w:after="0"/>
              <w:rPr>
                <w:sz w:val="20"/>
                <w:szCs w:val="20"/>
                <w:color w:val="auto"/>
              </w:rPr>
            </w:pPr>
            <w:r>
              <w:rPr>
                <w:rFonts w:ascii="Times New Roman" w:cs="Times New Roman" w:eastAsia="Times New Roman" w:hAnsi="Times New Roman"/>
                <w:sz w:val="16"/>
                <w:szCs w:val="16"/>
                <w:color w:val="auto"/>
              </w:rPr>
              <w:t>65</w:t>
            </w: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67" w:name="page68"/>
    <w:bookmarkEnd w:id="6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60" w:firstLine="457"/>
        <w:spacing w:after="0" w:line="282" w:lineRule="auto"/>
        <w:rPr>
          <w:sz w:val="20"/>
          <w:szCs w:val="20"/>
          <w:color w:val="auto"/>
        </w:rPr>
      </w:pPr>
      <w:r>
        <w:rPr>
          <w:rFonts w:ascii="Times New Roman" w:cs="Times New Roman" w:eastAsia="Times New Roman" w:hAnsi="Times New Roman"/>
          <w:sz w:val="16"/>
          <w:szCs w:val="16"/>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07" w:lineRule="exact"/>
        <w:rPr>
          <w:sz w:val="20"/>
          <w:szCs w:val="20"/>
          <w:color w:val="auto"/>
        </w:rPr>
      </w:pPr>
    </w:p>
    <w:p>
      <w:pPr>
        <w:ind w:right="220" w:firstLine="457"/>
        <w:spacing w:after="0" w:line="301" w:lineRule="auto"/>
        <w:rPr>
          <w:sz w:val="20"/>
          <w:szCs w:val="20"/>
          <w:color w:val="auto"/>
        </w:rPr>
      </w:pPr>
      <w:r>
        <w:rPr>
          <w:rFonts w:ascii="Times New Roman" w:cs="Times New Roman" w:eastAsia="Times New Roman" w:hAnsi="Times New Roman"/>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92"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2015, Lazard Group was in compliance with such ratios, with its Consolidated Leverage Ratio being 1.07 to 1.00 and its Consolidated Interest Coverage Ratio being 20.57 to 1.00. In any event, no amounts were outstanding under the Amended and Restated Credit Agreement as of September 30, 2015.</w:t>
      </w:r>
    </w:p>
    <w:p>
      <w:pPr>
        <w:spacing w:after="0" w:line="117"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See Note 9 of Notes to Condensed Consolidated Financial Statements for additional information regarding senior debt.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w:t>
      </w:r>
    </w:p>
    <w:p>
      <w:pPr>
        <w:spacing w:after="0" w:line="97" w:lineRule="exact"/>
        <w:rPr>
          <w:sz w:val="20"/>
          <w:szCs w:val="20"/>
          <w:color w:val="auto"/>
        </w:rPr>
      </w:pPr>
    </w:p>
    <w:p>
      <w:pPr>
        <w:ind w:right="60" w:firstLine="457"/>
        <w:spacing w:after="0" w:line="282" w:lineRule="auto"/>
        <w:rPr>
          <w:sz w:val="20"/>
          <w:szCs w:val="20"/>
          <w:color w:val="auto"/>
        </w:rPr>
      </w:pPr>
      <w:r>
        <w:rPr>
          <w:rFonts w:ascii="Times New Roman" w:cs="Times New Roman" w:eastAsia="Times New Roman" w:hAnsi="Times New Roman"/>
          <w:sz w:val="16"/>
          <w:szCs w:val="16"/>
          <w:color w:val="auto"/>
        </w:rPr>
        <w:t>At September 30, 2015, total stockholders’ equity was $1,212 million, as compared to $770 million at December 31, 2014, including $1,155 million and $707 million attributable to Lazard Ltd on the respective dates. The net activity in stockholders’ equity during the nine month period ended September 30, 2015 is reflected in the table below (in millions of dollars):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Equity—January 1, 2015</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7"/>
                <w:szCs w:val="17"/>
                <w:color w:val="auto"/>
              </w:rPr>
            </w:pPr>
          </w:p>
        </w:tc>
      </w:tr>
      <w:tr>
        <w:trPr>
          <w:trHeight w:val="264"/>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(decrease) due to:</w:t>
            </w: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share-based incentive compensation</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Settlement of share-based incentive compensation, net of related tax benefit of $9 (a)</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r>
      <w:tr>
        <w:trPr>
          <w:trHeight w:val="201"/>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Class A common stock dividends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w:t>
            </w: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20" w:type="dxa"/>
            <w:vAlign w:val="bottom"/>
          </w:tcPr>
          <w:p>
            <w:pPr>
              <w:spacing w:after="0"/>
              <w:rPr>
                <w:sz w:val="17"/>
                <w:szCs w:val="17"/>
                <w:color w:val="auto"/>
              </w:rPr>
            </w:pPr>
          </w:p>
        </w:tc>
        <w:tc>
          <w:tcPr>
            <w:tcW w:w="7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Other—net</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Equity—September 30, 2015</w:t>
            </w:r>
          </w:p>
        </w:tc>
        <w:tc>
          <w:tcPr>
            <w:tcW w:w="19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1,212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5" w:lineRule="exact"/>
        <w:rPr>
          <w:sz w:val="20"/>
          <w:szCs w:val="20"/>
          <w:color w:val="auto"/>
        </w:rPr>
      </w:pPr>
    </w:p>
    <w:p>
      <w:pPr>
        <w:ind w:left="5640" w:right="4460" w:hanging="5639"/>
        <w:spacing w:after="0" w:line="482" w:lineRule="auto"/>
        <w:tabs>
          <w:tab w:leader="none" w:pos="46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withholding portion of share-based compensation was generally settled in cash, not shares. 66</w:t>
      </w:r>
    </w:p>
    <w:p>
      <w:pPr>
        <w:sectPr>
          <w:pgSz w:w="11900" w:h="16838" w:orient="portrait"/>
          <w:cols w:equalWidth="0" w:num="1">
            <w:col w:w="11380"/>
          </w:cols>
          <w:pgMar w:left="240" w:top="434" w:right="279" w:bottom="1440" w:gutter="0" w:footer="0" w:header="0"/>
        </w:sectPr>
      </w:pPr>
    </w:p>
    <w:bookmarkStart w:id="68" w:name="page69"/>
    <w:bookmarkEnd w:id="6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80" w:firstLine="457"/>
        <w:spacing w:after="0" w:line="275" w:lineRule="auto"/>
        <w:rPr>
          <w:sz w:val="20"/>
          <w:szCs w:val="20"/>
          <w:color w:val="auto"/>
        </w:rPr>
      </w:pPr>
      <w:r>
        <w:rPr>
          <w:rFonts w:ascii="Times New Roman" w:cs="Times New Roman" w:eastAsia="Times New Roman" w:hAnsi="Times New Roman"/>
          <w:sz w:val="16"/>
          <w:szCs w:val="16"/>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w:t>
            </w:r>
          </w:p>
        </w:tc>
      </w:tr>
      <w:tr>
        <w:trPr>
          <w:trHeight w:val="13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Price</w:t>
            </w:r>
          </w:p>
        </w:tc>
      </w:tr>
      <w:tr>
        <w:trPr>
          <w:trHeight w:val="13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2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5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2"/>
              </w:rPr>
              <w:t>Per</w:t>
            </w:r>
          </w:p>
        </w:tc>
      </w:tr>
      <w:tr>
        <w:trPr>
          <w:trHeight w:val="153"/>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Share</w:t>
            </w:r>
          </w:p>
        </w:tc>
      </w:tr>
      <w:tr>
        <w:trPr>
          <w:trHeight w:val="118"/>
        </w:trPr>
        <w:tc>
          <w:tcPr>
            <w:tcW w:w="20" w:type="dxa"/>
            <w:vAlign w:val="bottom"/>
          </w:tcPr>
          <w:p>
            <w:pPr>
              <w:spacing w:after="0"/>
              <w:rPr>
                <w:sz w:val="10"/>
                <w:szCs w:val="10"/>
                <w:color w:val="auto"/>
              </w:rPr>
            </w:pPr>
          </w:p>
        </w:tc>
        <w:tc>
          <w:tcPr>
            <w:tcW w:w="2000" w:type="dxa"/>
            <w:vAlign w:val="bottom"/>
            <w:tcBorders>
              <w:top w:val="single" w:sz="8" w:color="CCEEFF"/>
              <w:bottom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68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94"/>
        </w:trPr>
        <w:tc>
          <w:tcPr>
            <w:tcW w:w="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8600" w:type="dxa"/>
            <w:vAlign w:val="bottom"/>
            <w:gridSpan w:val="3"/>
          </w:tcPr>
          <w:p>
            <w:pPr>
              <w:ind w:left="7740"/>
              <w:spacing w:after="0"/>
              <w:rPr>
                <w:sz w:val="20"/>
                <w:szCs w:val="20"/>
                <w:color w:val="auto"/>
              </w:rPr>
            </w:pPr>
            <w:r>
              <w:rPr>
                <w:rFonts w:ascii="Times New Roman" w:cs="Times New Roman" w:eastAsia="Times New Roman" w:hAnsi="Times New Roman"/>
                <w:sz w:val="16"/>
                <w:szCs w:val="16"/>
                <w:color w:val="auto"/>
              </w:rPr>
              <w:t>4,114,206</w:t>
            </w:r>
          </w:p>
        </w:tc>
        <w:tc>
          <w:tcPr>
            <w:tcW w:w="720" w:type="dxa"/>
            <w:vAlign w:val="bottom"/>
            <w:gridSpan w:val="2"/>
          </w:tcPr>
          <w:p>
            <w:pPr>
              <w:jc w:val="center"/>
              <w:ind w:left="138"/>
              <w:spacing w:after="0"/>
              <w:rPr>
                <w:sz w:val="20"/>
                <w:szCs w:val="20"/>
                <w:color w:val="auto"/>
              </w:rPr>
            </w:pPr>
            <w:r>
              <w:rPr>
                <w:rFonts w:ascii="Times New Roman" w:cs="Times New Roman" w:eastAsia="Times New Roman" w:hAnsi="Times New Roman"/>
                <w:sz w:val="16"/>
                <w:szCs w:val="16"/>
                <w:color w:val="auto"/>
              </w:rPr>
              <w:t>$ 46.83</w:t>
            </w:r>
          </w:p>
        </w:tc>
        <w:tc>
          <w:tcPr>
            <w:tcW w:w="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8600" w:type="dxa"/>
            <w:vAlign w:val="bottom"/>
            <w:gridSpan w:val="3"/>
            <w:shd w:val="clear" w:color="auto" w:fill="CCEEFF"/>
          </w:tcPr>
          <w:p>
            <w:pPr>
              <w:ind w:left="7740"/>
              <w:spacing w:after="0"/>
              <w:rPr>
                <w:sz w:val="20"/>
                <w:szCs w:val="20"/>
                <w:color w:val="auto"/>
              </w:rPr>
            </w:pPr>
            <w:r>
              <w:rPr>
                <w:rFonts w:ascii="Times New Roman" w:cs="Times New Roman" w:eastAsia="Times New Roman" w:hAnsi="Times New Roman"/>
                <w:sz w:val="16"/>
                <w:szCs w:val="16"/>
                <w:color w:val="auto"/>
              </w:rPr>
              <w:t>3,141,526</w:t>
            </w:r>
          </w:p>
        </w:tc>
        <w:tc>
          <w:tcPr>
            <w:tcW w:w="720" w:type="dxa"/>
            <w:vAlign w:val="bottom"/>
            <w:gridSpan w:val="2"/>
            <w:shd w:val="clear" w:color="auto" w:fill="CCEEFF"/>
          </w:tcPr>
          <w:p>
            <w:pPr>
              <w:jc w:val="center"/>
              <w:ind w:left="138"/>
              <w:spacing w:after="0"/>
              <w:rPr>
                <w:sz w:val="20"/>
                <w:szCs w:val="20"/>
                <w:color w:val="auto"/>
              </w:rPr>
            </w:pPr>
            <w:r>
              <w:rPr>
                <w:rFonts w:ascii="Times New Roman" w:cs="Times New Roman" w:eastAsia="Times New Roman" w:hAnsi="Times New Roman"/>
                <w:sz w:val="16"/>
                <w:szCs w:val="16"/>
                <w:color w:val="auto"/>
              </w:rPr>
              <w:t>$ 50.76</w:t>
            </w:r>
          </w:p>
        </w:tc>
        <w:tc>
          <w:tcPr>
            <w:tcW w:w="80" w:type="dxa"/>
            <w:vAlign w:val="bottom"/>
            <w:shd w:val="clear" w:color="auto" w:fill="CCEEFF"/>
          </w:tcPr>
          <w:p>
            <w:pPr>
              <w:spacing w:after="0"/>
              <w:rPr>
                <w:sz w:val="17"/>
                <w:szCs w:val="17"/>
                <w:color w:val="auto"/>
              </w:rPr>
            </w:pPr>
          </w:p>
        </w:tc>
      </w:tr>
    </w:tbl>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shares purchased in the nine months ended September 30, 2014 included 1,000,000 shares purchased from Natixis S.A. on June 26, 2014 for approximately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 million in connection with the sale by Natixis S.A. of its entire investment in the Company’s Class A common stock. The purchase transaction closed on July 1, 2014.</w:t>
      </w:r>
    </w:p>
    <w:p>
      <w:pPr>
        <w:spacing w:after="0" w:line="156" w:lineRule="exact"/>
        <w:rPr>
          <w:sz w:val="20"/>
          <w:szCs w:val="20"/>
          <w:color w:val="auto"/>
        </w:rPr>
      </w:pPr>
    </w:p>
    <w:p>
      <w:pPr>
        <w:ind w:right="260" w:firstLine="457"/>
        <w:spacing w:after="0" w:line="301" w:lineRule="auto"/>
        <w:rPr>
          <w:sz w:val="20"/>
          <w:szCs w:val="20"/>
          <w:color w:val="auto"/>
        </w:rPr>
      </w:pPr>
      <w:r>
        <w:rPr>
          <w:rFonts w:ascii="Times New Roman" w:cs="Times New Roman" w:eastAsia="Times New Roman" w:hAnsi="Times New Roman"/>
          <w:sz w:val="16"/>
          <w:szCs w:val="16"/>
          <w:color w:val="auto"/>
        </w:rPr>
        <w:t>As of September 30, 2015, a total of $119 million of share repurchase authorization remained available under the Company’s share repurchase program, which will expire on December 31, 2016.</w:t>
      </w:r>
    </w:p>
    <w:p>
      <w:pPr>
        <w:spacing w:after="0" w:line="92" w:lineRule="exact"/>
        <w:rPr>
          <w:sz w:val="20"/>
          <w:szCs w:val="20"/>
          <w:color w:val="auto"/>
        </w:rPr>
      </w:pPr>
    </w:p>
    <w:p>
      <w:pPr>
        <w:ind w:right="260" w:firstLine="457"/>
        <w:spacing w:after="0" w:line="301" w:lineRule="auto"/>
        <w:rPr>
          <w:sz w:val="20"/>
          <w:szCs w:val="20"/>
          <w:color w:val="auto"/>
        </w:rPr>
      </w:pPr>
      <w:r>
        <w:rPr>
          <w:rFonts w:ascii="Times New Roman" w:cs="Times New Roman" w:eastAsia="Times New Roman" w:hAnsi="Times New Roman"/>
          <w:sz w:val="16"/>
          <w:szCs w:val="16"/>
          <w:color w:val="auto"/>
        </w:rPr>
        <w:t>During the nine months ended September 30, 2015, the Company had in place trading plans under Rule 10b5-1 of the Securities Exchange Act of 1934, pursuant to which it effected stock repurchases in the open market.</w:t>
      </w:r>
    </w:p>
    <w:p>
      <w:pPr>
        <w:spacing w:after="0" w:line="92" w:lineRule="exact"/>
        <w:rPr>
          <w:sz w:val="20"/>
          <w:szCs w:val="20"/>
          <w:color w:val="auto"/>
        </w:rPr>
      </w:pPr>
    </w:p>
    <w:p>
      <w:pPr>
        <w:ind w:right="280" w:firstLine="457"/>
        <w:spacing w:after="0" w:line="301" w:lineRule="auto"/>
        <w:rPr>
          <w:sz w:val="20"/>
          <w:szCs w:val="20"/>
          <w:color w:val="auto"/>
        </w:rPr>
      </w:pPr>
      <w:r>
        <w:rPr>
          <w:rFonts w:ascii="Times New Roman" w:cs="Times New Roman" w:eastAsia="Times New Roman" w:hAnsi="Times New Roman"/>
          <w:sz w:val="16"/>
          <w:szCs w:val="16"/>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92" w:lineRule="exact"/>
        <w:rPr>
          <w:sz w:val="20"/>
          <w:szCs w:val="20"/>
          <w:color w:val="auto"/>
        </w:rPr>
      </w:pPr>
    </w:p>
    <w:p>
      <w:pPr>
        <w:ind w:right="40" w:firstLine="457"/>
        <w:spacing w:after="0" w:line="301" w:lineRule="auto"/>
        <w:rPr>
          <w:sz w:val="20"/>
          <w:szCs w:val="20"/>
          <w:color w:val="auto"/>
        </w:rPr>
      </w:pPr>
      <w:r>
        <w:rPr>
          <w:rFonts w:ascii="Times New Roman" w:cs="Times New Roman" w:eastAsia="Times New Roman" w:hAnsi="Times New Roman"/>
          <w:sz w:val="16"/>
          <w:szCs w:val="16"/>
          <w:color w:val="auto"/>
        </w:rPr>
        <w:t>See Notes 11 and 12 of Notes to Condensed Consolidated Financial Statements for additional information regarding Lazard’s stockholders’ equity and incentive plans,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Capital</w:t>
      </w:r>
    </w:p>
    <w:p>
      <w:pPr>
        <w:spacing w:after="0" w:line="97"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420"/>
          </w:cols>
          <w:pgMar w:left="240" w:top="434" w:right="239" w:bottom="1440" w:gutter="0" w:footer="0" w:header="0"/>
        </w:sectPr>
      </w:pPr>
    </w:p>
    <w:bookmarkStart w:id="69" w:name="page70"/>
    <w:bookmarkEnd w:id="6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relating to Lazard’s contractual obligations as of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3"/>
                <w:szCs w:val="13"/>
                <w:b w:val="1"/>
                <w:bCs w:val="1"/>
                <w:color w:val="auto"/>
              </w:rPr>
              <w:t>Contractual Obligations Payment Due by Period</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4"/>
              <w:spacing w:after="0" w:line="116" w:lineRule="exact"/>
              <w:rPr>
                <w:sz w:val="20"/>
                <w:szCs w:val="20"/>
                <w:color w:val="auto"/>
              </w:rPr>
            </w:pPr>
            <w:r>
              <w:rPr>
                <w:rFonts w:ascii="Times New Roman" w:cs="Times New Roman" w:eastAsia="Times New Roman" w:hAnsi="Times New Roman"/>
                <w:sz w:val="13"/>
                <w:szCs w:val="13"/>
                <w:b w:val="1"/>
                <w:bCs w:val="1"/>
                <w:color w:val="auto"/>
                <w:w w:val="94"/>
              </w:rPr>
              <w:t>Less than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44"/>
              <w:spacing w:after="0" w:line="116" w:lineRule="exact"/>
              <w:rPr>
                <w:sz w:val="20"/>
                <w:szCs w:val="20"/>
                <w:color w:val="auto"/>
              </w:rPr>
            </w:pPr>
            <w:r>
              <w:rPr>
                <w:rFonts w:ascii="Times New Roman" w:cs="Times New Roman" w:eastAsia="Times New Roman" w:hAnsi="Times New Roman"/>
                <w:sz w:val="13"/>
                <w:szCs w:val="13"/>
                <w:b w:val="1"/>
                <w:bCs w:val="1"/>
                <w:color w:val="auto"/>
                <w:w w:val="98"/>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9"/>
              </w:rPr>
              <w:t>5 Years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Debt (including interest) (a)</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$ 1,270,491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177,587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Leases (exclusive of $67,909 of committed sublease income)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143,395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123,764</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Leases (including interest)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Capital Funding Commitments (b)</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$ 2,182,560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329,255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196,297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hanging="459"/>
        <w:spacing w:after="0"/>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of Notes to Condensed Consolidated Financial Statements.</w:t>
      </w:r>
    </w:p>
    <w:p>
      <w:pPr>
        <w:spacing w:after="0" w:line="29" w:lineRule="exact"/>
        <w:rPr>
          <w:rFonts w:ascii="Times New Roman" w:cs="Times New Roman" w:eastAsia="Times New Roman" w:hAnsi="Times New Roman"/>
          <w:sz w:val="16"/>
          <w:szCs w:val="16"/>
          <w:color w:val="auto"/>
        </w:rPr>
      </w:pPr>
    </w:p>
    <w:p>
      <w:pPr>
        <w:jc w:val="both"/>
        <w:ind w:left="460" w:right="120" w:hanging="459"/>
        <w:spacing w:after="0" w:line="262"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Unfunded commitments to private equity investments consolidated but not owned by Lazard of $5,501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Times New Roman" w:cs="Times New Roman" w:eastAsia="Times New Roman" w:hAnsi="Times New Roman"/>
          <w:sz w:val="16"/>
          <w:szCs w:val="16"/>
          <w:color w:val="auto"/>
        </w:rPr>
      </w:pPr>
    </w:p>
    <w:p>
      <w:pPr>
        <w:ind w:left="460" w:right="120" w:hanging="459"/>
        <w:spacing w:after="0" w:line="268"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September 30, 2015, a tax receivable agreement obligation of $523,907 was recorded on the condensed consolidated statements of financial condition. See “Critical Accounting Policies and Estimates— Income Taxes” below. See also Notes 10, 12, 13 and 14 of Notes to Condensed Consolidated Financial Statements regarding information in connection with commitments, incentive plans, employee benefit plans, tax receivable agreement obligations and income taxes,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97" w:lineRule="exact"/>
        <w:rPr>
          <w:sz w:val="20"/>
          <w:szCs w:val="20"/>
          <w:color w:val="auto"/>
        </w:rPr>
      </w:pPr>
    </w:p>
    <w:p>
      <w:pPr>
        <w:ind w:right="60" w:firstLine="457"/>
        <w:spacing w:after="0" w:line="270" w:lineRule="auto"/>
        <w:rPr>
          <w:sz w:val="20"/>
          <w:szCs w:val="20"/>
          <w:color w:val="auto"/>
        </w:rPr>
      </w:pPr>
      <w:r>
        <w:rPr>
          <w:rFonts w:ascii="Times New Roman" w:cs="Times New Roman" w:eastAsia="Times New Roman" w:hAnsi="Times New Roman"/>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7" w:lineRule="exact"/>
        <w:rPr>
          <w:sz w:val="20"/>
          <w:szCs w:val="20"/>
          <w:color w:val="auto"/>
        </w:rPr>
      </w:pPr>
    </w:p>
    <w:p>
      <w:pPr>
        <w:ind w:right="320" w:firstLine="457"/>
        <w:spacing w:after="0" w:line="301" w:lineRule="auto"/>
        <w:rPr>
          <w:sz w:val="20"/>
          <w:szCs w:val="20"/>
          <w:color w:val="auto"/>
        </w:rPr>
      </w:pPr>
      <w:r>
        <w:rPr>
          <w:rFonts w:ascii="Times New Roman" w:cs="Times New Roman" w:eastAsia="Times New Roman" w:hAnsi="Times New Roman"/>
          <w:sz w:val="16"/>
          <w:szCs w:val="16"/>
          <w:color w:val="auto"/>
        </w:rPr>
        <w:t>Lazard believes that the critical accounting policies set forth below comprise the most significant estimates and judgments used in the preparation of its condensed consolidated financial statements.</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97" w:lineRule="exact"/>
        <w:rPr>
          <w:sz w:val="20"/>
          <w:szCs w:val="20"/>
          <w:color w:val="auto"/>
        </w:rPr>
      </w:pPr>
    </w:p>
    <w:p>
      <w:pPr>
        <w:ind w:right="20" w:firstLine="457"/>
        <w:spacing w:after="0" w:line="301" w:lineRule="auto"/>
        <w:rPr>
          <w:sz w:val="20"/>
          <w:szCs w:val="20"/>
          <w:color w:val="auto"/>
        </w:rPr>
      </w:pPr>
      <w:r>
        <w:rPr>
          <w:rFonts w:ascii="Times New Roman" w:cs="Times New Roman" w:eastAsia="Times New Roman" w:hAnsi="Times New Roman"/>
          <w:sz w:val="16"/>
          <w:szCs w:val="16"/>
          <w:color w:val="auto"/>
        </w:rPr>
        <w:t>Lazard generates substantially all of its net revenue from providing Financial Advisory and Asset Management services to clients. Lazard recognizes revenue when the following criteria are met:</w:t>
      </w:r>
    </w:p>
    <w:p>
      <w:pPr>
        <w:spacing w:after="0" w:line="17" w:lineRule="exact"/>
        <w:rPr>
          <w:sz w:val="20"/>
          <w:szCs w:val="20"/>
          <w:color w:val="auto"/>
        </w:rPr>
      </w:pPr>
    </w:p>
    <w:p>
      <w:pPr>
        <w:ind w:left="900" w:hanging="333"/>
        <w:spacing w:after="0"/>
        <w:tabs>
          <w:tab w:leader="none" w:pos="9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persuasive evidence of an arrangement with a client;</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agreed-upon services have been provided;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1420"/>
          </w:cols>
          <w:pgMar w:left="240" w:top="434" w:right="239" w:bottom="1440" w:gutter="0" w:footer="0" w:header="0"/>
        </w:sectPr>
      </w:pPr>
    </w:p>
    <w:bookmarkStart w:id="70" w:name="page71"/>
    <w:bookmarkEnd w:id="7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900" w:hanging="333"/>
        <w:spacing w:after="0"/>
        <w:tabs>
          <w:tab w:leader="none" w:pos="9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are fixed or determinable; and</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collection is probable.</w:t>
      </w:r>
    </w:p>
    <w:p>
      <w:pPr>
        <w:spacing w:after="0" w:line="168" w:lineRule="exact"/>
        <w:rPr>
          <w:sz w:val="20"/>
          <w:szCs w:val="20"/>
          <w:color w:val="auto"/>
        </w:rPr>
      </w:pPr>
    </w:p>
    <w:p>
      <w:pPr>
        <w:ind w:right="180" w:firstLine="457"/>
        <w:spacing w:after="0" w:line="301" w:lineRule="auto"/>
        <w:rPr>
          <w:sz w:val="20"/>
          <w:szCs w:val="20"/>
          <w:color w:val="auto"/>
        </w:rPr>
      </w:pPr>
      <w:r>
        <w:rPr>
          <w:rFonts w:ascii="Times New Roman" w:cs="Times New Roman" w:eastAsia="Times New Roman" w:hAnsi="Times New Roman"/>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92"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13"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Compensation Liabilities</w:t>
      </w:r>
    </w:p>
    <w:p>
      <w:pPr>
        <w:spacing w:after="0" w:line="97"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6"/>
          <w:szCs w:val="16"/>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adjusted compensation and benefits expense to operating revenue. See “Financial Statement Overview—Operating Expenses” for more information on our periodic compensation and benefits expense.</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97" w:lineRule="exact"/>
        <w:rPr>
          <w:sz w:val="20"/>
          <w:szCs w:val="20"/>
          <w:color w:val="auto"/>
        </w:rPr>
      </w:pPr>
    </w:p>
    <w:p>
      <w:pPr>
        <w:ind w:right="220" w:firstLine="457"/>
        <w:spacing w:after="0" w:line="272" w:lineRule="auto"/>
        <w:rPr>
          <w:sz w:val="20"/>
          <w:szCs w:val="20"/>
          <w:color w:val="auto"/>
        </w:rPr>
      </w:pPr>
      <w:r>
        <w:rPr>
          <w:rFonts w:ascii="Times New Roman" w:cs="Times New Roman" w:eastAsia="Times New Roman" w:hAnsi="Times New Roman"/>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15" w:lineRule="exact"/>
        <w:rPr>
          <w:sz w:val="20"/>
          <w:szCs w:val="20"/>
          <w:color w:val="auto"/>
        </w:rPr>
      </w:pPr>
    </w:p>
    <w:p>
      <w:pPr>
        <w:jc w:val="both"/>
        <w:ind w:right="60" w:firstLine="457"/>
        <w:spacing w:after="0" w:line="282" w:lineRule="auto"/>
        <w:rPr>
          <w:sz w:val="20"/>
          <w:szCs w:val="20"/>
          <w:color w:val="auto"/>
        </w:rPr>
      </w:pPr>
      <w:r>
        <w:rPr>
          <w:rFonts w:ascii="Times New Roman" w:cs="Times New Roman" w:eastAsia="Times New Roman" w:hAnsi="Times New Roman"/>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$1.18 billion.</w:t>
      </w:r>
    </w:p>
    <w:p>
      <w:pPr>
        <w:spacing w:after="0" w:line="107" w:lineRule="exact"/>
        <w:rPr>
          <w:sz w:val="20"/>
          <w:szCs w:val="20"/>
          <w:color w:val="auto"/>
        </w:rPr>
      </w:pPr>
    </w:p>
    <w:p>
      <w:pPr>
        <w:ind w:right="20" w:firstLine="457"/>
        <w:spacing w:after="0" w:line="301" w:lineRule="auto"/>
        <w:rPr>
          <w:sz w:val="20"/>
          <w:szCs w:val="20"/>
          <w:color w:val="auto"/>
        </w:rPr>
      </w:pPr>
      <w:r>
        <w:rPr>
          <w:rFonts w:ascii="Times New Roman" w:cs="Times New Roman" w:eastAsia="Times New Roman" w:hAnsi="Times New Roman"/>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420"/>
          </w:cols>
          <w:pgMar w:left="240" w:top="434" w:right="239" w:bottom="1440" w:gutter="0" w:footer="0" w:header="0"/>
        </w:sectPr>
      </w:pPr>
    </w:p>
    <w:bookmarkStart w:id="71" w:name="page72"/>
    <w:bookmarkEnd w:id="7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consider multiple possible sources of taxable income when assessing a valuation allowance against a deferred tax asset, including:</w:t>
      </w:r>
    </w:p>
    <w:p>
      <w:pPr>
        <w:spacing w:after="0" w:line="93" w:lineRule="exact"/>
        <w:rPr>
          <w:sz w:val="20"/>
          <w:szCs w:val="20"/>
          <w:color w:val="auto"/>
        </w:rPr>
      </w:pPr>
    </w:p>
    <w:p>
      <w:pPr>
        <w:ind w:left="900" w:hanging="333"/>
        <w:spacing w:after="0"/>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reversals of existing taxable temporary differences;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taxable income exclusive of reversing temporary differences and carryforwards;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taxable income in prior carryback years; and</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tax-planning strategies.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assessment regarding whether a valuation allowance is required or should be adjusted also considers all available information, including the following:</w:t>
      </w:r>
    </w:p>
    <w:p>
      <w:pPr>
        <w:spacing w:after="0" w:line="93" w:lineRule="exact"/>
        <w:rPr>
          <w:sz w:val="20"/>
          <w:szCs w:val="20"/>
          <w:color w:val="auto"/>
        </w:rPr>
      </w:pPr>
    </w:p>
    <w:p>
      <w:pPr>
        <w:ind w:left="900" w:hanging="333"/>
        <w:spacing w:after="0"/>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nature, frequency, magnitude and duration of any past losses and current operating results;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of statutory carryforward periods;</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experience with tax attributes expiring unused; and</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near-term and medium-term financial outlook.</w:t>
      </w:r>
    </w:p>
    <w:p>
      <w:pPr>
        <w:spacing w:after="0" w:line="168" w:lineRule="exact"/>
        <w:rPr>
          <w:sz w:val="20"/>
          <w:szCs w:val="20"/>
          <w:color w:val="auto"/>
        </w:rPr>
      </w:pPr>
    </w:p>
    <w:p>
      <w:pPr>
        <w:jc w:val="both"/>
        <w:ind w:right="100" w:firstLine="457"/>
        <w:spacing w:after="0" w:line="282" w:lineRule="auto"/>
        <w:rPr>
          <w:sz w:val="20"/>
          <w:szCs w:val="20"/>
          <w:color w:val="auto"/>
        </w:rPr>
      </w:pPr>
      <w:r>
        <w:rPr>
          <w:rFonts w:ascii="Times New Roman" w:cs="Times New Roman" w:eastAsia="Times New Roman" w:hAnsi="Times New Roman"/>
          <w:sz w:val="16"/>
          <w:szCs w:val="16"/>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07" w:lineRule="exact"/>
        <w:rPr>
          <w:sz w:val="20"/>
          <w:szCs w:val="20"/>
          <w:color w:val="auto"/>
        </w:rPr>
      </w:pPr>
    </w:p>
    <w:p>
      <w:pPr>
        <w:ind w:right="420" w:firstLine="457"/>
        <w:spacing w:after="0" w:line="301" w:lineRule="auto"/>
        <w:rPr>
          <w:sz w:val="20"/>
          <w:szCs w:val="20"/>
          <w:color w:val="auto"/>
        </w:rPr>
      </w:pPr>
      <w:r>
        <w:rPr>
          <w:rFonts w:ascii="Times New Roman" w:cs="Times New Roman" w:eastAsia="Times New Roman" w:hAnsi="Times New Roman"/>
          <w:sz w:val="16"/>
          <w:szCs w:val="16"/>
          <w:color w:val="auto"/>
        </w:rPr>
        <w:t>Certain of our tax-paying entities at which we have historically recorded significant valuation allowances were profitable on a cumulative basis for the three year periods ended June 30, 2015 and September 30, 2015. Our assessment of such valuation allowance at each such date is described below.</w:t>
      </w:r>
    </w:p>
    <w:p>
      <w:pPr>
        <w:spacing w:after="0" w:line="92"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 with the exception of the portion of the valuation allowance that we expected to release based on our estimate of operating income in the current year.</w:t>
      </w:r>
    </w:p>
    <w:p>
      <w:pPr>
        <w:spacing w:after="0" w:line="117" w:lineRule="exact"/>
        <w:rPr>
          <w:sz w:val="20"/>
          <w:szCs w:val="20"/>
          <w:color w:val="auto"/>
        </w:rPr>
      </w:pPr>
    </w:p>
    <w:p>
      <w:pPr>
        <w:ind w:firstLine="457"/>
        <w:spacing w:after="0" w:line="301" w:lineRule="auto"/>
        <w:rPr>
          <w:sz w:val="20"/>
          <w:szCs w:val="20"/>
          <w:color w:val="auto"/>
        </w:rPr>
      </w:pPr>
      <w:r>
        <w:rPr>
          <w:rFonts w:ascii="Times New Roman" w:cs="Times New Roman" w:eastAsia="Times New Roman" w:hAnsi="Times New Roman"/>
          <w:sz w:val="16"/>
          <w:szCs w:val="16"/>
          <w:color w:val="auto"/>
        </w:rPr>
        <w:t>As a result, during the quarter ended June 30, 2015, we recorded a deferred tax benefit of approximately $821 million. In addition, we also recorded a separate deferred tax benefit of $378 million that reflected the tax deductibility of payments under the tax receivable agreement.</w:t>
      </w:r>
    </w:p>
    <w:p>
      <w:pPr>
        <w:spacing w:after="0" w:line="92"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As of September 30, 2015, we continued to conclude that the positive evidence in favor of releasing the valuation allowance in the relevant tax-paying entities outweighed the negative evidence and that it is more likely than not that these entities will be able to realize deferred tax assets. During the quarter ended September 30, 2015, we recorded an additional deferred tax benefit of approximately $18 million from the release of valuation allowance on deferred tax assets based on our estimate of operating income in 2015. In addition, during the quarter ended September 30, 2015, we recorded a deferred tax expense of approximately $161 million relating to the reduction of a deferred tax asset as a result of the partial extinguishment of our tax 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1420"/>
          </w:cols>
          <w:pgMar w:left="240" w:top="434" w:right="239" w:bottom="1440" w:gutter="0" w:footer="0" w:header="0"/>
        </w:sectPr>
      </w:pPr>
    </w:p>
    <w:bookmarkStart w:id="72" w:name="page73"/>
    <w:bookmarkEnd w:id="7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As a result of the release of our valuation allowance during 2015, we expect that, beginning in 2016, our effective tax rate, with all other factors being held constant, could be significantly higher than our effective tax rate for the year ended December 31, 2014. In such a situation, with all other factors being held constant, an increase in our effective tax rate as a result of the reduction in the valuation allowance would not impact the amount of cash income taxes we would pay to taxing authorities. However, as described below, payments under the Amended and Restated Tax Receivable Agreement may be required in subsequent periods.</w:t>
      </w:r>
    </w:p>
    <w:p>
      <w:pPr>
        <w:spacing w:after="0" w:line="113"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5" w:lineRule="exact"/>
        <w:rPr>
          <w:sz w:val="20"/>
          <w:szCs w:val="20"/>
          <w:color w:val="auto"/>
        </w:rPr>
      </w:pPr>
    </w:p>
    <w:p>
      <w:pPr>
        <w:ind w:right="360" w:firstLine="457"/>
        <w:spacing w:after="0" w:line="282" w:lineRule="auto"/>
        <w:rPr>
          <w:sz w:val="20"/>
          <w:szCs w:val="20"/>
          <w:color w:val="auto"/>
        </w:rPr>
      </w:pPr>
      <w:r>
        <w:rPr>
          <w:rFonts w:ascii="Times New Roman" w:cs="Times New Roman" w:eastAsia="Times New Roman" w:hAnsi="Times New Roman"/>
          <w:sz w:val="16"/>
          <w:szCs w:val="16"/>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See Item 1A, “Risk Factors” in our Form 10-K and Note 14 of Notes to Condensed Consolidated Financial Statements for additional information related to income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Amended and Restated Tax Receivable Agreement</w:t>
      </w:r>
    </w:p>
    <w:p>
      <w:pPr>
        <w:spacing w:after="0" w:line="95"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As described above, during the period ended June 30, 2015, we released substantially all of our valuation allowance against deferred tax assets. As a result, we accrued a corresponding liability of $962 million during the quarter ended June 30, 2015 for amounts relating to the Amended and Restated Tax Receivable Agreement, dated as of June 16, 2015, among Lazard, LMDC Holdings LLC and LTBP Trust (the “Trust”), as amended by the Second Amended and Restated Tax Receivable Agreement, dated as of October 26, 2015 (the “Amended and Restated Tax Receivable Agreement”), between Lazard and the Trust. See Note 14 of Notes to Condensed Consolidated Financial Statements for additional information regarding the Amended and Restated Tax Receivable Agreement.</w:t>
      </w:r>
    </w:p>
    <w:p>
      <w:pPr>
        <w:spacing w:after="0" w:line="115"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40"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In July 2015, we purchased approximately 47% of the then-outstanding beneficial interests in the Trust from certain owners of the Trust for $42 million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$421 million recorded in “provision (benefit) pursuant to tax receivable agreement” on the condensed consolidated statement of operations for the three and nine month periods ended September 30, 2015. In addition, the extinguishment of these payment obligations resulted in a reduction of the tax benefits that would have been attributable to the actual payments and, accordingly, we recorded a deferred tax expense of $161 million on the condensed consolidated statement of operations for the three month and nine month periods ended September 30, 2015.</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420"/>
          </w:cols>
          <w:pgMar w:left="240" w:top="434" w:right="239" w:bottom="1440" w:gutter="0" w:footer="0" w:header="0"/>
        </w:sectPr>
      </w:pPr>
    </w:p>
    <w:bookmarkStart w:id="73" w:name="page74"/>
    <w:bookmarkEnd w:id="7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cumulative liability relating to our obligations under the Amended and Restated Tax Receivable Agreement recorded as of September 30, 2015 was $524 million.</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7" w:lineRule="exact"/>
        <w:rPr>
          <w:sz w:val="20"/>
          <w:szCs w:val="20"/>
          <w:color w:val="auto"/>
        </w:rPr>
      </w:pPr>
    </w:p>
    <w:p>
      <w:pPr>
        <w:ind w:right="420" w:firstLine="457"/>
        <w:spacing w:after="0" w:line="301" w:lineRule="auto"/>
        <w:rPr>
          <w:sz w:val="20"/>
          <w:szCs w:val="20"/>
          <w:color w:val="auto"/>
        </w:rPr>
      </w:pPr>
      <w:r>
        <w:rPr>
          <w:rFonts w:ascii="Times New Roman" w:cs="Times New Roman" w:eastAsia="Times New Roman" w:hAnsi="Times New Roman"/>
          <w:sz w:val="16"/>
          <w:szCs w:val="16"/>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92"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520" w:firstLine="457"/>
        <w:spacing w:after="0" w:line="301" w:lineRule="auto"/>
        <w:rPr>
          <w:sz w:val="20"/>
          <w:szCs w:val="20"/>
          <w:color w:val="auto"/>
        </w:rPr>
      </w:pPr>
      <w:r>
        <w:rPr>
          <w:rFonts w:ascii="Times New Roman" w:cs="Times New Roman" w:eastAsia="Times New Roman" w:hAnsi="Times New Roman"/>
          <w:sz w:val="16"/>
          <w:szCs w:val="16"/>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Data relating to investments is set forth below:</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53"/>
        </w:trPr>
        <w:tc>
          <w:tcPr>
            <w:tcW w:w="6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Pr>
          <w:p>
            <w:pPr>
              <w:spacing w:after="0"/>
              <w:rPr>
                <w:sz w:val="13"/>
                <w:szCs w:val="13"/>
                <w:color w:val="auto"/>
              </w:rPr>
            </w:pPr>
          </w:p>
        </w:tc>
      </w:tr>
      <w:tr>
        <w:trPr>
          <w:trHeight w:val="144"/>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ind w:left="600"/>
              <w:spacing w:after="0" w:line="144" w:lineRule="exact"/>
              <w:rPr>
                <w:sz w:val="20"/>
                <w:szCs w:val="20"/>
                <w:color w:val="auto"/>
              </w:rPr>
            </w:pPr>
            <w:r>
              <w:rPr>
                <w:rFonts w:ascii="Times New Roman" w:cs="Times New Roman" w:eastAsia="Times New Roman" w:hAnsi="Times New Roman"/>
                <w:sz w:val="13"/>
                <w:szCs w:val="13"/>
                <w:b w:val="1"/>
                <w:bCs w:val="1"/>
                <w:color w:val="auto"/>
                <w:w w:val="96"/>
              </w:rPr>
              <w:t>($ 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Seed investments by asset class: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6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Equities (a)</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98,771</w:t>
            </w:r>
          </w:p>
        </w:tc>
        <w:tc>
          <w:tcPr>
            <w:tcW w:w="8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121,611</w:t>
            </w:r>
          </w:p>
        </w:tc>
      </w:tr>
      <w:tr>
        <w:trPr>
          <w:trHeight w:val="214"/>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Fixed income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16,400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26,728</w:t>
            </w:r>
          </w:p>
        </w:tc>
      </w:tr>
      <w:tr>
        <w:trPr>
          <w:trHeight w:val="201"/>
        </w:trPr>
        <w:tc>
          <w:tcPr>
            <w:tcW w:w="6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Alternative investments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56,924</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26,374</w:t>
            </w:r>
          </w:p>
        </w:tc>
      </w:tr>
      <w:tr>
        <w:trPr>
          <w:trHeight w:val="25"/>
        </w:trPr>
        <w:tc>
          <w:tcPr>
            <w:tcW w:w="6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seed investments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172,095</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174,713</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investments owned:</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Private equity (b)</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102,982</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108,049</w:t>
            </w:r>
          </w:p>
        </w:tc>
      </w:tr>
      <w:tr>
        <w:trPr>
          <w:trHeight w:val="201"/>
        </w:trPr>
        <w:tc>
          <w:tcPr>
            <w:tcW w:w="6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Interest-bearing deposits (c)</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56,441</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84,575</w:t>
            </w:r>
          </w:p>
        </w:tc>
      </w:tr>
      <w:tr>
        <w:trPr>
          <w:trHeight w:val="214"/>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Fixed income and other</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22,005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25,629</w:t>
            </w:r>
          </w:p>
        </w:tc>
      </w:tr>
      <w:tr>
        <w:trPr>
          <w:trHeight w:val="212"/>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investments owned</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181,428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218,253</w:t>
            </w:r>
          </w:p>
        </w:tc>
        <w:tc>
          <w:tcPr>
            <w:tcW w:w="100" w:type="dxa"/>
            <w:vAlign w:val="bottom"/>
          </w:tcPr>
          <w:p>
            <w:pPr>
              <w:spacing w:after="0"/>
              <w:rPr>
                <w:sz w:val="18"/>
                <w:szCs w:val="18"/>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353,523</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392,966</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Equity method (d)</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6,702</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7,776</w:t>
            </w:r>
          </w:p>
        </w:tc>
      </w:tr>
      <w:tr>
        <w:trPr>
          <w:trHeight w:val="201"/>
        </w:trPr>
        <w:tc>
          <w:tcPr>
            <w:tcW w:w="6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Private equity consolidated, not owned (e)</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18,235</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6,421</w:t>
            </w:r>
          </w:p>
        </w:tc>
      </w:tr>
      <w:tr>
        <w:trPr>
          <w:trHeight w:val="201"/>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LFI (f)</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196,744</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213,189</w:t>
            </w:r>
          </w:p>
        </w:tc>
      </w:tr>
      <w:tr>
        <w:trPr>
          <w:trHeight w:val="20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575,204</w:t>
            </w: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620,352</w:t>
            </w:r>
          </w:p>
        </w:tc>
        <w:tc>
          <w:tcPr>
            <w:tcW w:w="10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55880</wp:posOffset>
            </wp:positionV>
            <wp:extent cx="7270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93" w:lineRule="exact"/>
        <w:rPr>
          <w:sz w:val="20"/>
          <w:szCs w:val="20"/>
          <w:color w:val="auto"/>
        </w:rPr>
      </w:pPr>
    </w:p>
    <w:p>
      <w:pPr>
        <w:ind w:left="460" w:hanging="459"/>
        <w:spacing w:after="0"/>
        <w:tabs>
          <w:tab w:leader="none" w:pos="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2015 and December 31, 2014, seed investments in directly owned equity securities were invested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530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470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0" w:type="dxa"/>
            <w:vAlign w:val="bottom"/>
          </w:tcPr>
          <w:p>
            <w:pPr>
              <w:spacing w:after="0"/>
              <w:rPr>
                <w:sz w:val="13"/>
                <w:szCs w:val="13"/>
                <w:color w:val="auto"/>
              </w:rPr>
            </w:pPr>
          </w:p>
        </w:tc>
        <w:tc>
          <w:tcPr>
            <w:tcW w:w="120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20" w:type="dxa"/>
            <w:vAlign w:val="bottom"/>
            <w:tcBorders>
              <w:top w:val="single" w:sz="8" w:color="CCEEFF"/>
            </w:tcBorders>
            <w:shd w:val="clear" w:color="auto" w:fill="CCEEFF"/>
          </w:tcPr>
          <w:p>
            <w:pPr>
              <w:ind w:left="960"/>
              <w:spacing w:after="0" w:line="181" w:lineRule="exact"/>
              <w:rPr>
                <w:sz w:val="20"/>
                <w:szCs w:val="20"/>
                <w:color w:val="auto"/>
              </w:rPr>
            </w:pPr>
            <w:r>
              <w:rPr>
                <w:rFonts w:ascii="Times New Roman" w:cs="Times New Roman" w:eastAsia="Times New Roman" w:hAnsi="Times New Roman"/>
                <w:sz w:val="16"/>
                <w:szCs w:val="16"/>
                <w:color w:val="auto"/>
              </w:rPr>
              <w:t>Percentage invested in:</w:t>
            </w:r>
          </w:p>
        </w:tc>
        <w:tc>
          <w:tcPr>
            <w:tcW w:w="39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Financials</w:t>
            </w:r>
          </w:p>
        </w:tc>
        <w:tc>
          <w:tcPr>
            <w:tcW w:w="53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34%</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Consumer</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Industrial</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Technology</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Energy</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Other</w:t>
            </w:r>
          </w:p>
        </w:tc>
        <w:tc>
          <w:tcPr>
            <w:tcW w:w="39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Total</w:t>
            </w:r>
          </w:p>
        </w:tc>
        <w:tc>
          <w:tcPr>
            <w:tcW w:w="392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20" w:type="dxa"/>
            <w:vAlign w:val="bottom"/>
            <w:vMerge w:val="restart"/>
          </w:tcPr>
          <w:p>
            <w:pPr>
              <w:jc w:val="right"/>
              <w:ind w:right="2323"/>
              <w:spacing w:after="0"/>
              <w:rPr>
                <w:sz w:val="20"/>
                <w:szCs w:val="20"/>
                <w:color w:val="auto"/>
              </w:rPr>
            </w:pPr>
            <w:r>
              <w:rPr>
                <w:rFonts w:ascii="Times New Roman" w:cs="Times New Roman" w:eastAsia="Times New Roman" w:hAnsi="Times New Roman"/>
                <w:sz w:val="16"/>
                <w:szCs w:val="16"/>
                <w:color w:val="auto"/>
              </w:rPr>
              <w:t>72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74" w:name="page75"/>
    <w:bookmarkEnd w:id="7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60" w:right="320" w:hanging="459"/>
        <w:spacing w:after="0" w:line="301" w:lineRule="auto"/>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 equity investments include investments related to certain legacy businesses and co-investments in private equity funds managed by our Asset Management business. Co-investments owned were $26 million and $25 million as of September 30, 2015 and December 31, 2014, respectively.</w:t>
      </w:r>
    </w:p>
    <w:p>
      <w:pPr>
        <w:spacing w:after="0" w:line="16" w:lineRule="exact"/>
        <w:rPr>
          <w:rFonts w:ascii="Times New Roman" w:cs="Times New Roman" w:eastAsia="Times New Roman" w:hAnsi="Times New Roman"/>
          <w:sz w:val="16"/>
          <w:szCs w:val="16"/>
          <w:color w:val="auto"/>
        </w:rPr>
      </w:pPr>
    </w:p>
    <w:p>
      <w:pPr>
        <w:ind w:left="460" w:right="20" w:hanging="459"/>
        <w:spacing w:after="0" w:line="275" w:lineRule="auto"/>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37"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investments accounted for under the equity method of accounting.</w:t>
      </w:r>
    </w:p>
    <w:p>
      <w:pPr>
        <w:spacing w:after="0" w:line="92" w:lineRule="exact"/>
        <w:rPr>
          <w:rFonts w:ascii="Times New Roman" w:cs="Times New Roman" w:eastAsia="Times New Roman" w:hAnsi="Times New Roman"/>
          <w:sz w:val="16"/>
          <w:szCs w:val="16"/>
          <w:color w:val="auto"/>
        </w:rPr>
      </w:pPr>
    </w:p>
    <w:p>
      <w:pPr>
        <w:ind w:left="460" w:right="160" w:hanging="459"/>
        <w:spacing w:after="0" w:line="301" w:lineRule="auto"/>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16" w:lineRule="exact"/>
        <w:rPr>
          <w:rFonts w:ascii="Times New Roman" w:cs="Times New Roman" w:eastAsia="Times New Roman" w:hAnsi="Times New Roman"/>
          <w:sz w:val="16"/>
          <w:szCs w:val="16"/>
          <w:color w:val="auto"/>
        </w:rPr>
      </w:pPr>
    </w:p>
    <w:p>
      <w:pPr>
        <w:ind w:left="460" w:right="60" w:hanging="459"/>
        <w:spacing w:after="0" w:line="275" w:lineRule="auto"/>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13" w:lineRule="exact"/>
        <w:rPr>
          <w:sz w:val="20"/>
          <w:szCs w:val="20"/>
          <w:color w:val="auto"/>
        </w:rPr>
      </w:pPr>
    </w:p>
    <w:p>
      <w:pPr>
        <w:ind w:right="60" w:firstLine="457"/>
        <w:spacing w:after="0" w:line="274" w:lineRule="auto"/>
        <w:rPr>
          <w:sz w:val="20"/>
          <w:szCs w:val="20"/>
          <w:color w:val="auto"/>
        </w:rPr>
      </w:pPr>
      <w:r>
        <w:rPr>
          <w:rFonts w:ascii="Times New Roman" w:cs="Times New Roman" w:eastAsia="Times New Roman" w:hAnsi="Times New Roman"/>
          <w:sz w:val="16"/>
          <w:szCs w:val="16"/>
          <w:color w:val="auto"/>
        </w:rPr>
        <w:t>At September 30, 2015 and December 31, 2014, total investments with a fair value of $512 million and $528 million, respectively, included $26 million and $1 million, respectively, or 5% and less than 1%, respectively, of investments that were classified as Level 3 investments, and $121 million and $149 million, respectively, or 24%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318" w:lineRule="exact"/>
        <w:rPr>
          <w:sz w:val="20"/>
          <w:szCs w:val="20"/>
          <w:color w:val="auto"/>
        </w:rPr>
      </w:pPr>
    </w:p>
    <w:p>
      <w:pPr>
        <w:ind w:right="40" w:firstLine="457"/>
        <w:spacing w:after="0" w:line="282" w:lineRule="auto"/>
        <w:rPr>
          <w:sz w:val="20"/>
          <w:szCs w:val="20"/>
          <w:color w:val="auto"/>
        </w:rPr>
      </w:pPr>
      <w:r>
        <w:rPr>
          <w:rFonts w:ascii="Times New Roman" w:cs="Times New Roman" w:eastAsia="Times New Roman" w:hAnsi="Times New Roman"/>
          <w:sz w:val="16"/>
          <w:szCs w:val="16"/>
          <w:color w:val="auto"/>
        </w:rPr>
        <w:t>As of September 30, 2015 and December 31, 2014, the Company held seed investments of approximately $172 million and $175 million, respectively. Seed investments held in entities in which the Company maintained a controlling interest were $72 million in twelve entities as of September 30, 2015, as compared to $54 million in eight entities as of December 31, 2014.</w:t>
      </w:r>
    </w:p>
    <w:p>
      <w:pPr>
        <w:spacing w:after="0" w:line="107"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As of September 30, 2015 and December 31, 2014, the Company did not consolidate or deconsolidate any seed investment entities. As such, 100% of the recorded balance of seed investments as of September 30, 2015 and December 31, 2014 represented the Company’s economic interest in the seed investments. See “—Consolidation of Variable Interest Entities” below for more information on the Company’s policy regarding the consolidation of seed investment entities.</w:t>
      </w:r>
    </w:p>
    <w:p>
      <w:pPr>
        <w:spacing w:after="0" w:line="107" w:lineRule="exact"/>
        <w:rPr>
          <w:sz w:val="20"/>
          <w:szCs w:val="20"/>
          <w:color w:val="auto"/>
        </w:rPr>
      </w:pPr>
    </w:p>
    <w:p>
      <w:pPr>
        <w:ind w:right="240" w:firstLine="457"/>
        <w:spacing w:after="0" w:line="301" w:lineRule="auto"/>
        <w:rPr>
          <w:sz w:val="20"/>
          <w:szCs w:val="20"/>
          <w:color w:val="auto"/>
        </w:rPr>
      </w:pPr>
      <w:r>
        <w:rPr>
          <w:rFonts w:ascii="Times New Roman" w:cs="Times New Roman" w:eastAsia="Times New Roman" w:hAnsi="Times New Roman"/>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Assets Under Management</w:t>
      </w:r>
    </w:p>
    <w:p>
      <w:pPr>
        <w:spacing w:after="0" w:line="97"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AUM primarily consists of debt and equity instruments, which have a value that is readily available based on either prices quoted on a recognized exchange or prices provided by external pricing services.</w:t>
      </w:r>
    </w:p>
    <w:p>
      <w:pPr>
        <w:spacing w:after="0" w:line="92" w:lineRule="exact"/>
        <w:rPr>
          <w:sz w:val="20"/>
          <w:szCs w:val="20"/>
          <w:color w:val="auto"/>
        </w:rPr>
      </w:pPr>
    </w:p>
    <w:p>
      <w:pPr>
        <w:ind w:right="160" w:firstLine="457"/>
        <w:spacing w:after="0" w:line="301" w:lineRule="auto"/>
        <w:rPr>
          <w:sz w:val="20"/>
          <w:szCs w:val="20"/>
          <w:color w:val="auto"/>
        </w:rPr>
      </w:pPr>
      <w:r>
        <w:rPr>
          <w:rFonts w:ascii="Times New Roman" w:cs="Times New Roman" w:eastAsia="Times New Roman" w:hAnsi="Times New Roman"/>
          <w:sz w:val="16"/>
          <w:szCs w:val="16"/>
          <w:color w:val="auto"/>
        </w:rPr>
        <w:t>Prices of equity and debt securities and other instruments that comprise our AUM are generally provided by well-recognized, independent, third-party vendors. Such third-party vendors rely on prices provided by external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420"/>
          </w:cols>
          <w:pgMar w:left="240" w:top="434" w:right="239" w:bottom="1440" w:gutter="0" w:footer="0" w:header="0"/>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pricing services which are obtained from recognized exchanges or markets, or, for certain fixed income securities, from an evaluated bid or other similarly sourced price.</w:t>
      </w:r>
    </w:p>
    <w:p>
      <w:pPr>
        <w:spacing w:after="0" w:line="168"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97" w:lineRule="exact"/>
        <w:rPr>
          <w:sz w:val="20"/>
          <w:szCs w:val="20"/>
          <w:color w:val="auto"/>
        </w:rPr>
      </w:pPr>
    </w:p>
    <w:p>
      <w:pPr>
        <w:ind w:right="360" w:firstLine="457"/>
        <w:spacing w:after="0" w:line="275" w:lineRule="auto"/>
        <w:rPr>
          <w:sz w:val="20"/>
          <w:szCs w:val="20"/>
          <w:color w:val="auto"/>
        </w:rPr>
      </w:pPr>
      <w:r>
        <w:rPr>
          <w:rFonts w:ascii="Times New Roman" w:cs="Times New Roman" w:eastAsia="Times New Roman" w:hAnsi="Times New Roman"/>
          <w:sz w:val="16"/>
          <w:szCs w:val="16"/>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Consolidation of Variable Interest Entities</w:t>
      </w:r>
    </w:p>
    <w:p>
      <w:pPr>
        <w:spacing w:after="0" w:line="97" w:lineRule="exact"/>
        <w:rPr>
          <w:sz w:val="20"/>
          <w:szCs w:val="20"/>
          <w:color w:val="auto"/>
        </w:rPr>
      </w:pPr>
    </w:p>
    <w:p>
      <w:pPr>
        <w:ind w:right="80" w:firstLine="457"/>
        <w:spacing w:after="0" w:line="301"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17" w:lineRule="exact"/>
        <w:rPr>
          <w:sz w:val="20"/>
          <w:szCs w:val="20"/>
          <w:color w:val="auto"/>
        </w:rPr>
      </w:pPr>
    </w:p>
    <w:p>
      <w:pPr>
        <w:ind w:left="900" w:hanging="333"/>
        <w:spacing w:after="0" w:line="275" w:lineRule="auto"/>
        <w:tabs>
          <w:tab w:leader="none" w:pos="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7" w:lineRule="exact"/>
        <w:rPr>
          <w:rFonts w:ascii="Times New Roman" w:cs="Times New Roman" w:eastAsia="Times New Roman" w:hAnsi="Times New Roman"/>
          <w:sz w:val="16"/>
          <w:szCs w:val="16"/>
          <w:color w:val="auto"/>
        </w:rPr>
      </w:pPr>
    </w:p>
    <w:p>
      <w:pPr>
        <w:jc w:val="both"/>
        <w:ind w:left="900" w:right="140" w:hanging="333"/>
        <w:spacing w:after="0" w:line="282" w:lineRule="auto"/>
        <w:tabs>
          <w:tab w:leader="none" w:pos="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ind w:right="60" w:firstLine="457"/>
        <w:spacing w:after="0" w:line="275" w:lineRule="auto"/>
        <w:rPr>
          <w:sz w:val="20"/>
          <w:szCs w:val="20"/>
          <w:color w:val="auto"/>
        </w:rPr>
      </w:pPr>
      <w:r>
        <w:rPr>
          <w:rFonts w:ascii="Times New Roman" w:cs="Times New Roman" w:eastAsia="Times New Roman" w:hAnsi="Times New Roman"/>
          <w:sz w:val="16"/>
          <w:szCs w:val="16"/>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13" w:lineRule="exact"/>
        <w:rPr>
          <w:sz w:val="20"/>
          <w:szCs w:val="20"/>
          <w:color w:val="auto"/>
        </w:rPr>
      </w:pPr>
    </w:p>
    <w:p>
      <w:pPr>
        <w:ind w:right="220" w:firstLine="457"/>
        <w:spacing w:after="0" w:line="275" w:lineRule="auto"/>
        <w:rPr>
          <w:sz w:val="20"/>
          <w:szCs w:val="20"/>
          <w:color w:val="auto"/>
        </w:rPr>
      </w:pPr>
      <w:r>
        <w:rPr>
          <w:rFonts w:ascii="Times New Roman" w:cs="Times New Roman" w:eastAsia="Times New Roman" w:hAnsi="Times New Roman"/>
          <w:sz w:val="16"/>
          <w:szCs w:val="16"/>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13" w:lineRule="exact"/>
        <w:rPr>
          <w:sz w:val="20"/>
          <w:szCs w:val="20"/>
          <w:color w:val="auto"/>
        </w:rPr>
      </w:pPr>
    </w:p>
    <w:p>
      <w:pPr>
        <w:ind w:right="140" w:firstLine="457"/>
        <w:spacing w:after="0" w:line="301" w:lineRule="auto"/>
        <w:rPr>
          <w:sz w:val="20"/>
          <w:szCs w:val="20"/>
          <w:color w:val="auto"/>
        </w:rPr>
      </w:pPr>
      <w:r>
        <w:rPr>
          <w:rFonts w:ascii="Times New Roman" w:cs="Times New Roman" w:eastAsia="Times New Roman" w:hAnsi="Times New Roman"/>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420"/>
          </w:cols>
          <w:pgMar w:left="240" w:top="434" w:right="239" w:bottom="1440" w:gutter="0" w:footer="0" w:header="0"/>
        </w:sectPr>
      </w:pPr>
    </w:p>
    <w:bookmarkStart w:id="76" w:name="page77"/>
    <w:bookmarkEnd w:id="7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6"/>
          <w:szCs w:val="16"/>
          <w:color w:val="auto"/>
        </w:rPr>
        <w:t>partner. To the extent material, we consolidate seed investment entities in which we own a controlling interest, and we would deconsolidate any such entity when we no longer have a controlling interest in such entity.</w:t>
      </w:r>
    </w:p>
    <w:p>
      <w:pPr>
        <w:spacing w:after="0" w:line="164"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6"/>
          <w:szCs w:val="16"/>
          <w:b w:val="1"/>
          <w:bCs w:val="1"/>
          <w:color w:val="auto"/>
        </w:rPr>
        <w:t>Risk Management</w:t>
      </w:r>
    </w:p>
    <w:p>
      <w:pPr>
        <w:spacing w:after="0" w:line="93" w:lineRule="exact"/>
        <w:rPr>
          <w:sz w:val="20"/>
          <w:szCs w:val="20"/>
          <w:color w:val="auto"/>
        </w:rPr>
      </w:pPr>
    </w:p>
    <w:p>
      <w:pPr>
        <w:jc w:val="center"/>
        <w:ind w:right="10120"/>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7"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15" w:lineRule="exact"/>
        <w:rPr>
          <w:sz w:val="20"/>
          <w:szCs w:val="20"/>
          <w:color w:val="auto"/>
        </w:rPr>
      </w:pPr>
    </w:p>
    <w:p>
      <w:pPr>
        <w:jc w:val="both"/>
        <w:ind w:right="100" w:firstLine="457"/>
        <w:spacing w:after="0" w:line="282" w:lineRule="auto"/>
        <w:rPr>
          <w:sz w:val="20"/>
          <w:szCs w:val="20"/>
          <w:color w:val="auto"/>
        </w:rPr>
      </w:pPr>
      <w:r>
        <w:rPr>
          <w:rFonts w:ascii="Times New Roman" w:cs="Times New Roman" w:eastAsia="Times New Roman" w:hAnsi="Times New Roman"/>
          <w:sz w:val="16"/>
          <w:szCs w:val="16"/>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07"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6"/>
          <w:szCs w:val="16"/>
          <w:color w:val="auto"/>
        </w:rPr>
        <w:t>Equity Market Price Risk—At September 30, 2015 and December 31, 2014, the Company’s exposure to equity market price risk in its investment portfolio, which primarily relates to investments in equity securities, equity funds and hedge funds, was approximately $132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$2.6 million and $2.0 million in the carrying value of such investments as of September 30, 2015 and December 31, 2014, respectively, including the effect of the hedging transactions.</w:t>
      </w:r>
    </w:p>
    <w:p>
      <w:pPr>
        <w:spacing w:after="0" w:line="115" w:lineRule="exact"/>
        <w:rPr>
          <w:sz w:val="20"/>
          <w:szCs w:val="20"/>
          <w:color w:val="auto"/>
        </w:rPr>
      </w:pPr>
    </w:p>
    <w:p>
      <w:pPr>
        <w:ind w:right="260" w:firstLine="457"/>
        <w:spacing w:after="0" w:line="272" w:lineRule="auto"/>
        <w:rPr>
          <w:sz w:val="20"/>
          <w:szCs w:val="20"/>
          <w:color w:val="auto"/>
        </w:rPr>
      </w:pPr>
      <w:r>
        <w:rPr>
          <w:rFonts w:ascii="Times New Roman" w:cs="Times New Roman" w:eastAsia="Times New Roman" w:hAnsi="Times New Roman"/>
          <w:sz w:val="16"/>
          <w:szCs w:val="16"/>
          <w:color w:val="auto"/>
        </w:rPr>
        <w:t>Interest Rate/Credit Spread Risk—At September 30, 2015 and December 31, 2014, the Company’s exposure to interest rate and credit spread risk in its investment portfolio related to investments in debt securities or funds which invest primarily in debt securities was $59 million and $54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$1.0 million in the carrying value of such investments as of September 30, 2015 and December 31, 2014, respectively, including the effect of the hedging transactions.</w:t>
      </w:r>
    </w:p>
    <w:p>
      <w:pPr>
        <w:spacing w:after="0" w:line="115" w:lineRule="exact"/>
        <w:rPr>
          <w:sz w:val="20"/>
          <w:szCs w:val="20"/>
          <w:color w:val="auto"/>
        </w:rPr>
      </w:pPr>
    </w:p>
    <w:p>
      <w:pPr>
        <w:ind w:right="40" w:firstLine="457"/>
        <w:spacing w:after="0" w:line="272" w:lineRule="auto"/>
        <w:rPr>
          <w:sz w:val="20"/>
          <w:szCs w:val="20"/>
          <w:color w:val="auto"/>
        </w:rPr>
      </w:pPr>
      <w:r>
        <w:rPr>
          <w:rFonts w:ascii="Times New Roman" w:cs="Times New Roman" w:eastAsia="Times New Roman" w:hAnsi="Times New Roman"/>
          <w:sz w:val="16"/>
          <w:szCs w:val="16"/>
          <w:color w:val="auto"/>
        </w:rPr>
        <w:t>Foreign Exchange Rate Risk—At September 30, 2015 and December 31, 2014, the Company’s exposure to foreign exchange rate risk in its investment portfolio, which primarily relates to investments in foreign currency denominated equity and debt securities, was $77 million and $68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$1.6 million and $0.6 million in the carrying value of such investments as of September 30, 2015 and December 31, 2014, respectively, including the effect of the hedging transactions.</w:t>
      </w:r>
    </w:p>
    <w:p>
      <w:pPr>
        <w:spacing w:after="0" w:line="115"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6"/>
          <w:szCs w:val="16"/>
          <w:color w:val="auto"/>
        </w:rPr>
        <w:t>Private Equity—The Company invests in private equity primarily as a part of its co-investment activities and in connection with certain legacy businesses. At September 30, 2015 and December 31, 2014, the Company’s exposure to changes in fair value of such investments was approximately $103 million and $108 million, respectively. The Company estimates that a hypothetical 10% adverse change in fair value would result in a decrease of approximately $10.3 million and $10.8 million in the carrying value of such investments as of September 30, 2015 and December 31, 2014, respectively.</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380"/>
          </w:cols>
          <w:pgMar w:left="240" w:top="434" w:right="279" w:bottom="1440" w:gutter="0" w:footer="0" w:header="0"/>
        </w:sectPr>
      </w:pPr>
    </w:p>
    <w:bookmarkStart w:id="77" w:name="page78"/>
    <w:bookmarkEnd w:id="7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Receivables</w:t>
      </w:r>
    </w:p>
    <w:p>
      <w:pPr>
        <w:spacing w:after="0" w:line="97"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2015, total receivables amounted to $502 million, net of an allowance for doubtful accounts of $20 million. As of that date, Financial Advisory and Asset Management fees, and customer receivables comprised 85% and 15%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September 30, 2015 and December 31, 2014, the Company had receivables past due or deemed uncollectible of approximately $27 million and $25 million, respectively. See also “Critical Accounting Policies and Estimates—Revenue Recognition” above and Note 3 of Notes to Condensed Consolidated Financial Statements for additional information regarding receivables.</w:t>
      </w:r>
    </w:p>
    <w:p>
      <w:pPr>
        <w:spacing w:after="0" w:line="118" w:lineRule="exact"/>
        <w:rPr>
          <w:sz w:val="20"/>
          <w:szCs w:val="20"/>
          <w:color w:val="auto"/>
        </w:rPr>
      </w:pPr>
    </w:p>
    <w:p>
      <w:pPr>
        <w:ind w:right="200" w:firstLine="457"/>
        <w:spacing w:after="0" w:line="282" w:lineRule="auto"/>
        <w:rPr>
          <w:sz w:val="20"/>
          <w:szCs w:val="20"/>
          <w:color w:val="auto"/>
        </w:rPr>
      </w:pPr>
      <w:r>
        <w:rPr>
          <w:rFonts w:ascii="Times New Roman" w:cs="Times New Roman" w:eastAsia="Times New Roman" w:hAnsi="Times New Roman"/>
          <w:sz w:val="16"/>
          <w:szCs w:val="16"/>
          <w:color w:val="auto"/>
        </w:rPr>
        <w:t>LFB engages in lending activities, including commitments to extend credit (primarily for clients of LFG). At September 30, 2015 and December 31, 2014, customer receivables included $39 million and $35 million of LFB loans, respectively, with such loans being fully collateralized and closely monitored for counterparty creditworthiness.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Credit Concentrations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reduce the exposure to concentrations of credit, the Company monitors exposure to individual counterparties.</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Derivatives</w:t>
      </w:r>
    </w:p>
    <w:p>
      <w:pPr>
        <w:spacing w:after="0" w:line="97" w:lineRule="exact"/>
        <w:rPr>
          <w:sz w:val="20"/>
          <w:szCs w:val="20"/>
          <w:color w:val="auto"/>
        </w:rPr>
      </w:pPr>
    </w:p>
    <w:p>
      <w:pPr>
        <w:ind w:right="120" w:firstLine="457"/>
        <w:spacing w:after="0" w:line="272" w:lineRule="auto"/>
        <w:rPr>
          <w:sz w:val="20"/>
          <w:szCs w:val="20"/>
          <w:color w:val="auto"/>
        </w:rPr>
      </w:pPr>
      <w:r>
        <w:rPr>
          <w:rFonts w:ascii="Times New Roman" w:cs="Times New Roman" w:eastAsia="Times New Roman" w:hAnsi="Times New Roman"/>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$2 million at both September 30, 2015 and December 31, 2014, respectively, and derivative liabilities, excluding the derivative liability arising from the Company’s obligation pertaining to LFI and other similar deferred compensation arrangements, amounted to $1 million and $0.8 million at such respective dates.</w:t>
      </w:r>
    </w:p>
    <w:p>
      <w:pPr>
        <w:spacing w:after="0" w:line="115" w:lineRule="exact"/>
        <w:rPr>
          <w:sz w:val="20"/>
          <w:szCs w:val="20"/>
          <w:color w:val="auto"/>
        </w:rPr>
      </w:pPr>
    </w:p>
    <w:p>
      <w:pPr>
        <w:ind w:right="160" w:firstLine="457"/>
        <w:spacing w:after="0" w:line="275" w:lineRule="auto"/>
        <w:rPr>
          <w:sz w:val="20"/>
          <w:szCs w:val="20"/>
          <w:color w:val="auto"/>
        </w:rPr>
      </w:pPr>
      <w:r>
        <w:rPr>
          <w:rFonts w:ascii="Times New Roman" w:cs="Times New Roman" w:eastAsia="Times New Roman" w:hAnsi="Times New Roman"/>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$189 million and $207 million at September 30, 2015 and December 31, 2014,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Cash and Cash Equivalents and Corporate Indebtedness</w:t>
      </w:r>
    </w:p>
    <w:p>
      <w:pPr>
        <w:spacing w:after="0" w:line="97" w:lineRule="exact"/>
        <w:rPr>
          <w:sz w:val="20"/>
          <w:szCs w:val="20"/>
          <w:color w:val="auto"/>
        </w:rPr>
      </w:pPr>
    </w:p>
    <w:p>
      <w:pPr>
        <w:jc w:val="both"/>
        <w:ind w:right="40" w:firstLine="457"/>
        <w:spacing w:after="0" w:line="282" w:lineRule="auto"/>
        <w:rPr>
          <w:sz w:val="20"/>
          <w:szCs w:val="20"/>
          <w:color w:val="auto"/>
        </w:rPr>
      </w:pPr>
      <w:r>
        <w:rPr>
          <w:rFonts w:ascii="Times New Roman" w:cs="Times New Roman" w:eastAsia="Times New Roman" w:hAnsi="Times New Roman"/>
          <w:sz w:val="16"/>
          <w:szCs w:val="16"/>
          <w:color w:val="auto"/>
        </w:rPr>
        <w:t>A significant portion of the Company’s indebtedness has fixed interest rates, while its cash and cash equivalents generally have market interest rates. Based on account balances as of September 30, 2015,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07" w:lineRule="exact"/>
        <w:rPr>
          <w:sz w:val="20"/>
          <w:szCs w:val="20"/>
          <w:color w:val="auto"/>
        </w:rPr>
      </w:pPr>
    </w:p>
    <w:p>
      <w:pPr>
        <w:jc w:val="both"/>
        <w:ind w:right="40" w:firstLine="457"/>
        <w:spacing w:after="0" w:line="301" w:lineRule="auto"/>
        <w:rPr>
          <w:sz w:val="20"/>
          <w:szCs w:val="20"/>
          <w:color w:val="auto"/>
        </w:rPr>
      </w:pPr>
      <w:r>
        <w:rPr>
          <w:rFonts w:ascii="Times New Roman" w:cs="Times New Roman" w:eastAsia="Times New Roman" w:hAnsi="Times New Roman"/>
          <w:sz w:val="16"/>
          <w:szCs w:val="16"/>
          <w:color w:val="auto"/>
        </w:rPr>
        <w:t>As of September 30, 2015, the Company’s cash and cash equivalents totaled approximately $860 million. Substantially all of the Company’s cash and cash equivalents were invested in highly liquid institutional money market funds (a significant majority of which were invested solely in U.S. Government or Agency money market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1420"/>
          </w:cols>
          <w:pgMar w:left="240" w:top="434" w:right="239" w:bottom="1440" w:gutter="0" w:footer="0" w:header="0"/>
        </w:sectPr>
      </w:pPr>
    </w:p>
    <w:bookmarkStart w:id="78" w:name="page79"/>
    <w:bookmarkEnd w:id="7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Risk</w:t>
      </w:r>
    </w:p>
    <w:p>
      <w:pPr>
        <w:spacing w:after="0" w:line="97"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Developments</w:t>
      </w:r>
    </w:p>
    <w:p>
      <w:pPr>
        <w:spacing w:after="0" w:line="97" w:lineRule="exact"/>
        <w:rPr>
          <w:sz w:val="20"/>
          <w:szCs w:val="20"/>
          <w:color w:val="auto"/>
        </w:rPr>
      </w:pPr>
    </w:p>
    <w:p>
      <w:pPr>
        <w:ind w:right="20" w:firstLine="457"/>
        <w:spacing w:after="0" w:line="301" w:lineRule="auto"/>
        <w:rPr>
          <w:sz w:val="20"/>
          <w:szCs w:val="20"/>
          <w:color w:val="auto"/>
        </w:rPr>
      </w:pPr>
      <w:r>
        <w:rPr>
          <w:rFonts w:ascii="Times New Roman" w:cs="Times New Roman" w:eastAsia="Times New Roman" w:hAnsi="Times New Roman"/>
          <w:sz w:val="16"/>
          <w:szCs w:val="16"/>
          <w:color w:val="auto"/>
        </w:rPr>
        <w:t>For a discussion of recently issued accounting developments and their impact or potential impact on Lazard’s consolidated financial statements, see Note 2 of Notes to Condensed Consolidated Financial Statements.</w:t>
      </w: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w:t>
      </w:r>
    </w:p>
    <w:p>
      <w:pPr>
        <w:spacing w:after="0" w:line="97" w:lineRule="exact"/>
        <w:rPr>
          <w:sz w:val="20"/>
          <w:szCs w:val="20"/>
          <w:color w:val="auto"/>
        </w:rPr>
      </w:pPr>
    </w:p>
    <w:p>
      <w:pPr>
        <w:ind w:right="80" w:firstLine="457"/>
        <w:spacing w:after="0" w:line="301" w:lineRule="auto"/>
        <w:rPr>
          <w:sz w:val="20"/>
          <w:szCs w:val="20"/>
          <w:color w:val="auto"/>
        </w:rPr>
      </w:pPr>
      <w:r>
        <w:rPr>
          <w:rFonts w:ascii="Times New Roman" w:cs="Times New Roman" w:eastAsia="Times New Roman" w:hAnsi="Times New Roman"/>
          <w:sz w:val="16"/>
          <w:szCs w:val="16"/>
          <w:color w:val="auto"/>
        </w:rPr>
        <w:t>Quantitative and qualitative disclosures about market risk are included under the caption “Management’s Discussion and Analysis of Financial Condition and Results of Operations—Risk Management.”</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1380"/>
          </w:cols>
          <w:pgMar w:left="240" w:top="434" w:right="279" w:bottom="1440" w:gutter="0" w:footer="0" w:header="0"/>
        </w:sectPr>
      </w:pPr>
    </w:p>
    <w:bookmarkStart w:id="79" w:name="page80"/>
    <w:bookmarkEnd w:id="7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7"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ind w:right="280" w:firstLine="457"/>
        <w:spacing w:after="0" w:line="301" w:lineRule="auto"/>
        <w:rPr>
          <w:sz w:val="20"/>
          <w:szCs w:val="20"/>
          <w:color w:val="auto"/>
        </w:rPr>
      </w:pPr>
      <w:r>
        <w:rPr>
          <w:rFonts w:ascii="Times New Roman" w:cs="Times New Roman" w:eastAsia="Times New Roman" w:hAnsi="Times New Roman"/>
          <w:sz w:val="16"/>
          <w:szCs w:val="16"/>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1400"/>
          </w:cols>
          <w:pgMar w:left="240" w:top="434" w:right="259" w:bottom="1440" w:gutter="0" w:footer="0" w:header="0"/>
        </w:sectPr>
      </w:pPr>
    </w:p>
    <w:bookmarkStart w:id="80" w:name="page81"/>
    <w:bookmarkEnd w:id="8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7"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2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There were no material changes from the risk factors previously disclosed in the Company’s Annual Report on Form 10-K.</w:t>
      </w:r>
    </w:p>
    <w:p>
      <w:pPr>
        <w:spacing w:after="0" w:line="2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Repurchases of Equity Securities</w:t>
      </w:r>
    </w:p>
    <w:p>
      <w:pPr>
        <w:spacing w:after="0" w:line="97" w:lineRule="exact"/>
        <w:rPr>
          <w:sz w:val="20"/>
          <w:szCs w:val="20"/>
          <w:color w:val="auto"/>
        </w:rPr>
      </w:pPr>
    </w:p>
    <w:p>
      <w:pPr>
        <w:ind w:right="440" w:firstLine="457"/>
        <w:spacing w:after="0" w:line="301" w:lineRule="auto"/>
        <w:rPr>
          <w:sz w:val="20"/>
          <w:szCs w:val="20"/>
          <w:color w:val="auto"/>
        </w:rPr>
      </w:pPr>
      <w:r>
        <w:rPr>
          <w:rFonts w:ascii="Times New Roman" w:cs="Times New Roman" w:eastAsia="Times New Roman" w:hAnsi="Times New Roman"/>
          <w:sz w:val="16"/>
          <w:szCs w:val="16"/>
          <w:color w:val="auto"/>
        </w:rPr>
        <w:t>The following table sets forth information regarding Lazard’s purchases of its Class A common stock on a monthly basis during the third quarter of 2015. Share repurchases are recorded on a trade date basis.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Total Number</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4"/>
              </w:rPr>
              <w:t>Approximate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50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Purchased as</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6"/>
              </w:rPr>
              <w:t>Dollar Value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23"/>
              <w:spacing w:after="0" w:line="139"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360" w:type="dxa"/>
            <w:vAlign w:val="bottom"/>
            <w:gridSpan w:val="2"/>
          </w:tcPr>
          <w:p>
            <w:pPr>
              <w:jc w:val="center"/>
              <w:ind w:left="422"/>
              <w:spacing w:after="0" w:line="139" w:lineRule="exact"/>
              <w:rPr>
                <w:sz w:val="20"/>
                <w:szCs w:val="20"/>
                <w:color w:val="auto"/>
              </w:rPr>
            </w:pPr>
            <w:r>
              <w:rPr>
                <w:rFonts w:ascii="Times New Roman" w:cs="Times New Roman" w:eastAsia="Times New Roman" w:hAnsi="Times New Roman"/>
                <w:sz w:val="13"/>
                <w:szCs w:val="13"/>
                <w:b w:val="1"/>
                <w:bCs w:val="1"/>
                <w:color w:val="auto"/>
                <w:w w:val="98"/>
              </w:rPr>
              <w:t>Part of Publicly</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8"/>
              </w:rPr>
              <w:t>Shares that May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23"/>
              <w:spacing w:after="0" w:line="139" w:lineRule="exact"/>
              <w:rPr>
                <w:sz w:val="20"/>
                <w:szCs w:val="20"/>
                <w:color w:val="auto"/>
              </w:rPr>
            </w:pPr>
            <w:r>
              <w:rPr>
                <w:rFonts w:ascii="Times New Roman" w:cs="Times New Roman" w:eastAsia="Times New Roman" w:hAnsi="Times New Roman"/>
                <w:sz w:val="13"/>
                <w:szCs w:val="13"/>
                <w:b w:val="1"/>
                <w:bCs w:val="1"/>
                <w:color w:val="auto"/>
                <w:w w:val="94"/>
              </w:rPr>
              <w:t>Paid</w:t>
            </w:r>
          </w:p>
        </w:tc>
        <w:tc>
          <w:tcPr>
            <w:tcW w:w="50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Announced</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4"/>
              </w:rPr>
              <w:t>Yet Be Purchased</w:t>
            </w:r>
          </w:p>
        </w:tc>
        <w:tc>
          <w:tcPr>
            <w:tcW w:w="0" w:type="dxa"/>
            <w:vAlign w:val="bottom"/>
          </w:tcPr>
          <w:p>
            <w:pPr>
              <w:spacing w:after="0"/>
              <w:rPr>
                <w:sz w:val="1"/>
                <w:szCs w:val="1"/>
                <w:color w:val="auto"/>
              </w:rPr>
            </w:pPr>
          </w:p>
        </w:tc>
      </w:tr>
      <w:tr>
        <w:trPr>
          <w:trHeight w:val="138"/>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18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3"/>
              <w:spacing w:after="0" w:line="139" w:lineRule="exact"/>
              <w:rPr>
                <w:sz w:val="20"/>
                <w:szCs w:val="20"/>
                <w:color w:val="auto"/>
              </w:rPr>
            </w:pPr>
            <w:r>
              <w:rPr>
                <w:rFonts w:ascii="Times New Roman" w:cs="Times New Roman" w:eastAsia="Times New Roman" w:hAnsi="Times New Roman"/>
                <w:sz w:val="13"/>
                <w:szCs w:val="13"/>
                <w:b w:val="1"/>
                <w:bCs w:val="1"/>
                <w:color w:val="auto"/>
                <w:w w:val="95"/>
              </w:rPr>
              <w:t>per</w:t>
            </w:r>
          </w:p>
        </w:tc>
        <w:tc>
          <w:tcPr>
            <w:tcW w:w="50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Plans or</w:t>
            </w:r>
          </w:p>
        </w:tc>
        <w:tc>
          <w:tcPr>
            <w:tcW w:w="1620" w:type="dxa"/>
            <w:vAlign w:val="bottom"/>
            <w:gridSpan w:val="3"/>
          </w:tcPr>
          <w:p>
            <w:pPr>
              <w:jc w:val="center"/>
              <w:ind w:left="322"/>
              <w:spacing w:after="0" w:line="139" w:lineRule="exact"/>
              <w:rPr>
                <w:sz w:val="20"/>
                <w:szCs w:val="20"/>
                <w:color w:val="auto"/>
              </w:rPr>
            </w:pPr>
            <w:r>
              <w:rPr>
                <w:rFonts w:ascii="Times New Roman" w:cs="Times New Roman" w:eastAsia="Times New Roman" w:hAnsi="Times New Roman"/>
                <w:sz w:val="13"/>
                <w:szCs w:val="13"/>
                <w:b w:val="1"/>
                <w:bCs w:val="1"/>
                <w:color w:val="auto"/>
                <w:w w:val="97"/>
              </w:rPr>
              <w:t>Under the Plans or</w:t>
            </w:r>
          </w:p>
        </w:tc>
        <w:tc>
          <w:tcPr>
            <w:tcW w:w="0" w:type="dxa"/>
            <w:vAlign w:val="bottom"/>
          </w:tcPr>
          <w:p>
            <w:pPr>
              <w:spacing w:after="0"/>
              <w:rPr>
                <w:sz w:val="1"/>
                <w:szCs w:val="1"/>
                <w:color w:val="auto"/>
              </w:rPr>
            </w:pPr>
          </w:p>
        </w:tc>
      </w:tr>
      <w:tr>
        <w:trPr>
          <w:trHeight w:val="141"/>
        </w:trPr>
        <w:tc>
          <w:tcPr>
            <w:tcW w:w="3800" w:type="dxa"/>
            <w:vAlign w:val="bottom"/>
            <w:gridSpan w:val="3"/>
            <w:vMerge w:val="continue"/>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5"/>
              </w:rPr>
              <w:t>Purchased</w:t>
            </w:r>
          </w:p>
        </w:tc>
        <w:tc>
          <w:tcPr>
            <w:tcW w:w="500" w:type="dxa"/>
            <w:vAlign w:val="bottom"/>
          </w:tcPr>
          <w:p>
            <w:pPr>
              <w:spacing w:after="0"/>
              <w:rPr>
                <w:sz w:val="12"/>
                <w:szCs w:val="12"/>
                <w:color w:val="auto"/>
              </w:rPr>
            </w:pPr>
          </w:p>
        </w:tc>
        <w:tc>
          <w:tcPr>
            <w:tcW w:w="4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50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8"/>
              </w:rPr>
              <w:t>Programs</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3"/>
                <w:szCs w:val="13"/>
                <w:b w:val="1"/>
                <w:bCs w:val="1"/>
                <w:color w:val="auto"/>
                <w:w w:val="98"/>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July 1 – July 31, 2015</w:t>
            </w:r>
          </w:p>
        </w:tc>
        <w:tc>
          <w:tcPr>
            <w:tcW w:w="2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Repurchase Program (1)</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55.51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1620" w:type="dxa"/>
            <w:vAlign w:val="bottom"/>
            <w:gridSpan w:val="3"/>
          </w:tcPr>
          <w:p>
            <w:pPr>
              <w:jc w:val="center"/>
              <w:ind w:left="322"/>
              <w:spacing w:after="0"/>
              <w:rPr>
                <w:sz w:val="20"/>
                <w:szCs w:val="20"/>
                <w:color w:val="auto"/>
              </w:rPr>
            </w:pPr>
            <w:r>
              <w:rPr>
                <w:rFonts w:ascii="Times New Roman" w:cs="Times New Roman" w:eastAsia="Times New Roman" w:hAnsi="Times New Roman"/>
                <w:sz w:val="16"/>
                <w:szCs w:val="16"/>
                <w:color w:val="auto"/>
              </w:rPr>
              <w:t>$ 156.9 million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Transactions (2)</w:t>
            </w:r>
          </w:p>
        </w:tc>
        <w:tc>
          <w:tcPr>
            <w:tcW w:w="2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2"/>
        </w:trPr>
        <w:tc>
          <w:tcPr>
            <w:tcW w:w="3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August 1 – August 31, 2015</w:t>
            </w: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 Program (1)</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514,375</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514,375</w:t>
            </w:r>
          </w:p>
        </w:tc>
        <w:tc>
          <w:tcPr>
            <w:tcW w:w="1620" w:type="dxa"/>
            <w:vAlign w:val="bottom"/>
            <w:gridSpan w:val="3"/>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rPr>
              <w:t>$ 130.8 million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Transactions (2)</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54.70</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September 1 – September 30, 2015</w:t>
            </w:r>
          </w:p>
        </w:tc>
        <w:tc>
          <w:tcPr>
            <w:tcW w:w="2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Repurchase Program (1)</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243,447</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46.44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243,447</w:t>
            </w:r>
          </w:p>
        </w:tc>
        <w:tc>
          <w:tcPr>
            <w:tcW w:w="1620" w:type="dxa"/>
            <w:vAlign w:val="bottom"/>
            <w:gridSpan w:val="3"/>
          </w:tcPr>
          <w:p>
            <w:pPr>
              <w:jc w:val="center"/>
              <w:ind w:left="322"/>
              <w:spacing w:after="0"/>
              <w:rPr>
                <w:sz w:val="20"/>
                <w:szCs w:val="20"/>
                <w:color w:val="auto"/>
              </w:rPr>
            </w:pPr>
            <w:r>
              <w:rPr>
                <w:rFonts w:ascii="Times New Roman" w:cs="Times New Roman" w:eastAsia="Times New Roman" w:hAnsi="Times New Roman"/>
                <w:sz w:val="16"/>
                <w:szCs w:val="16"/>
                <w:color w:val="auto"/>
              </w:rPr>
              <w:t>$ 119.5 million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Transactions (2)</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46,680</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49.35</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2"/>
        </w:trPr>
        <w:tc>
          <w:tcPr>
            <w:tcW w:w="3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 Program (1)</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834,832</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834,832</w:t>
            </w:r>
          </w:p>
        </w:tc>
        <w:tc>
          <w:tcPr>
            <w:tcW w:w="1620" w:type="dxa"/>
            <w:vAlign w:val="bottom"/>
            <w:gridSpan w:val="3"/>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rPr>
              <w:t>$ 119.5 million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Transactions (2)</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47,940</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49.49</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8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79</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34" w:right="299" w:bottom="1440" w:gutter="0" w:footer="0" w:header="0"/>
        </w:sectPr>
      </w:pPr>
    </w:p>
    <w:bookmarkStart w:id="81" w:name="page82"/>
    <w:bookmarkEnd w:id="8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270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60" w:right="420" w:hanging="459"/>
        <w:spacing w:after="0" w:line="301" w:lineRule="auto"/>
        <w:tabs>
          <w:tab w:leader="none" w:pos="4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2015 and for the years ended December 31, 2014, 2013, and 2012, the Board of Directors of Lazard authorized the repurchase of Class A common stock as set forth in the table below.</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 w:type="dxa"/>
            <w:vAlign w:val="bottom"/>
            <w:tcBorders>
              <w:bottom w:val="single" w:sz="8" w:color="auto"/>
            </w:tcBorders>
            <w:vMerge w:val="continue"/>
          </w:tcPr>
          <w:p>
            <w:pPr>
              <w:spacing w:after="0"/>
              <w:rPr>
                <w:sz w:val="13"/>
                <w:szCs w:val="13"/>
                <w:color w:val="auto"/>
              </w:rPr>
            </w:pPr>
          </w:p>
        </w:tc>
        <w:tc>
          <w:tcPr>
            <w:tcW w:w="5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70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Authorization</w:t>
            </w:r>
          </w:p>
        </w:tc>
        <w:tc>
          <w:tcPr>
            <w:tcW w:w="1780" w:type="dxa"/>
            <w:vAlign w:val="bottom"/>
            <w:gridSpan w:val="2"/>
          </w:tcPr>
          <w:p>
            <w:pPr>
              <w:ind w:left="540"/>
              <w:spacing w:after="0" w:line="141"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87"/>
        </w:trPr>
        <w:tc>
          <w:tcPr>
            <w:tcW w:w="5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2012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6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2013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100,000</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December 31, 2015</w:t>
            </w:r>
          </w:p>
        </w:tc>
        <w:tc>
          <w:tcPr>
            <w:tcW w:w="0" w:type="dxa"/>
            <w:vAlign w:val="bottom"/>
          </w:tcPr>
          <w:p>
            <w:pPr>
              <w:spacing w:after="0"/>
              <w:rPr>
                <w:sz w:val="1"/>
                <w:szCs w:val="1"/>
                <w:color w:val="auto"/>
              </w:rPr>
            </w:pPr>
          </w:p>
        </w:tc>
      </w:tr>
      <w:tr>
        <w:trPr>
          <w:trHeight w:val="201"/>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200,000</w:t>
            </w:r>
          </w:p>
        </w:tc>
        <w:tc>
          <w:tcPr>
            <w:tcW w:w="1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2015</w:t>
            </w:r>
          </w:p>
        </w:tc>
        <w:tc>
          <w:tcPr>
            <w:tcW w:w="0" w:type="dxa"/>
            <w:vAlign w:val="bottom"/>
          </w:tcPr>
          <w:p>
            <w:pPr>
              <w:spacing w:after="0"/>
              <w:rPr>
                <w:sz w:val="1"/>
                <w:szCs w:val="1"/>
                <w:color w:val="auto"/>
              </w:rPr>
            </w:pPr>
          </w:p>
        </w:tc>
      </w:tr>
      <w:tr>
        <w:trPr>
          <w:trHeight w:val="214"/>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2015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150,000</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December 31, 2016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right="80"/>
        <w:spacing w:after="0" w:line="265" w:lineRule="auto"/>
        <w:rPr>
          <w:sz w:val="20"/>
          <w:szCs w:val="20"/>
          <w:color w:val="auto"/>
        </w:rPr>
      </w:pPr>
      <w:r>
        <w:rPr>
          <w:rFonts w:ascii="Times New Roman" w:cs="Times New Roman" w:eastAsia="Times New Roman" w:hAnsi="Times New Roman"/>
          <w:sz w:val="16"/>
          <w:szCs w:val="16"/>
          <w:color w:val="auto"/>
        </w:rPr>
        <w:t>The share repurchase program is used primarily to offset a portion of the shares that have been or will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3" w:lineRule="exact"/>
        <w:rPr>
          <w:sz w:val="20"/>
          <w:szCs w:val="20"/>
          <w:color w:val="auto"/>
        </w:rPr>
      </w:pPr>
    </w:p>
    <w:p>
      <w:pPr>
        <w:ind w:left="460" w:hanging="459"/>
        <w:spacing w:after="0" w:line="262"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2005 Plan, which expired in the second quarter of 2015, and the 2008 Plan, upon the vesting of RSUs, PRSUs and delivery of restricted Class A common stock, shares of Class A common stock may be withheld by the Company to meet the minimum statutory tax withholding requirements. During the three month period ended September 30, 2015, the Company satisfied such obligations in lieu of issuing (i) 45,695 shares of Class A common stock upon the vesting</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286,290 RSUs and (ii) 2,245 shares of Class A common stock upon the vesting of 11,218 shares of restricted Class A common stock.</w:t>
      </w:r>
    </w:p>
    <w:p>
      <w:pPr>
        <w:spacing w:after="0" w:line="26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w:t>
      </w:r>
    </w:p>
    <w:p>
      <w:pPr>
        <w:spacing w:after="0" w:line="2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7" w:lineRule="exact"/>
        <w:rPr>
          <w:sz w:val="20"/>
          <w:szCs w:val="20"/>
          <w:color w:val="auto"/>
        </w:rPr>
      </w:pPr>
    </w:p>
    <w:p>
      <w:pPr>
        <w:ind w:right="160" w:firstLine="457"/>
        <w:spacing w:after="0" w:line="301" w:lineRule="auto"/>
        <w:rPr>
          <w:sz w:val="20"/>
          <w:szCs w:val="20"/>
          <w:color w:val="auto"/>
        </w:rPr>
      </w:pPr>
      <w:r>
        <w:rPr>
          <w:rFonts w:ascii="Times New Roman" w:cs="Times New Roman" w:eastAsia="Times New Roman" w:hAnsi="Times New Roman"/>
          <w:sz w:val="16"/>
          <w:szCs w:val="16"/>
          <w:color w:val="auto"/>
        </w:rPr>
        <w:t>As discussed in Note 1 of Notes to Condensed Consolidated Financial Statements, in May 2014, LAZ-MD Holdings LLC withdrew as a common member of Lazard Group, and Lazard Ltd became the holder, through certain of its wholly-owned subsidiaries, of all of Lazard Group’s common membership interests.</w:t>
      </w:r>
    </w:p>
    <w:p>
      <w:pPr>
        <w:spacing w:after="0" w:line="92"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6"/>
          <w:szCs w:val="16"/>
          <w:color w:val="auto"/>
        </w:rPr>
        <w:t>On October 26, 2015, the Company entered into an Amended and Restated Operating Agreement of Lazard Group (the “Restated Lazard Group Operating Agreement”) to remove certain provisions of the Lazard Group operating agreement relating to Lazard Ltd’s initial public offering in 2005 and various related transactions, which provisions are of no further applicability to the Company. In addition, the Restated Lazard Group Operating Agreement amended provisions of the Lazard Group operating agreement regarding, among other matters, (i) members’ capital accounts, (ii) the agreement of the common members regarding the allocation of profits and losses among the members and (iii) distributions to members.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1400"/>
          </w:cols>
          <w:pgMar w:left="240" w:top="434" w:right="259" w:bottom="1440" w:gutter="0" w:footer="0" w:header="0"/>
        </w:sectPr>
      </w:pPr>
    </w:p>
    <w:bookmarkStart w:id="82" w:name="page83"/>
    <w:bookmarkEnd w:id="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10600" w:type="dxa"/>
            <w:vAlign w:val="bottom"/>
          </w:tcPr>
          <w:p>
            <w:pPr>
              <w:ind w:left="4620"/>
              <w:spacing w:after="0"/>
              <w:rPr>
                <w:sz w:val="20"/>
                <w:szCs w:val="20"/>
                <w:color w:val="auto"/>
              </w:rPr>
            </w:pPr>
            <w:r>
              <w:rPr>
                <w:rFonts w:ascii="Times New Roman" w:cs="Times New Roman" w:eastAsia="Times New Roman" w:hAnsi="Times New Roman"/>
                <w:sz w:val="16"/>
                <w:szCs w:val="16"/>
                <w:b w:val="1"/>
                <w:bCs w:val="1"/>
                <w:color w:val="auto"/>
              </w:rPr>
              <w:t>PART IV</w:t>
            </w:r>
          </w:p>
        </w:tc>
      </w:tr>
      <w:tr>
        <w:trPr>
          <w:trHeight w:val="390"/>
        </w:trPr>
        <w:tc>
          <w:tcPr>
            <w:tcW w:w="76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w w:val="99"/>
              </w:rPr>
              <w:t>Item 6.</w:t>
            </w:r>
          </w:p>
        </w:tc>
        <w:tc>
          <w:tcPr>
            <w:tcW w:w="106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78"/>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3.1</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 of Incorporation and Memorandum of Association of the Registrant (incorporated by reference to Exhibit 3.1 to the Registrant’s Registration</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Statement (File No. 333-121407) on Form S-1/A filed on March 21,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3.2</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 of Incorporation in Change of Name of the Registrant (incorporated by reference to Exhibit 3.2 to the Registrant’s Registration Statement (File</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 333-121407) on Form S-1/A filed on March 21,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3.3</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Amended and Restated Bye-Laws of Lazard Ltd (incorporated by reference to Exhibit 3.3 to the Registrant’s Quarterly Report (File No. 001-32492) on</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Form 10-Q filed on June 16,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3.4</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First Amendment to Amended and Restated Bye-Laws of Lazard Ltd (incorporated by reference to Exhibit 3.4 to the Registrant’s Quarterly Report (File</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 001-32492) on Form 10-Q filed on May 9, 2008).</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3.5</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Second Amendment to the Amended and Restated Bye-Laws of Lazard Ltd (incorporated by reference to Exhibit 3.5 to the Registrant’s Quarterly Report</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(File No. 001-32492) on Form 10-Q filed on April 30, 2010).</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4.1</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Form of Specimen Certificate for Class A common stock (incorporated by reference to Exhibit 4.1 to the Registrant’s Registration Statement (File No.</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333-121407) on Form S-1/A filed on April 11,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4.2</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Indenture, dated as of May 10, 2005, by and between Lazard Group LLC and The Bank of New York, as Trustee (incorporated by reference to Exhibit 4.1</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 Lazard Group LLC’s Registration Statement (File No. 333-126751) on Form S-4 filed on July 21,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4.3</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First Supplemental Indenture, dated as of May 10, 2005, by and between Lazard Group LLC and The Bank of New York, as trustee (incorporated by</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reference to Exhibit 4.2 to Lazard Group LLC’s Registration Statement (File No. 333-126751) on Form S-4 filed on July 21, 2005).</w:t>
            </w:r>
          </w:p>
        </w:tc>
      </w:tr>
      <w:tr>
        <w:trPr>
          <w:trHeight w:val="302"/>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4.4</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Fourth Supplemental Indenture, dated as of June 21, 2007, between Lazard Group LLC and The Bank of New York, as trustee (incorporated by reference</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 Exhibit 4.1 to the Registrant’s Current Report on Form 8-K (File No. 001-32492) filed on June 22, 2007).</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4.5</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Fifth Supplemental Indenture, dated as of November 14, 2013, between Lazard Group LLC and The Bank of New York Mellon, as trustee (incorporated</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by reference to Exhibit 4.1 to the Registrant’s Current Report on Form 8-K (File No. 001-32492) filed on November 14, 2013).</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4.6</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Sixth Supplemental Indenture, dated as of February 13, 2015, between Lazard Group LLC and The Bank of New York Mellon, as trustee (incorporated by</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reference to Exhibit 4.1 of the Registrant’s Current Report on Form 8-K (File No. 001-32492) filed on February 13, 2015).</w:t>
            </w:r>
          </w:p>
        </w:tc>
      </w:tr>
      <w:tr>
        <w:trPr>
          <w:trHeight w:val="302"/>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4.7</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Form of Senior Note (included in Exhibits 4.3, 4.4, 4.5 and 4.6).</w:t>
            </w:r>
          </w:p>
        </w:tc>
      </w:tr>
      <w:tr>
        <w:trPr>
          <w:trHeight w:val="302"/>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92"/>
              </w:rPr>
              <w:t>10.1</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Amended and Restated Operating Agreement of Lazard Group LLC, dated as of October 26, 2015.</w:t>
            </w:r>
          </w:p>
        </w:tc>
      </w:tr>
      <w:tr>
        <w:trPr>
          <w:trHeight w:val="302"/>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92"/>
              </w:rPr>
              <w:t>10.2</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Second Amended and Restated Tax Receivable Agreement, dated as of October 26, 2015, by and among Ltd Sub A, Ltd Sub B and LTBP Trust.</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92"/>
              </w:rPr>
              <w:t>10.3</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Amended and Restated Operating Agreement of Lazard Strategic Coordination Company LLC, dated as of January 1, 2002 (incorporated by reference to</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Exhibit 10.16 to the Registrant’s Registration Statement (File No. 333-121407) on Form S-1/A filed on February 11, 2005).</w:t>
            </w:r>
          </w:p>
        </w:tc>
      </w:tr>
      <w:tr>
        <w:trPr>
          <w:trHeight w:val="290"/>
        </w:trPr>
        <w:tc>
          <w:tcPr>
            <w:tcW w:w="7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92"/>
              </w:rPr>
              <w:t>10.4</w:t>
            </w: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dated as of January 27, 1994, by and between Rockefeller Center Properties and Lazard Frères &amp; Co. LLC (incorporated by reference to Exhibit</w:t>
            </w:r>
          </w:p>
        </w:tc>
      </w:tr>
      <w:tr>
        <w:trPr>
          <w:trHeight w:val="214"/>
        </w:trPr>
        <w:tc>
          <w:tcPr>
            <w:tcW w:w="7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10.19 to the Registrant’s Registration Statement (File No. 333-121407) on Form S-1/A filed on February 11, 2005).</w:t>
            </w:r>
          </w:p>
        </w:tc>
      </w:tr>
      <w:tr>
        <w:trPr>
          <w:trHeight w:val="340"/>
        </w:trPr>
        <w:tc>
          <w:tcPr>
            <w:tcW w:w="760" w:type="dxa"/>
            <w:vAlign w:val="bottom"/>
          </w:tcPr>
          <w:p>
            <w:pPr>
              <w:spacing w:after="0"/>
              <w:rPr>
                <w:sz w:val="24"/>
                <w:szCs w:val="24"/>
                <w:color w:val="auto"/>
              </w:rPr>
            </w:pPr>
          </w:p>
        </w:tc>
        <w:tc>
          <w:tcPr>
            <w:tcW w:w="10600" w:type="dxa"/>
            <w:vAlign w:val="bottom"/>
          </w:tcPr>
          <w:p>
            <w:pPr>
              <w:ind w:left="4880"/>
              <w:spacing w:after="0"/>
              <w:rPr>
                <w:sz w:val="20"/>
                <w:szCs w:val="20"/>
                <w:color w:val="auto"/>
              </w:rPr>
            </w:pPr>
            <w:r>
              <w:rPr>
                <w:rFonts w:ascii="Times New Roman" w:cs="Times New Roman" w:eastAsia="Times New Roman" w:hAnsi="Times New Roman"/>
                <w:sz w:val="16"/>
                <w:szCs w:val="16"/>
                <w:color w:val="auto"/>
              </w:rPr>
              <w:t>81</w:t>
            </w:r>
          </w:p>
        </w:tc>
      </w:tr>
    </w:tbl>
    <w:p>
      <w:pPr>
        <w:sectPr>
          <w:pgSz w:w="11900" w:h="16838" w:orient="portrait"/>
          <w:cols w:equalWidth="0" w:num="1">
            <w:col w:w="11360"/>
          </w:cols>
          <w:pgMar w:left="240" w:top="434" w:right="299" w:bottom="1440" w:gutter="0" w:footer="0" w:header="0"/>
        </w:sectPr>
      </w:pPr>
    </w:p>
    <w:bookmarkStart w:id="83" w:name="page84"/>
    <w:bookmarkEnd w:id="8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dated as of February 16, 2011, by and among RCPI Landmark Properties, L.L.C. (as the successor in interest to Rockefeller Center</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Properties), RCPI 30 Rock 22234849, L.L.C. and Lazard Group LLC (as the successor in interest to Lazard Frères &amp; Co. LLC), to the Lease dated as of</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January 27, 1994, by and among Rockefeller Center Properties and Lazard Frères &amp; Co. LLC (incorporated by reference to Exhibit 10.16 to the</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Registrant’s Quarterly Report (File No. 001-32492) on Form 10-Q filed on April 29, 2011).</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Occupational Lease, dated as of August 9, 2002, by and among Burford (Stratton) Nominee 1 Limited, Burford (Stratton) Nominee 2 Limited, Burford</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(Stratton) Limited, Lazard &amp; Co., Limited and Lazard LLC (incorporated by reference to Exhibit 10.21 to the Registrant’s Registration Statement</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(File No. 333-121407) on Form S-1/A filed on February 11,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Lazard Ltd 2005 Equity Incentive Plan (incorporated by reference to Exhibit 10.21 to the Registrant’s Registration Statement (File No. 333-121407) on</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S-1/A filed on May 2,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Lazard Ltd 2008 Incentive Compensation Plan (incorporated by reference to Annex B to the Registrant’s Definitive Proxy Statement on Schedule 14A</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(File No. 001-32492) filed on March 24, 2008).</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Bonus Plan (incorporated by reference to Exhibit 10.23 to the Registrant’s Registration Statement (File No. 333-121407) on Form S-1/A filed on</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March 21,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Relating to Retention and Noncompetition and Other Covenants, dated as of May 4, 2005, applicable to, and related Schedule I for,</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Scott D. Hoffman (incorporated by reference to Exhibit 10.26 to the Registrant’s Quarterly Report (File No. 001-32492) on Form 10-Q filed on June 16,</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First Amendment, dated as of May 7, 2008, to Agreement Relating to Retention and Noncompetition and Other Covenants, dated as of May 4,</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for Scott D. Hoffman (incorporated by reference to Exhibit 10.2 to the Registrant’s Current Report on Form 8-K (File No. 001-32492) filed on May</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9, 2008).</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dated as of February 23, 2011, to the Agreement Relating to Retention and Noncompetition and Other Covenants, dated as of May 4, 2005</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amended as of May 7, 2008, for Scott D. Hoffman (incorporated by reference to Exhibit 10.25 to the Registrant’s Quarterly Report (File No. 001-</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32492) on Form 10-Q filed on April 29, 2011).</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Relating to Retention and Noncompetition and Other Covenants (incorporated by reference to Exhibit 10.27 to the Registrant’s</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Registration Statement (File No. 333-121407) on Form S-1/A filed on April 11,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Agreement Relating to Retention and Noncompetition and Other Covenants, dated as of October 4, 2004, by and between Lazard Group LLC and</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Alexander F. Stern (incorporated by reference to Exhibit 10.28 to the Registrant’s Annual Report (File No. 001-32492) on Form 10-K filed on March 2,</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2009).</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First Amendment, dated as of March 23, 2010, to the Agreement Relating to Retention and Noncompetition and Other Covenants, dated as of October 4,</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2004, with Alexander F. Stern (incorporated by reference to Exhibit 10.2 to the Registrant’s Current Report on Form 8-K (File No. 001-32492) filed on</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March 23, 2010).</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Agreement Relating to Retention and Noncompetition and Other Covenants, dated as of March 18, 2005, by and between Lazard Group LLC and Kenneth</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 Jacobs (incorporated by reference to Exhibit 10.29 to the Registrant’s Annual Report on Form 10-K (File No. 001-32492) filed on March 1, 2010).</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First Amendment, dated as of March 23, 2010, to the Agreement Relating to Retention and Noncompetition and Other Covenants, dated as of March 18,</w:t>
            </w:r>
          </w:p>
        </w:tc>
      </w:tr>
      <w:tr>
        <w:trPr>
          <w:trHeight w:val="201"/>
        </w:trPr>
        <w:tc>
          <w:tcPr>
            <w:tcW w:w="860" w:type="dxa"/>
            <w:vAlign w:val="bottom"/>
          </w:tcPr>
          <w:p>
            <w:pPr>
              <w:spacing w:after="0"/>
              <w:rPr>
                <w:sz w:val="17"/>
                <w:szCs w:val="17"/>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with Kenneth M. Jacobs (incorporated by reference to Exhibit 10.1 to the Registrant’s Current Report on Form 8-K (File No. 001-32492) field on</w:t>
            </w:r>
          </w:p>
        </w:tc>
      </w:tr>
      <w:tr>
        <w:trPr>
          <w:trHeight w:val="214"/>
        </w:trPr>
        <w:tc>
          <w:tcPr>
            <w:tcW w:w="86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March 23, 2010).</w:t>
            </w:r>
          </w:p>
        </w:tc>
      </w:tr>
      <w:tr>
        <w:trPr>
          <w:trHeight w:val="340"/>
        </w:trPr>
        <w:tc>
          <w:tcPr>
            <w:tcW w:w="860" w:type="dxa"/>
            <w:vAlign w:val="bottom"/>
          </w:tcPr>
          <w:p>
            <w:pPr>
              <w:spacing w:after="0"/>
              <w:rPr>
                <w:sz w:val="24"/>
                <w:szCs w:val="24"/>
                <w:color w:val="auto"/>
              </w:rPr>
            </w:pPr>
          </w:p>
        </w:tc>
        <w:tc>
          <w:tcPr>
            <w:tcW w:w="1052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82</w:t>
            </w:r>
          </w:p>
        </w:tc>
      </w:tr>
    </w:tbl>
    <w:p>
      <w:pPr>
        <w:sectPr>
          <w:pgSz w:w="11900" w:h="16838" w:orient="portrait"/>
          <w:cols w:equalWidth="0" w:num="1">
            <w:col w:w="11380"/>
          </w:cols>
          <w:pgMar w:left="240" w:top="434" w:right="279" w:bottom="1440"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Agreement Relating to Retention and Noncompetition and Other Covenants, dated as of October 4, 2004, by and between Lazard Group LLC and</w:t>
            </w:r>
          </w:p>
        </w:tc>
      </w:tr>
      <w:tr>
        <w:trPr>
          <w:trHeight w:val="201"/>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Matthieu Bucaille (incorporated by reference to Exhibit 10.31 to the Registrant’s Quarterly Report (File No. 001-32492) on Form 10-Q filed on April 29,</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2011).</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First Amendment, dated as of April 1, 2011, to the Agreement Relating to Retention and Noncompetition and Other Covenants, dated as of October 4,</w:t>
            </w:r>
          </w:p>
        </w:tc>
      </w:tr>
      <w:tr>
        <w:trPr>
          <w:trHeight w:val="201"/>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2004, between Lazard Group LLC and Matthieu Bucaille (incorporated by reference to Exhibit 10.32 to the Registrant’s Quarterly Report (File No. 001-</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32492) on Form 10-Q filed on April 29, 2011).</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Description of Non-Executive Director Compensation (incorporated by reference to Exhibit 10.33 to the Registrant’s Quarterly Report (File No. 001-</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32492) on Form 10-Q for the quarter ended June 30,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Award Letter for Annual Grant of Deferred Stock Units to Non-Executive Directors (incorporated by reference to Exhibit 99.1 to the Registrant’s</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Current Report on Form 8-K (File No. 001-32492) filed on September 8, 2005).</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Restricted Stock Units to Executive Officers under the Lazard Equity Incentive Plan (incorporated by reference</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 Exhibit 10.1 to the Registrant’s Current Report on Form 8-K (File No. 001-32492) filed on January 26, 2006).</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Restricted Stock Units to Executive Officers under the 2008 Incentive Compensation Plan (incorporated by</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reference to Exhibit 10.41 to the Registrant’s Annual Report (File No. 001-32492) on Form 10-K filed on March 2, 2009).</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Deferred Cash Award to Executive Officers under the 2008 Incentive Compensation Plan (incorporated by</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reference to Exhibit 10.42 to the Registrant’s Annual Report (File No. 001-32492) on Form 10-K filed on March 2, 2009).</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Directors’ Fee Deferral Unit Plan (incorporated by reference to Exhibit 10.39 to the Registrant’s Quarterly Report (File No. 001-32492) on Form 10-Q</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filed on May 11, 2006).</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First Amended Form of Agreement evidencing a grant of Restricted Stock Units to Executive Officers under the Lazard 2005 Equity Incentive Plan</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(incorporated by reference to Exhibit 10.43 to the Registrant’s Annual Report (File No. 001-32492) on Form 10-K filed on March 1, 2007).</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Amended and Restated Credit Agreement, dated as of September 25, 2015, among Lazard Group LLC, the Banks from time to time parties thereto, and</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Citibank, N.A., as Administrative Agent.</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Restricted Stock under the 2008 Incentive Compensation Plan (incorporated by reference to Exhibit 10.55 to the</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Registrant’s Quarterly Report (File No. 001-32492) on Form 10-Q filed on April 30, 2010).</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Lazard Fund Interests under the 2008 Incentive Compensation Plan (incorporated by reference to Exhibit 10.55</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 the Registrant’s Quarterly Report (File No. 001-32492) on Form 10-Q filed on April 29, 2011).</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Restricted Stock Units and Restricted Stock to Executive Officers who are or may become eligible for retirement</w:t>
            </w:r>
          </w:p>
        </w:tc>
      </w:tr>
      <w:tr>
        <w:trPr>
          <w:trHeight w:val="201"/>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under the 2008 Incentive Compensation Plan (incorporated by reference to Exhibit 10.53 to the Registrant’s Quarterly Report (File No. 001-32492) on</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10-Q filed on May 2, 2012).</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First Amendment, dated as of August 2, 2011, to the Agreement Relating to Retention and Noncompetition and Other Covenants, dated as of March 15,</w:t>
            </w:r>
          </w:p>
        </w:tc>
      </w:tr>
      <w:tr>
        <w:trPr>
          <w:trHeight w:val="201"/>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between Lazard Group LLC and Ashish Bhutani (incorporated by reference to Exhibit 10.56 to the Registrant’s Quarterly Report (File No. 001-</w:t>
            </w:r>
          </w:p>
        </w:tc>
      </w:tr>
      <w:tr>
        <w:trPr>
          <w:trHeight w:val="214"/>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32492) on Form 10-Q filed on August 4, 2011).</w:t>
            </w:r>
          </w:p>
        </w:tc>
      </w:tr>
      <w:tr>
        <w:trPr>
          <w:trHeight w:val="340"/>
        </w:trPr>
        <w:tc>
          <w:tcPr>
            <w:tcW w:w="86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83</w:t>
            </w:r>
          </w:p>
        </w:tc>
      </w:tr>
    </w:tbl>
    <w:p>
      <w:pPr>
        <w:sectPr>
          <w:pgSz w:w="11900" w:h="16838" w:orient="portrait"/>
          <w:cols w:equalWidth="0" w:num="1">
            <w:col w:w="11420"/>
          </w:cols>
          <w:pgMar w:left="240" w:top="434" w:right="239" w:bottom="1440" w:gutter="0" w:footer="0" w:header="0"/>
        </w:sectPr>
      </w:pPr>
    </w:p>
    <w:bookmarkStart w:id="85" w:name="page86"/>
    <w:bookmarkEnd w:id="8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10.32*</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Second Amendment, dated as of October 24, 2012, to the Agreement relating to Retention and Noncompetition and Other Covenants, dated as of March</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18, 2005 and amended on March 23, 2010, among the Registrant, Lazard Group LLC and Kenneth M. Jacobs (incorporated by reference to Exhibit 10.52</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 the Registrant’s Quarterly Report (File No. 001-32492) on Form 10-Q</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filed on November 1, 2012).</w:t>
            </w:r>
          </w:p>
        </w:tc>
      </w:tr>
      <w:tr>
        <w:trPr>
          <w:trHeight w:val="302"/>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10.33*</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Second Amendment, dated as of March 14, 2013, to the Agreement Relating to Retention and Noncompetition and Other Covenants dated as of March 15,</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and amended on August 2, 2011, among the Registrant, Lazard Group LLC and Ashish Bhutani (incorporated by reference to Exhibit 10.50 to the</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10.34*</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Second Amendment, dated as of March 14, 2013, to the Agreement Relating to Retention and Noncompetition and Other Covenants dated as of October 4,</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2004 and amended on April 1, 2011, among the Registrant, Lazard Group LLC and Matthieu Bucaille (incorporated by reference to Exhibit 10.51 to the</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10.35*</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Second Amendment, dated as of March 14, 2013, to the Agreement Relating to Retention and Noncompetition and Other Covenants dated as of May 4,</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2005 and amended on May 7, 2008 and February 23, 2011, among the Registrant, Lazard Group LLC and Scott D. Hoffman (incorporated by reference to</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Exhibit 10.52 to the 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10.36*</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Second Amendment, dated as of March 14, 2013, to the Agreement Relating to Retention and Noncompetition and Other Covenants dated as of October 4,</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2004 and amended on March 23, 2010, among the Registrant, Lazard Group LLC and Alexander F. Stern (incorporated by reference to Exhibit 10.53 to</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10.37*</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Performance-Based Stock Units under the 2008 Incentive Compensation Plan (incorporated by reference to</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Exhibit 10.54 to the 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10.38*</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Lazard Fund Interests to Named Executive Officers under the 2008 Incentive Compensation Plan (incorporated</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 reference to Exhibit 10.55 to the 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10.39*</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grant of Restricted Stock Units to Named Executive Officers under the 2008 Incentive Compensation Plan (incorporated</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 reference to Exhibit 10.56 to the Registrant’s Quarterly Report (File No. 001-32492) on Form 10-Q filed on April 30, 2013).</w:t>
            </w:r>
          </w:p>
        </w:tc>
      </w:tr>
      <w:tr>
        <w:trPr>
          <w:trHeight w:val="290"/>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10.40*</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of Agreement evidencing a February 20, 2014 grant of Performance-Based Stock Units under the 2008 Incentive Compensation Plan (incorporated</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 reference to Exhibit 10.55 to the Registrant’s Quarterly Report (File No. 001-32492) on Form 10-Q filed May 6, 2014).</w:t>
            </w:r>
          </w:p>
        </w:tc>
      </w:tr>
      <w:tr>
        <w:trPr>
          <w:trHeight w:val="302"/>
        </w:trPr>
        <w:tc>
          <w:tcPr>
            <w:tcW w:w="8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99"/>
              </w:rPr>
              <w:t>10.41*</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Agreement between the Company and Kenneth M. Jacobs, dated as of February 20, 2014, evidencing a grant of Performance-Based Stock Units under the</w:t>
            </w:r>
          </w:p>
        </w:tc>
      </w:tr>
      <w:tr>
        <w:trPr>
          <w:trHeight w:val="201"/>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2008 Incentive Compensation Plan (incorporated by reference to Exhibit 10.56 to the Registrant’s Quarterly Report (File No. 001-32492) on Form 10-Q</w:t>
            </w:r>
          </w:p>
        </w:tc>
      </w:tr>
      <w:tr>
        <w:trPr>
          <w:trHeight w:val="214"/>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filed on May 6, 2014).</w:t>
            </w:r>
          </w:p>
        </w:tc>
      </w:tr>
      <w:tr>
        <w:trPr>
          <w:trHeight w:val="302"/>
        </w:trPr>
        <w:tc>
          <w:tcPr>
            <w:tcW w:w="8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12.1</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Computation of Ratio of Earnings to Fixed Charges.</w:t>
            </w:r>
          </w:p>
        </w:tc>
      </w:tr>
      <w:tr>
        <w:trPr>
          <w:trHeight w:val="302"/>
        </w:trPr>
        <w:tc>
          <w:tcPr>
            <w:tcW w:w="8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31.1</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Rule 13a-14(a) Certification of Kenneth M. Jacobs.</w:t>
            </w:r>
          </w:p>
        </w:tc>
      </w:tr>
      <w:tr>
        <w:trPr>
          <w:trHeight w:val="302"/>
        </w:trPr>
        <w:tc>
          <w:tcPr>
            <w:tcW w:w="8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31.2</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Rule 13a-14(a) Certification of Matthieu Bucaille.</w:t>
            </w:r>
          </w:p>
        </w:tc>
      </w:tr>
      <w:tr>
        <w:trPr>
          <w:trHeight w:val="302"/>
        </w:trPr>
        <w:tc>
          <w:tcPr>
            <w:tcW w:w="8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32.1</w:t>
            </w:r>
          </w:p>
        </w:tc>
        <w:tc>
          <w:tcPr>
            <w:tcW w:w="10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Section 1350 Certification for Kenneth M. Jacobs.</w:t>
            </w:r>
          </w:p>
        </w:tc>
      </w:tr>
      <w:tr>
        <w:trPr>
          <w:trHeight w:val="340"/>
        </w:trPr>
        <w:tc>
          <w:tcPr>
            <w:tcW w:w="86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84</w:t>
            </w:r>
          </w:p>
        </w:tc>
      </w:tr>
    </w:tbl>
    <w:p>
      <w:pPr>
        <w:sectPr>
          <w:pgSz w:w="11900" w:h="16838" w:orient="portrait"/>
          <w:cols w:equalWidth="0" w:num="1">
            <w:col w:w="11400"/>
          </w:cols>
          <w:pgMar w:left="240" w:top="434" w:right="259" w:bottom="1440" w:gutter="0" w:footer="0" w:header="0"/>
        </w:sectPr>
      </w:pPr>
    </w:p>
    <w:bookmarkStart w:id="86" w:name="page87"/>
    <w:bookmarkEnd w:id="8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1350 Certification for Matthieu Bucaille.</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30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0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0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6"/>
          <w:szCs w:val="16"/>
          <w:color w:val="auto"/>
        </w:rPr>
        <w:t>*</w:t>
        <w:tab/>
        <w:t>Management contract or compensatory plan or arrangement.</w:t>
      </w:r>
    </w:p>
    <w:p>
      <w:pPr>
        <w:spacing w:after="0" w:line="15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219"/>
          </w:cols>
          <w:pgMar w:left="240" w:top="434" w:right="1440" w:bottom="1440" w:gutter="0" w:footer="0" w:header="0"/>
        </w:sectPr>
      </w:pPr>
    </w:p>
    <w:bookmarkStart w:id="87" w:name="page88"/>
    <w:bookmarkEnd w:id="8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2" w:lineRule="exact"/>
        <w:rPr>
          <w:sz w:val="20"/>
          <w:szCs w:val="20"/>
          <w:color w:val="auto"/>
        </w:rPr>
      </w:pPr>
    </w:p>
    <w:p>
      <w:pPr>
        <w:ind w:right="120" w:firstLine="457"/>
        <w:spacing w:after="0" w:line="30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27, 2015</w:t>
      </w:r>
    </w:p>
    <w:p>
      <w:pPr>
        <w:spacing w:after="0" w:line="2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LAZARD LTD</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1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Matthieu Bucaille</w:t>
            </w:r>
          </w:p>
        </w:tc>
      </w:tr>
      <w:tr>
        <w:trPr>
          <w:trHeight w:val="19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Matthieu Bucaille</w:t>
            </w:r>
          </w:p>
        </w:tc>
      </w:tr>
      <w:tr>
        <w:trPr>
          <w:trHeight w:val="21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Dominick Ragone</w:t>
            </w:r>
          </w:p>
        </w:tc>
      </w:tr>
      <w:tr>
        <w:trPr>
          <w:trHeight w:val="19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Dominick Ragone</w:t>
            </w:r>
          </w:p>
        </w:tc>
      </w:tr>
      <w:tr>
        <w:trPr>
          <w:trHeight w:val="214"/>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w:t>
            </w: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1420"/>
          </w:cols>
          <w:pgMar w:left="240" w:top="434"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168275</wp:posOffset>
            </wp:positionV>
            <wp:extent cx="7256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14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208280</wp:posOffset>
            </wp:positionV>
            <wp:extent cx="7256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OPERATING AGREEMENT</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OF</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LAZARD GROUP LLC</w:t>
      </w:r>
    </w:p>
    <w:p>
      <w:pPr>
        <w:spacing w:after="0" w:line="20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Dated as of October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165735</wp:posOffset>
            </wp:positionV>
            <wp:extent cx="7256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14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205740</wp:posOffset>
            </wp:positionV>
            <wp:extent cx="72561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ectPr>
          <w:pgSz w:w="11900" w:h="16838" w:orient="portrait"/>
          <w:cols w:equalWidth="0" w:num="1">
            <w:col w:w="10220"/>
          </w:cols>
          <w:pgMar w:left="1440" w:top="11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220" w:type="dxa"/>
            <w:vAlign w:val="bottom"/>
            <w:gridSpan w:val="2"/>
          </w:tcPr>
          <w:p>
            <w:pPr>
              <w:jc w:val="center"/>
              <w:ind w:right="4520"/>
              <w:spacing w:after="0"/>
              <w:rPr>
                <w:sz w:val="20"/>
                <w:szCs w:val="20"/>
                <w:color w:val="auto"/>
              </w:rPr>
            </w:pPr>
            <w:r>
              <w:rPr>
                <w:rFonts w:ascii="Times New Roman" w:cs="Times New Roman" w:eastAsia="Times New Roman" w:hAnsi="Times New Roman"/>
                <w:sz w:val="17"/>
                <w:szCs w:val="17"/>
                <w:color w:val="auto"/>
                <w:w w:val="97"/>
              </w:rPr>
              <w:t>TABLE OF CONTENTS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00" w:type="dxa"/>
            <w:vAlign w:val="bottom"/>
            <w:tcBorders>
              <w:top w:val="single" w:sz="8" w:color="auto"/>
              <w:bottom w:val="single" w:sz="8" w:color="auto"/>
            </w:tcBorders>
            <w:vMerge w:val="restart"/>
          </w:tcPr>
          <w:p>
            <w:pPr>
              <w:jc w:val="center"/>
              <w:ind w:right="596"/>
              <w:spacing w:after="0"/>
              <w:rPr>
                <w:sz w:val="20"/>
                <w:szCs w:val="20"/>
                <w:color w:val="auto"/>
              </w:rPr>
            </w:pPr>
            <w:r>
              <w:rPr>
                <w:rFonts w:ascii="Times New Roman" w:cs="Times New Roman" w:eastAsia="Times New Roman" w:hAnsi="Times New Roman"/>
                <w:sz w:val="17"/>
                <w:szCs w:val="17"/>
                <w:color w:val="auto"/>
                <w:w w:val="95"/>
              </w:rPr>
              <w:t>ARTICLE I</w:t>
            </w:r>
          </w:p>
        </w:tc>
        <w:tc>
          <w:tcPr>
            <w:tcW w:w="4520" w:type="dxa"/>
            <w:vAlign w:val="bottom"/>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81"/>
        </w:trPr>
        <w:tc>
          <w:tcPr>
            <w:tcW w:w="1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9900" w:type="dxa"/>
            <w:vAlign w:val="bottom"/>
            <w:gridSpan w:val="3"/>
          </w:tcPr>
          <w:p>
            <w:pPr>
              <w:jc w:val="center"/>
              <w:ind w:right="1540"/>
              <w:spacing w:after="0"/>
              <w:rPr>
                <w:sz w:val="20"/>
                <w:szCs w:val="20"/>
                <w:color w:val="auto"/>
              </w:rPr>
            </w:pPr>
            <w:r>
              <w:rPr>
                <w:rFonts w:ascii="Times New Roman" w:cs="Times New Roman" w:eastAsia="Times New Roman" w:hAnsi="Times New Roman"/>
                <w:sz w:val="17"/>
                <w:szCs w:val="17"/>
                <w:color w:val="auto"/>
                <w:w w:val="98"/>
              </w:rPr>
              <w:t>DEFINITIONS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1.01.</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1.02.   Other Definitional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7"/>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1.03.   References to Schedules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20" w:type="dxa"/>
            <w:vAlign w:val="bottom"/>
            <w:gridSpan w:val="2"/>
          </w:tcPr>
          <w:p>
            <w:pPr>
              <w:jc w:val="center"/>
              <w:ind w:right="5200"/>
              <w:spacing w:after="0"/>
              <w:rPr>
                <w:sz w:val="20"/>
                <w:szCs w:val="20"/>
                <w:color w:val="auto"/>
              </w:rPr>
            </w:pPr>
            <w:r>
              <w:rPr>
                <w:rFonts w:ascii="Times New Roman" w:cs="Times New Roman" w:eastAsia="Times New Roman" w:hAnsi="Times New Roman"/>
                <w:sz w:val="17"/>
                <w:szCs w:val="17"/>
                <w:color w:val="auto"/>
                <w:w w:val="98"/>
              </w:rPr>
              <w:t>ARTICLE 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990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color w:val="auto"/>
                <w:w w:val="97"/>
              </w:rPr>
              <w:t>FORMATION, CONTINUATION AND POWERS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2.01.   Formation and Continuation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2.02.</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Name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2.03.   Purpose and Scope of Activity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2.04.   Principal Place of Business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2.05.   Registered Agent and Office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2.06.</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Authorized Persons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20" w:type="dxa"/>
            <w:vAlign w:val="bottom"/>
            <w:gridSpan w:val="2"/>
          </w:tcPr>
          <w:p>
            <w:pPr>
              <w:jc w:val="center"/>
              <w:ind w:right="5200"/>
              <w:spacing w:after="0"/>
              <w:rPr>
                <w:sz w:val="20"/>
                <w:szCs w:val="20"/>
                <w:color w:val="auto"/>
              </w:rPr>
            </w:pPr>
            <w:r>
              <w:rPr>
                <w:rFonts w:ascii="Times New Roman" w:cs="Times New Roman" w:eastAsia="Times New Roman" w:hAnsi="Times New Roman"/>
                <w:sz w:val="17"/>
                <w:szCs w:val="17"/>
                <w:color w:val="auto"/>
                <w:w w:val="96"/>
              </w:rPr>
              <w:t>ARTICLE III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990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color w:val="auto"/>
                <w:w w:val="99"/>
              </w:rPr>
              <w:t>MANAGEMENT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3.01.</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Management Generally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3.02.</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Lazard Board</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3.03.</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Officers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3.04.</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Resignations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3.05.</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Members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20" w:type="dxa"/>
            <w:vAlign w:val="bottom"/>
            <w:gridSpan w:val="2"/>
          </w:tcPr>
          <w:p>
            <w:pPr>
              <w:jc w:val="center"/>
              <w:ind w:right="5220"/>
              <w:spacing w:after="0"/>
              <w:rPr>
                <w:sz w:val="20"/>
                <w:szCs w:val="20"/>
                <w:color w:val="auto"/>
              </w:rPr>
            </w:pPr>
            <w:r>
              <w:rPr>
                <w:rFonts w:ascii="Times New Roman" w:cs="Times New Roman" w:eastAsia="Times New Roman" w:hAnsi="Times New Roman"/>
                <w:sz w:val="17"/>
                <w:szCs w:val="17"/>
                <w:color w:val="auto"/>
                <w:w w:val="97"/>
              </w:rPr>
              <w:t>ARTICLE IV</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990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color w:val="auto"/>
                <w:w w:val="98"/>
              </w:rPr>
              <w:t>MEMBERS AND INTERESTS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4.01.</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Members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4.02.</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Managing Member</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4.03.</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Interests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4.04.   Admission and Withdrawal of Members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1"/>
        </w:trPr>
        <w:tc>
          <w:tcPr>
            <w:tcW w:w="11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4.05.   Liability to Third Parties; Capital Account Deficits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4.06.</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Classes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4.07.</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Certificates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20" w:type="dxa"/>
            <w:vAlign w:val="bottom"/>
            <w:gridSpan w:val="2"/>
          </w:tcPr>
          <w:p>
            <w:pPr>
              <w:jc w:val="center"/>
              <w:ind w:right="5200"/>
              <w:spacing w:after="0"/>
              <w:rPr>
                <w:sz w:val="20"/>
                <w:szCs w:val="20"/>
                <w:color w:val="auto"/>
              </w:rPr>
            </w:pPr>
            <w:r>
              <w:rPr>
                <w:rFonts w:ascii="Times New Roman" w:cs="Times New Roman" w:eastAsia="Times New Roman" w:hAnsi="Times New Roman"/>
                <w:sz w:val="17"/>
                <w:szCs w:val="17"/>
                <w:color w:val="auto"/>
                <w:w w:val="97"/>
              </w:rPr>
              <w:t>ARTICLE V</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990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color w:val="auto"/>
                <w:w w:val="97"/>
              </w:rPr>
              <w:t>CAPITAL AND ACCOUNTING MATTERS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SECTION 5.01.</w:t>
            </w:r>
          </w:p>
        </w:tc>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Capital</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340"/>
        </w:trPr>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20" w:type="dxa"/>
            <w:vAlign w:val="bottom"/>
            <w:gridSpan w:val="2"/>
          </w:tcPr>
          <w:p>
            <w:pPr>
              <w:jc w:val="center"/>
              <w:ind w:right="4520"/>
              <w:spacing w:after="0"/>
              <w:rPr>
                <w:sz w:val="20"/>
                <w:szCs w:val="20"/>
                <w:color w:val="auto"/>
              </w:rPr>
            </w:pPr>
            <w:r>
              <w:rPr>
                <w:rFonts w:ascii="Times New Roman" w:cs="Times New Roman" w:eastAsia="Times New Roman" w:hAnsi="Times New Roman"/>
                <w:sz w:val="17"/>
                <w:szCs w:val="17"/>
                <w:color w:val="auto"/>
              </w:rPr>
              <w:t>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40"/>
          </w:cols>
          <w:pgMar w:left="240" w:top="246" w:right="319" w:bottom="1440" w:gutter="0" w:footer="0" w:header="0"/>
        </w:sect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bookmarkStart w:id="90" w:name="page91"/>
    <w:bookmarkEnd w:id="90"/>
    <w:tbl>
      <w:tblPr>
        <w:tblLayout w:type="fixed"/>
        <w:tblInd w:w="0" w:type="dxa"/>
        <w:tblCellMar>
          <w:top w:w="0" w:type="dxa"/>
          <w:left w:w="0" w:type="dxa"/>
          <w:bottom w:w="0" w:type="dxa"/>
          <w:right w:w="0" w:type="dxa"/>
        </w:tblCellMar>
      </w:tblP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5.02.   Withdrawals; Return on Capital</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5.03.   Allocation of Profits and Losses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5.04.   Allocations and Tax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5.05.</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Board Determinations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5.06.   Books and Accounts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5.07.   Tax Matters Partner</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5.08.</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Tax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5.09.</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Withholding</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7"/>
              </w:rPr>
              <w:t>ARTICLE VI</w:t>
            </w:r>
          </w:p>
        </w:tc>
        <w:tc>
          <w:tcPr>
            <w:tcW w:w="226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9"/>
              </w:rPr>
              <w:t>DISTRIBUTIONS</w:t>
            </w:r>
          </w:p>
        </w:tc>
        <w:tc>
          <w:tcPr>
            <w:tcW w:w="2260" w:type="dxa"/>
            <w:vAlign w:val="bottom"/>
          </w:tcPr>
          <w:p>
            <w:pPr>
              <w:spacing w:after="0"/>
              <w:rPr>
                <w:sz w:val="24"/>
                <w:szCs w:val="24"/>
                <w:color w:val="auto"/>
              </w:rPr>
            </w:pPr>
          </w:p>
        </w:tc>
      </w:tr>
      <w:tr>
        <w:trPr>
          <w:trHeight w:val="286"/>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6.01.   Distributions in Respect of Profit Participation Interests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6.02.   Distributions in Respect of Common Interests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7"/>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6.03.   Limitation on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6"/>
              </w:rPr>
              <w:t>ARTICLE VII</w:t>
            </w:r>
          </w:p>
        </w:tc>
        <w:tc>
          <w:tcPr>
            <w:tcW w:w="226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w w:val="98"/>
              </w:rPr>
              <w:t>TRANSFERS OF INTERESTS</w:t>
            </w:r>
          </w:p>
        </w:tc>
        <w:tc>
          <w:tcPr>
            <w:tcW w:w="2260" w:type="dxa"/>
            <w:vAlign w:val="bottom"/>
          </w:tcPr>
          <w:p>
            <w:pPr>
              <w:spacing w:after="0"/>
              <w:rPr>
                <w:sz w:val="24"/>
                <w:szCs w:val="24"/>
                <w:color w:val="auto"/>
              </w:rPr>
            </w:pPr>
          </w:p>
        </w:tc>
      </w:tr>
      <w:tr>
        <w:trPr>
          <w:trHeight w:val="286"/>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7.01.   Transfer of Interests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7.02.</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Permitted Transfers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7.03.</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7.04.</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Encumbrances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7.05.</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Legend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7"/>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7.06.   Effect of Transfer Not in Compliance with This Article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8"/>
              </w:rPr>
              <w:t>ARTICLE VIII</w:t>
            </w:r>
          </w:p>
        </w:tc>
        <w:tc>
          <w:tcPr>
            <w:tcW w:w="226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9"/>
              </w:rPr>
              <w:t>DISSOLUTION</w:t>
            </w:r>
          </w:p>
        </w:tc>
        <w:tc>
          <w:tcPr>
            <w:tcW w:w="2260" w:type="dxa"/>
            <w:vAlign w:val="bottom"/>
          </w:tcPr>
          <w:p>
            <w:pPr>
              <w:spacing w:after="0"/>
              <w:rPr>
                <w:sz w:val="24"/>
                <w:szCs w:val="24"/>
                <w:color w:val="auto"/>
              </w:rPr>
            </w:pPr>
          </w:p>
        </w:tc>
      </w:tr>
      <w:tr>
        <w:trPr>
          <w:trHeight w:val="286"/>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8.01.</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Dissolution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8.02.</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Liquidation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8.03.</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7"/>
              </w:rPr>
              <w:t>ARTICLE IX</w:t>
            </w:r>
          </w:p>
        </w:tc>
        <w:tc>
          <w:tcPr>
            <w:tcW w:w="226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7"/>
              </w:rPr>
              <w:t>INDEMNIFICATION AND EXCULPATION</w:t>
            </w:r>
          </w:p>
        </w:tc>
        <w:tc>
          <w:tcPr>
            <w:tcW w:w="2260" w:type="dxa"/>
            <w:vAlign w:val="bottom"/>
          </w:tcPr>
          <w:p>
            <w:pPr>
              <w:spacing w:after="0"/>
              <w:rPr>
                <w:sz w:val="24"/>
                <w:szCs w:val="24"/>
                <w:color w:val="auto"/>
              </w:rPr>
            </w:pPr>
          </w:p>
        </w:tc>
      </w:tr>
      <w:tr>
        <w:trPr>
          <w:trHeight w:val="286"/>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9.01.</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Exculpation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9.02.</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Indemnification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9.03.   Non-Exclusivity of Rights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9.04.</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Insurance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9.05.</w:t>
            </w:r>
          </w:p>
        </w:tc>
        <w:tc>
          <w:tcPr>
            <w:tcW w:w="7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Survival</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w w:val="97"/>
              </w:rPr>
              <w:t>ARTICLE X</w:t>
            </w:r>
          </w:p>
        </w:tc>
        <w:tc>
          <w:tcPr>
            <w:tcW w:w="226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784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8"/>
              </w:rPr>
              <w:t>MISCELLANEOUS</w:t>
            </w:r>
          </w:p>
        </w:tc>
        <w:tc>
          <w:tcPr>
            <w:tcW w:w="2260" w:type="dxa"/>
            <w:vAlign w:val="bottom"/>
          </w:tcPr>
          <w:p>
            <w:pPr>
              <w:spacing w:after="0"/>
              <w:rPr>
                <w:sz w:val="24"/>
                <w:szCs w:val="24"/>
                <w:color w:val="auto"/>
              </w:rPr>
            </w:pPr>
          </w:p>
        </w:tc>
      </w:tr>
      <w:tr>
        <w:trPr>
          <w:trHeight w:val="286"/>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10.01.</w:t>
            </w: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Use of Firm Name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10.02.</w:t>
            </w: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1"/>
        </w:trPr>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10.03.   Benefits of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SECTION 10.04.</w:t>
            </w: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Waiver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340"/>
          </w:cols>
          <w:pgMar w:left="240" w:top="261"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10.05.</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Arbitration</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10.06.   Successors and Assigns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10.07.</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Confidentiality</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10.08.</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1"/>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10.09.   No Waiver of Rights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10.10.</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Power of Attorney</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10.11.</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Severability</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10.12.</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Headings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10.13.</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Entire Agreement</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10.14.</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Governing Law</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10.15.</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Counterparts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10.16.</w:t>
            </w:r>
          </w:p>
        </w:tc>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Effectiveness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7"/>
        </w:trPr>
        <w:tc>
          <w:tcPr>
            <w:tcW w:w="7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10.17.   Corporate Opportunity; Fiduciary Duty</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65"/>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Schedules</w:t>
            </w:r>
          </w:p>
        </w:tc>
        <w:tc>
          <w:tcPr>
            <w:tcW w:w="6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03"/>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A</w:t>
            </w:r>
          </w:p>
        </w:tc>
        <w:tc>
          <w:tcPr>
            <w:tcW w:w="6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B</w:t>
            </w:r>
          </w:p>
        </w:tc>
        <w:tc>
          <w:tcPr>
            <w:tcW w:w="6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C</w:t>
            </w:r>
          </w:p>
        </w:tc>
        <w:tc>
          <w:tcPr>
            <w:tcW w:w="6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1.01(a)</w:t>
            </w:r>
          </w:p>
        </w:tc>
        <w:tc>
          <w:tcPr>
            <w:tcW w:w="6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3.02(a)</w:t>
            </w:r>
          </w:p>
        </w:tc>
        <w:tc>
          <w:tcPr>
            <w:tcW w:w="6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17"/>
        </w:trPr>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3.03(a)</w:t>
            </w:r>
          </w:p>
        </w:tc>
        <w:tc>
          <w:tcPr>
            <w:tcW w:w="6320" w:type="dxa"/>
            <w:vAlign w:val="bottom"/>
          </w:tcPr>
          <w:p>
            <w:pPr>
              <w:spacing w:after="0"/>
              <w:rPr>
                <w:sz w:val="18"/>
                <w:szCs w:val="18"/>
                <w:color w:val="auto"/>
              </w:rPr>
            </w:pPr>
          </w:p>
        </w:tc>
        <w:tc>
          <w:tcPr>
            <w:tcW w:w="374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Schedule 4.01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5.01</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340"/>
          </w:cols>
          <w:pgMar w:left="240" w:top="262" w:right="319" w:bottom="1440" w:gutter="0" w:footer="0" w:header="0"/>
        </w:sectPr>
      </w:pPr>
    </w:p>
    <w:bookmarkStart w:id="92" w:name="page93"/>
    <w:bookmarkEnd w:id="92"/>
    <w:p>
      <w:pPr>
        <w:ind w:right="40" w:firstLine="91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AMENDED AND RESTATED OPERATING AGREEMENT (together with all exhibits, annexes and schedules hereto,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of Lazard Group LLC, a Delaware limited liability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dated as of October 26, 2015.</w:t>
      </w:r>
    </w:p>
    <w:p>
      <w:pPr>
        <w:spacing w:after="0" w:line="158" w:lineRule="exact"/>
        <w:rPr>
          <w:sz w:val="20"/>
          <w:szCs w:val="20"/>
          <w:color w:val="auto"/>
        </w:rPr>
      </w:pPr>
    </w:p>
    <w:p>
      <w:pPr>
        <w:ind w:right="140" w:firstLine="914"/>
        <w:spacing w:after="0" w:line="274" w:lineRule="auto"/>
        <w:rPr>
          <w:sz w:val="20"/>
          <w:szCs w:val="20"/>
          <w:color w:val="auto"/>
        </w:rPr>
      </w:pPr>
      <w:r>
        <w:rPr>
          <w:rFonts w:ascii="Times New Roman" w:cs="Times New Roman" w:eastAsia="Times New Roman" w:hAnsi="Times New Roman"/>
          <w:sz w:val="17"/>
          <w:szCs w:val="17"/>
          <w:color w:val="auto"/>
        </w:rPr>
        <w:t>WHEREAS, the Lazard Board, the Managing Members, the Lazard Ltd Nominating and Governance Committee and the Lazard Ltd Board have approved and adopted this Agreement;</w:t>
      </w:r>
    </w:p>
    <w:p>
      <w:pPr>
        <w:spacing w:after="0" w:line="158" w:lineRule="exact"/>
        <w:rPr>
          <w:sz w:val="20"/>
          <w:szCs w:val="20"/>
          <w:color w:val="auto"/>
        </w:rPr>
      </w:pPr>
    </w:p>
    <w:p>
      <w:pPr>
        <w:ind w:right="240" w:firstLine="914"/>
        <w:spacing w:after="0" w:line="260" w:lineRule="auto"/>
        <w:rPr>
          <w:sz w:val="20"/>
          <w:szCs w:val="20"/>
          <w:color w:val="auto"/>
        </w:rPr>
      </w:pPr>
      <w:r>
        <w:rPr>
          <w:rFonts w:ascii="Times New Roman" w:cs="Times New Roman" w:eastAsia="Times New Roman" w:hAnsi="Times New Roman"/>
          <w:sz w:val="17"/>
          <w:szCs w:val="17"/>
          <w:color w:val="auto"/>
        </w:rPr>
        <w:t>WHEREAS, since the date of the last amendment to this Agreement, (a) LAZ-MD Holdings LLC has (i) transferred all of its Common Interests to its members and (ii) withdrawn as a Common Member, and (b) the members of LAZ-MD Holdings LLC have transferred all of their Common Interests to the Lazard Ltd Members;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WHEREAS, the Lazard Ltd Members now own 100% of the Common Interests;</w:t>
      </w:r>
    </w:p>
    <w:p>
      <w:pPr>
        <w:spacing w:after="0" w:line="207" w:lineRule="exact"/>
        <w:rPr>
          <w:sz w:val="20"/>
          <w:szCs w:val="20"/>
          <w:color w:val="auto"/>
        </w:rPr>
      </w:pPr>
    </w:p>
    <w:p>
      <w:pPr>
        <w:ind w:right="180" w:firstLine="914"/>
        <w:spacing w:after="0" w:line="306" w:lineRule="auto"/>
        <w:rPr>
          <w:sz w:val="20"/>
          <w:szCs w:val="20"/>
          <w:color w:val="auto"/>
        </w:rPr>
      </w:pPr>
      <w:r>
        <w:rPr>
          <w:rFonts w:ascii="Times New Roman" w:cs="Times New Roman" w:eastAsia="Times New Roman" w:hAnsi="Times New Roman"/>
          <w:sz w:val="16"/>
          <w:szCs w:val="16"/>
          <w:color w:val="auto"/>
        </w:rPr>
        <w:t>WHEREAS, the Lazard Ltd Members have determined that certain provisions in this Agreement, including provisions governing the transfer of Common Interests by LAZ-MD Holdings LLC to its members and the transfer of Common Interests by such members to the Lazard Ltd Members, are no longer necessary; and</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WHEREAS, the Lazard Ltd Members have determined that the future Profits and Losses of the Company should be shared between the Members as set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forth herein.</w:t>
      </w:r>
    </w:p>
    <w:p>
      <w:pPr>
        <w:spacing w:after="0" w:line="191" w:lineRule="exact"/>
        <w:rPr>
          <w:sz w:val="20"/>
          <w:szCs w:val="20"/>
          <w:color w:val="auto"/>
        </w:rPr>
      </w:pPr>
    </w:p>
    <w:p>
      <w:pPr>
        <w:ind w:firstLine="914"/>
        <w:spacing w:after="0" w:line="274" w:lineRule="auto"/>
        <w:rPr>
          <w:sz w:val="20"/>
          <w:szCs w:val="20"/>
          <w:color w:val="auto"/>
        </w:rPr>
      </w:pPr>
      <w:r>
        <w:rPr>
          <w:rFonts w:ascii="Times New Roman" w:cs="Times New Roman" w:eastAsia="Times New Roman" w:hAnsi="Times New Roman"/>
          <w:sz w:val="17"/>
          <w:szCs w:val="17"/>
          <w:color w:val="auto"/>
        </w:rPr>
        <w:t>NOW, THEREFORE, the Operating Agreement, dated as of May 10, 2005, as amended, is hereby amended and restated in its entirety and this amended and restated agreement is adopted as the “limited liability company agreement” of the Company within the meaning of the Act: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DEFINITIONS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As used in this Agreement, the following terms have the meanings set forth below:</w:t>
      </w:r>
    </w:p>
    <w:p>
      <w:pPr>
        <w:spacing w:after="0" w:line="1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Accounting Period</w:t>
      </w:r>
      <w:r>
        <w:rPr>
          <w:rFonts w:ascii="Times New Roman" w:cs="Times New Roman" w:eastAsia="Times New Roman" w:hAnsi="Times New Roman"/>
          <w:sz w:val="17"/>
          <w:szCs w:val="17"/>
          <w:color w:val="auto"/>
        </w:rPr>
        <w:t>” means the period commencing immediately after a Closing of the Books Event and ending at the next Closing of the Books Event.</w:t>
      </w:r>
    </w:p>
    <w:p>
      <w:pPr>
        <w:spacing w:after="0" w:line="207" w:lineRule="exact"/>
        <w:rPr>
          <w:sz w:val="20"/>
          <w:szCs w:val="20"/>
          <w:color w:val="auto"/>
        </w:rPr>
      </w:pPr>
    </w:p>
    <w:p>
      <w:pPr>
        <w:ind w:right="24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Acknowledgement</w:t>
      </w:r>
      <w:r>
        <w:rPr>
          <w:rFonts w:ascii="Times New Roman" w:cs="Times New Roman" w:eastAsia="Times New Roman" w:hAnsi="Times New Roman"/>
          <w:sz w:val="17"/>
          <w:szCs w:val="17"/>
          <w:color w:val="auto"/>
        </w:rPr>
        <w:t>” means a Membership Acknowledgement and Agreement with respect to the Profit Participation Interests in the form or forms to be approved by the Chief Executive Officer, the Chief Financial Officer and the General Counsel (or any of them).</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xml:space="preserve">” means the Delaware Limited Liability Company Act (6 </w:t>
      </w:r>
      <w:r>
        <w:rPr>
          <w:rFonts w:ascii="Times New Roman" w:cs="Times New Roman" w:eastAsia="Times New Roman" w:hAnsi="Times New Roman"/>
          <w:sz w:val="17"/>
          <w:szCs w:val="17"/>
          <w:u w:val="single" w:color="auto"/>
          <w:color w:val="auto"/>
        </w:rPr>
        <w:t>Del. C.</w:t>
      </w:r>
      <w:r>
        <w:rPr>
          <w:rFonts w:ascii="Times New Roman" w:cs="Times New Roman" w:eastAsia="Times New Roman" w:hAnsi="Times New Roman"/>
          <w:sz w:val="17"/>
          <w:szCs w:val="17"/>
          <w:color w:val="auto"/>
        </w:rPr>
        <w:t xml:space="preserve"> § 18-101,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as amended from time to time and any successor statute thereto.</w:t>
      </w:r>
    </w:p>
    <w:p>
      <w:pPr>
        <w:sectPr>
          <w:pgSz w:w="11900" w:h="16838" w:orient="portrait"/>
          <w:cols w:equalWidth="0" w:num="1">
            <w:col w:w="11420"/>
          </w:cols>
          <w:pgMar w:left="240" w:top="261" w:right="239" w:bottom="1440" w:gutter="0" w:footer="0" w:header="0"/>
        </w:sectPr>
      </w:pPr>
    </w:p>
    <w:bookmarkStart w:id="93" w:name="page94"/>
    <w:bookmarkEnd w:id="93"/>
    <w:p>
      <w:pPr>
        <w:ind w:right="120" w:firstLine="91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 indirectly, through one or more intermediaries, controls, or is controlled by, or is under common control with, such person.</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preamble to this Agreement.</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w:t>
      </w:r>
      <w:r>
        <w:rPr>
          <w:rFonts w:ascii="Times New Roman" w:cs="Times New Roman" w:eastAsia="Times New Roman" w:hAnsi="Times New Roman"/>
          <w:sz w:val="17"/>
          <w:szCs w:val="17"/>
          <w:color w:val="auto"/>
        </w:rPr>
        <w:t>” has the meaning set forth in Section 5.04(c)(A).</w:t>
      </w:r>
    </w:p>
    <w:p>
      <w:pPr>
        <w:spacing w:after="0" w:line="207" w:lineRule="exact"/>
        <w:rPr>
          <w:sz w:val="20"/>
          <w:szCs w:val="20"/>
          <w:color w:val="auto"/>
        </w:rPr>
      </w:pPr>
    </w:p>
    <w:p>
      <w:pPr>
        <w:ind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w:t>
      </w:r>
      <w:r>
        <w:rPr>
          <w:rFonts w:ascii="Times New Roman" w:cs="Times New Roman" w:eastAsia="Times New Roman" w:hAnsi="Times New Roman"/>
          <w:sz w:val="17"/>
          <w:szCs w:val="17"/>
          <w:color w:val="auto"/>
        </w:rPr>
        <w:t>” means, with respect to any Common Member, the balance in such Member’s Common Capital Account from time to time and, with respect to any Profit Participation Member, the balance in such Member’s Profit Participation Capital Account from time to time.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Account</w:t>
      </w:r>
      <w:r>
        <w:rPr>
          <w:rFonts w:ascii="Times New Roman" w:cs="Times New Roman" w:eastAsia="Times New Roman" w:hAnsi="Times New Roman"/>
          <w:sz w:val="17"/>
          <w:szCs w:val="17"/>
          <w:color w:val="auto"/>
        </w:rPr>
        <w:t>” means, with respect to any Member, such Member’s Common Capital Account or Profit Participation Capital Account, as applicable.</w:t>
      </w:r>
    </w:p>
    <w:p>
      <w:pPr>
        <w:spacing w:after="0" w:line="207" w:lineRule="exact"/>
        <w:rPr>
          <w:sz w:val="20"/>
          <w:szCs w:val="20"/>
          <w:color w:val="auto"/>
        </w:rPr>
      </w:pPr>
    </w:p>
    <w:p>
      <w:pPr>
        <w:ind w:right="22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Conversion</w:t>
      </w:r>
      <w:r>
        <w:rPr>
          <w:rFonts w:ascii="Times New Roman" w:cs="Times New Roman" w:eastAsia="Times New Roman" w:hAnsi="Times New Roman"/>
          <w:sz w:val="17"/>
          <w:szCs w:val="17"/>
          <w:color w:val="auto"/>
        </w:rPr>
        <w:t>” means the certificate of conversion converting the Company’s prior partnership into the Company filed with the office of the Secretary of State of the State of Delaware on March 2, 2000.</w:t>
      </w:r>
    </w:p>
    <w:p>
      <w:pPr>
        <w:spacing w:after="0" w:line="158" w:lineRule="exact"/>
        <w:rPr>
          <w:sz w:val="20"/>
          <w:szCs w:val="20"/>
          <w:color w:val="auto"/>
        </w:rPr>
      </w:pPr>
    </w:p>
    <w:p>
      <w:pPr>
        <w:ind w:right="36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Formation</w:t>
      </w:r>
      <w:r>
        <w:rPr>
          <w:rFonts w:ascii="Times New Roman" w:cs="Times New Roman" w:eastAsia="Times New Roman" w:hAnsi="Times New Roman"/>
          <w:sz w:val="17"/>
          <w:szCs w:val="17"/>
          <w:color w:val="auto"/>
        </w:rPr>
        <w:t>” means the certificate of formation of the Company filed with the office of the Secretary of State of the State of Delaware on March 2, 2000.</w:t>
      </w:r>
    </w:p>
    <w:p>
      <w:pPr>
        <w:spacing w:after="0" w:line="158" w:lineRule="exact"/>
        <w:rPr>
          <w:sz w:val="20"/>
          <w:szCs w:val="20"/>
          <w:color w:val="auto"/>
        </w:rPr>
      </w:pPr>
    </w:p>
    <w:p>
      <w:pPr>
        <w:ind w:right="36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has the meaning set forth in Lazard Ltd’s 2008 Incentive Compensation Plan, as amended from time to time, or, if Lazard Ltd has adopted a new equity incentive compensation plan, the meaning set forth in such new plan.</w:t>
      </w:r>
    </w:p>
    <w:p>
      <w:pPr>
        <w:spacing w:after="0" w:line="158" w:lineRule="exact"/>
        <w:rPr>
          <w:sz w:val="20"/>
          <w:szCs w:val="20"/>
          <w:color w:val="auto"/>
        </w:rPr>
      </w:pPr>
    </w:p>
    <w:p>
      <w:pPr>
        <w:ind w:right="120"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of the Books Event</w:t>
      </w:r>
      <w:r>
        <w:rPr>
          <w:rFonts w:ascii="Times New Roman" w:cs="Times New Roman" w:eastAsia="Times New Roman" w:hAnsi="Times New Roman"/>
          <w:sz w:val="17"/>
          <w:szCs w:val="17"/>
          <w:color w:val="auto"/>
        </w:rPr>
        <w:t>” means any of (i) the close of the last day of each calendar year and each calendar quarter, (ii) the close of any date on which there occurs a dissolution of the Company, the admission of a new Common Member or the withdrawal of a Common Member, or (iii) any other time that the Lazard Board determines to be appropriate for an interim closing of the Company’s books.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U.S. Internal Revenue Code of 1986, as amended from time to time.</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Capital Account</w:t>
      </w:r>
      <w:r>
        <w:rPr>
          <w:rFonts w:ascii="Times New Roman" w:cs="Times New Roman" w:eastAsia="Times New Roman" w:hAnsi="Times New Roman"/>
          <w:sz w:val="17"/>
          <w:szCs w:val="17"/>
          <w:color w:val="auto"/>
        </w:rPr>
        <w:t>” has the meaning set forth in Section 5.01(a).</w:t>
      </w:r>
    </w:p>
    <w:p>
      <w:pPr>
        <w:spacing w:after="0" w:line="207" w:lineRule="exact"/>
        <w:rPr>
          <w:sz w:val="20"/>
          <w:szCs w:val="20"/>
          <w:color w:val="auto"/>
        </w:rPr>
      </w:pPr>
    </w:p>
    <w:p>
      <w:pPr>
        <w:ind w:right="42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Interest</w:t>
      </w:r>
      <w:r>
        <w:rPr>
          <w:rFonts w:ascii="Times New Roman" w:cs="Times New Roman" w:eastAsia="Times New Roman" w:hAnsi="Times New Roman"/>
          <w:sz w:val="17"/>
          <w:szCs w:val="17"/>
          <w:color w:val="auto"/>
        </w:rPr>
        <w:t>” means, with respect to any Common Member, such Member’s rights and obligations with respect to the Company pursuant to this Agreement and applicable law by virtue of such person being a Member of the Company.</w:t>
      </w:r>
    </w:p>
    <w:p>
      <w:pPr>
        <w:spacing w:after="0" w:line="158" w:lineRule="exact"/>
        <w:rPr>
          <w:sz w:val="20"/>
          <w:szCs w:val="20"/>
          <w:color w:val="auto"/>
        </w:rPr>
      </w:pPr>
    </w:p>
    <w:p>
      <w:pPr>
        <w:ind w:right="180"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Member</w:t>
      </w:r>
      <w:r>
        <w:rPr>
          <w:rFonts w:ascii="Times New Roman" w:cs="Times New Roman" w:eastAsia="Times New Roman" w:hAnsi="Times New Roman"/>
          <w:sz w:val="17"/>
          <w:szCs w:val="17"/>
          <w:color w:val="auto"/>
        </w:rPr>
        <w:t>” means any person who, from time to time, is entitled to a Common Interest pursuant to and in compliance with this Agreement and who has been admitted to the Company as a Common Member in accordance with this Agreement and has not ceased to be a Common Member under the terms of this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00"/>
          </w:cols>
          <w:pgMar w:left="240" w:top="261" w:right="259" w:bottom="1440" w:gutter="0" w:footer="0" w:header="0"/>
        </w:sectPr>
      </w:pPr>
    </w:p>
    <w:bookmarkStart w:id="94" w:name="page95"/>
    <w:bookmarkEnd w:id="94"/>
    <w:p>
      <w:pPr>
        <w:ind w:right="120" w:firstLine="914"/>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Common Member’s Proportionate Tax Share</w:t>
      </w:r>
      <w:r>
        <w:rPr>
          <w:rFonts w:ascii="Times New Roman" w:cs="Times New Roman" w:eastAsia="Times New Roman" w:hAnsi="Times New Roman"/>
          <w:sz w:val="17"/>
          <w:szCs w:val="17"/>
          <w:color w:val="auto"/>
        </w:rPr>
        <w:t>” means, with respect to a Common Member, the product of (x) the Common Tax Distribution for the fiscal year, fiscal quarter or other period, as applicable, and (y) a fraction, the numerator of which is the taxable income or gain allocated to such Member pursuant to Section 5.04(d) for such fiscal year, fiscal quarter or other period and the denominator of which is the sum of the taxable income or gain allocated to all Common Members pursuant to Section 5.04(d) for such fiscal year, fiscal quarter or other period. For purposes of this definition, if a Common Member is allocated a net taxable loss pursuant to Section 5.04(d) for a fiscal year, fiscal quarter or other period, then the amount of taxable income or gain included in the calculation described in the immediately preceding sentence in respect of such Common Member for such fiscal year, fiscal quarter or other period shall be zero (0).</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Tax Distribution</w:t>
      </w:r>
      <w:r>
        <w:rPr>
          <w:rFonts w:ascii="Times New Roman" w:cs="Times New Roman" w:eastAsia="Times New Roman" w:hAnsi="Times New Roman"/>
          <w:sz w:val="17"/>
          <w:szCs w:val="17"/>
          <w:color w:val="auto"/>
        </w:rPr>
        <w:t>” means, for each fiscal year, fiscal quarter or other period of the Company during the term of the Company, the product of</w:t>
      </w:r>
    </w:p>
    <w:p>
      <w:pPr>
        <w:spacing w:after="0" w:line="22" w:lineRule="exact"/>
        <w:rPr>
          <w:sz w:val="20"/>
          <w:szCs w:val="20"/>
          <w:color w:val="auto"/>
        </w:rPr>
      </w:pPr>
    </w:p>
    <w:p>
      <w:pPr>
        <w:ind w:left="200" w:hanging="199"/>
        <w:spacing w:after="0"/>
        <w:tabs>
          <w:tab w:leader="none" w:pos="2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taxable income or gain allocated to the Common Members pursuant to Section 5.04(d) for such fiscal year, fiscal quarter or other period and</w:t>
      </w:r>
    </w:p>
    <w:p>
      <w:pPr>
        <w:spacing w:after="0" w:line="17" w:lineRule="exact"/>
        <w:rPr>
          <w:rFonts w:ascii="Times New Roman" w:cs="Times New Roman" w:eastAsia="Times New Roman" w:hAnsi="Times New Roman"/>
          <w:sz w:val="16"/>
          <w:szCs w:val="16"/>
          <w:color w:val="auto"/>
        </w:rPr>
      </w:pPr>
    </w:p>
    <w:p>
      <w:pPr>
        <w:ind w:right="40" w:firstLine="1"/>
        <w:spacing w:after="0" w:line="250" w:lineRule="auto"/>
        <w:tabs>
          <w:tab w:leader="none" w:pos="24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Rate for such fiscal year, fiscal quarter or other period. For purposes of this definition, if a Common Member is allocated a net taxable loss pursuant to Section 5.04(d) for a fiscal year, fiscal quarter or other period, then the amount of taxable income or gain included in clause (i) of the immediately preceding sentence in respect of such Common Member for such fiscal year, fiscal quarter or other period shall be zero (0).</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 to this Agreement.</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Delaware Arbitration Act</w:t>
      </w:r>
      <w:r>
        <w:rPr>
          <w:rFonts w:ascii="Times New Roman" w:cs="Times New Roman" w:eastAsia="Times New Roman" w:hAnsi="Times New Roman"/>
          <w:sz w:val="17"/>
          <w:szCs w:val="17"/>
          <w:color w:val="auto"/>
        </w:rPr>
        <w:t>” has the meaning set forth in Section 10.05(d).</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has the meaning set forth in Section 3.02(a).</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has the meaning set forth in Section 10.05(a).</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Period</w:t>
      </w:r>
      <w:r>
        <w:rPr>
          <w:rFonts w:ascii="Times New Roman" w:cs="Times New Roman" w:eastAsia="Times New Roman" w:hAnsi="Times New Roman"/>
          <w:sz w:val="17"/>
          <w:szCs w:val="17"/>
          <w:color w:val="auto"/>
        </w:rPr>
        <w:t>” means the period beginning January 1, 2016, and ending December 31, 2022.</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Encumbrance</w:t>
      </w:r>
      <w:r>
        <w:rPr>
          <w:rFonts w:ascii="Times New Roman" w:cs="Times New Roman" w:eastAsia="Times New Roman" w:hAnsi="Times New Roman"/>
          <w:sz w:val="17"/>
          <w:szCs w:val="17"/>
          <w:color w:val="auto"/>
        </w:rPr>
        <w:t>” has the meaning set forth in Section 7.04.</w:t>
      </w:r>
    </w:p>
    <w:p>
      <w:pPr>
        <w:spacing w:after="0" w:line="207" w:lineRule="exact"/>
        <w:rPr>
          <w:sz w:val="20"/>
          <w:szCs w:val="20"/>
          <w:color w:val="auto"/>
        </w:rPr>
      </w:pPr>
    </w:p>
    <w:p>
      <w:pPr>
        <w:ind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Items</w:t>
      </w:r>
      <w:r>
        <w:rPr>
          <w:rFonts w:ascii="Times New Roman" w:cs="Times New Roman" w:eastAsia="Times New Roman" w:hAnsi="Times New Roman"/>
          <w:sz w:val="17"/>
          <w:szCs w:val="17"/>
          <w:color w:val="auto"/>
        </w:rPr>
        <w:t>” means (i) depreciation, (ii) amortization, (iii) other cost recovery deduction, and (iv) for all taxable periods commencing on and after January 1, 2015, items of deduction or loss attributable to all deferred compensation issued by or on behalf of Lazard Ltd or any of its Subsidiaries including the grant or delivery of restricted stock units, performance based stock restricted units or other equity based compensation awards issued.</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Officer</w:t>
      </w:r>
      <w:r>
        <w:rPr>
          <w:rFonts w:ascii="Times New Roman" w:cs="Times New Roman" w:eastAsia="Times New Roman" w:hAnsi="Times New Roman"/>
          <w:sz w:val="17"/>
          <w:szCs w:val="17"/>
          <w:color w:val="auto"/>
        </w:rPr>
        <w:t>” has the meaning set forth in Section 3.03(g).</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Review</w:t>
      </w:r>
      <w:r>
        <w:rPr>
          <w:rFonts w:ascii="Times New Roman" w:cs="Times New Roman" w:eastAsia="Times New Roman" w:hAnsi="Times New Roman"/>
          <w:sz w:val="17"/>
          <w:szCs w:val="17"/>
          <w:color w:val="auto"/>
        </w:rPr>
        <w:t>” has the meaning set forth in Section 10.05(b).</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Fixed Percentage</w:t>
      </w:r>
      <w:r>
        <w:rPr>
          <w:rFonts w:ascii="Times New Roman" w:cs="Times New Roman" w:eastAsia="Times New Roman" w:hAnsi="Times New Roman"/>
          <w:sz w:val="17"/>
          <w:szCs w:val="17"/>
          <w:color w:val="auto"/>
        </w:rPr>
        <w:t>” has the meaning set forth in Section 5.04(c)(A).</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Funding Proportion</w:t>
      </w:r>
      <w:r>
        <w:rPr>
          <w:rFonts w:ascii="Times New Roman" w:cs="Times New Roman" w:eastAsia="Times New Roman" w:hAnsi="Times New Roman"/>
          <w:sz w:val="17"/>
          <w:szCs w:val="17"/>
          <w:color w:val="auto"/>
        </w:rPr>
        <w:t>” has the meaning set forth in Section 5.04(e)(i).</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240" w:top="261" w:right="319" w:bottom="1440" w:gutter="0" w:footer="0" w:header="0"/>
        </w:sectPr>
      </w:pPr>
    </w:p>
    <w:bookmarkStart w:id="95" w:name="page96"/>
    <w:bookmarkEnd w:id="95"/>
    <w:p>
      <w:pPr>
        <w:ind w:left="9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ICC</w:t>
      </w:r>
      <w:r>
        <w:rPr>
          <w:rFonts w:ascii="Times New Roman" w:cs="Times New Roman" w:eastAsia="Times New Roman" w:hAnsi="Times New Roman"/>
          <w:sz w:val="17"/>
          <w:szCs w:val="17"/>
          <w:color w:val="auto"/>
        </w:rPr>
        <w:t>” has the meaning set forth in Section 10.05(b).</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ICC Rules</w:t>
      </w:r>
      <w:r>
        <w:rPr>
          <w:rFonts w:ascii="Times New Roman" w:cs="Times New Roman" w:eastAsia="Times New Roman" w:hAnsi="Times New Roman"/>
          <w:sz w:val="17"/>
          <w:szCs w:val="17"/>
          <w:color w:val="auto"/>
        </w:rPr>
        <w:t>” has the meaning set forth in Section 10.05(b).</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means a Common Interest and a Profit Participation Interest.</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Board</w:t>
      </w:r>
      <w:r>
        <w:rPr>
          <w:rFonts w:ascii="Times New Roman" w:cs="Times New Roman" w:eastAsia="Times New Roman" w:hAnsi="Times New Roman"/>
          <w:sz w:val="17"/>
          <w:szCs w:val="17"/>
          <w:color w:val="auto"/>
        </w:rPr>
        <w:t>” has the meaning set forth in Section 3.01.</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w:t>
      </w:r>
      <w:r>
        <w:rPr>
          <w:rFonts w:ascii="Times New Roman" w:cs="Times New Roman" w:eastAsia="Times New Roman" w:hAnsi="Times New Roman"/>
          <w:sz w:val="17"/>
          <w:szCs w:val="17"/>
          <w:color w:val="auto"/>
        </w:rPr>
        <w:t>” means Lazard Ltd, a Bermuda exempted company.</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Affiliate</w:t>
      </w:r>
      <w:r>
        <w:rPr>
          <w:rFonts w:ascii="Times New Roman" w:cs="Times New Roman" w:eastAsia="Times New Roman" w:hAnsi="Times New Roman"/>
          <w:sz w:val="17"/>
          <w:szCs w:val="17"/>
          <w:color w:val="auto"/>
        </w:rPr>
        <w:t>” has the meaning set forth in Section 10.17(a).</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Board</w:t>
      </w:r>
      <w:r>
        <w:rPr>
          <w:rFonts w:ascii="Times New Roman" w:cs="Times New Roman" w:eastAsia="Times New Roman" w:hAnsi="Times New Roman"/>
          <w:sz w:val="17"/>
          <w:szCs w:val="17"/>
          <w:color w:val="auto"/>
        </w:rPr>
        <w:t>” means the Board of Directors of Lazard Ltd.</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Common Stock</w:t>
      </w:r>
      <w:r>
        <w:rPr>
          <w:rFonts w:ascii="Times New Roman" w:cs="Times New Roman" w:eastAsia="Times New Roman" w:hAnsi="Times New Roman"/>
          <w:sz w:val="17"/>
          <w:szCs w:val="17"/>
          <w:color w:val="auto"/>
        </w:rPr>
        <w:t>” means the Class A common stock, par value $0.01 per share, of Lazard Ltd.</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Member</w:t>
      </w:r>
      <w:r>
        <w:rPr>
          <w:rFonts w:ascii="Times New Roman" w:cs="Times New Roman" w:eastAsia="Times New Roman" w:hAnsi="Times New Roman"/>
          <w:sz w:val="17"/>
          <w:szCs w:val="17"/>
          <w:color w:val="auto"/>
        </w:rPr>
        <w:t>” means Lazard Ltd Sub A and Lazard Ltd Sub B.</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Nominating and Governance Committee</w:t>
      </w:r>
      <w:r>
        <w:rPr>
          <w:rFonts w:ascii="Times New Roman" w:cs="Times New Roman" w:eastAsia="Times New Roman" w:hAnsi="Times New Roman"/>
          <w:sz w:val="17"/>
          <w:szCs w:val="17"/>
          <w:color w:val="auto"/>
        </w:rPr>
        <w:t>” means the Nominating and Governance Committee of the Lazard Ltd Board.</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Sub A</w:t>
      </w:r>
      <w:r>
        <w:rPr>
          <w:rFonts w:ascii="Times New Roman" w:cs="Times New Roman" w:eastAsia="Times New Roman" w:hAnsi="Times New Roman"/>
          <w:sz w:val="17"/>
          <w:szCs w:val="17"/>
          <w:color w:val="auto"/>
        </w:rPr>
        <w:t xml:space="preserve">” means the Subsidiary of Lazard Ltd designated as such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Ltd Sub B</w:t>
      </w:r>
      <w:r>
        <w:rPr>
          <w:rFonts w:ascii="Times New Roman" w:cs="Times New Roman" w:eastAsia="Times New Roman" w:hAnsi="Times New Roman"/>
          <w:sz w:val="17"/>
          <w:szCs w:val="17"/>
          <w:color w:val="auto"/>
        </w:rPr>
        <w:t xml:space="preserve">” means the Subsidiary of Lazard Ltd designated as such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LB</w:t>
      </w:r>
      <w:r>
        <w:rPr>
          <w:rFonts w:ascii="Times New Roman" w:cs="Times New Roman" w:eastAsia="Times New Roman" w:hAnsi="Times New Roman"/>
          <w:sz w:val="17"/>
          <w:szCs w:val="17"/>
          <w:color w:val="auto"/>
        </w:rPr>
        <w:t>” means Lazard &amp; Co., Holdings Limited, an English private limited company.</w:t>
      </w:r>
    </w:p>
    <w:p>
      <w:pPr>
        <w:spacing w:after="0" w:line="203"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LF</w:t>
      </w:r>
      <w:r>
        <w:rPr>
          <w:rFonts w:ascii="Times New Roman" w:cs="Times New Roman" w:eastAsia="Times New Roman" w:hAnsi="Times New Roman"/>
          <w:sz w:val="17"/>
          <w:szCs w:val="17"/>
          <w:color w:val="auto"/>
        </w:rPr>
        <w:t xml:space="preserve">” means Lazard Frères S.A.S., a French </w:t>
      </w:r>
      <w:r>
        <w:rPr>
          <w:rFonts w:ascii="Times New Roman" w:cs="Times New Roman" w:eastAsia="Times New Roman" w:hAnsi="Times New Roman"/>
          <w:sz w:val="17"/>
          <w:szCs w:val="17"/>
          <w:i w:val="1"/>
          <w:iCs w:val="1"/>
          <w:color w:val="auto"/>
        </w:rPr>
        <w:t>Société par Actions Simplifiée</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LFNY</w:t>
      </w:r>
      <w:r>
        <w:rPr>
          <w:rFonts w:ascii="Times New Roman" w:cs="Times New Roman" w:eastAsia="Times New Roman" w:hAnsi="Times New Roman"/>
          <w:sz w:val="17"/>
          <w:szCs w:val="17"/>
          <w:color w:val="auto"/>
        </w:rPr>
        <w:t>” means Lazard Frères &amp; Co. LLC, a New York limited liability company.</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Managing Director</w:t>
      </w:r>
      <w:r>
        <w:rPr>
          <w:rFonts w:ascii="Times New Roman" w:cs="Times New Roman" w:eastAsia="Times New Roman" w:hAnsi="Times New Roman"/>
          <w:sz w:val="16"/>
          <w:szCs w:val="16"/>
          <w:color w:val="auto"/>
        </w:rPr>
        <w:t>” means (a) a managing director of LFNY, (b) an Associé-Gérant of LF, (c) a managing director or limited managing director of LB or</w:t>
      </w:r>
    </w:p>
    <w:p>
      <w:pPr>
        <w:spacing w:after="0" w:line="33" w:lineRule="exact"/>
        <w:rPr>
          <w:sz w:val="20"/>
          <w:szCs w:val="20"/>
          <w:color w:val="auto"/>
        </w:rPr>
      </w:pPr>
    </w:p>
    <w:p>
      <w:pPr>
        <w:ind w:left="919" w:right="1300" w:hanging="919"/>
        <w:spacing w:after="0" w:line="484" w:lineRule="auto"/>
        <w:tabs>
          <w:tab w:leader="none" w:pos="24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managing director, limited managing director or comparable executive of any other Lazard Ltd Affiliate designated by the Managing Members. “</w:t>
      </w:r>
      <w:r>
        <w:rPr>
          <w:rFonts w:ascii="Times New Roman" w:cs="Times New Roman" w:eastAsia="Times New Roman" w:hAnsi="Times New Roman"/>
          <w:sz w:val="17"/>
          <w:szCs w:val="17"/>
          <w:u w:val="single" w:color="auto"/>
          <w:color w:val="auto"/>
        </w:rPr>
        <w:t>Managing Member</w:t>
      </w:r>
      <w:r>
        <w:rPr>
          <w:rFonts w:ascii="Times New Roman" w:cs="Times New Roman" w:eastAsia="Times New Roman" w:hAnsi="Times New Roman"/>
          <w:sz w:val="17"/>
          <w:szCs w:val="17"/>
          <w:color w:val="auto"/>
        </w:rPr>
        <w:t>” has the meaning set forth in Section 4.02.</w:t>
      </w:r>
    </w:p>
    <w:p>
      <w:pPr>
        <w:ind w:left="91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means the Common Members and the Profit Participation Members, and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means any of the foregoing.</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Expenses</w:t>
      </w:r>
      <w:r>
        <w:rPr>
          <w:rFonts w:ascii="Times New Roman" w:cs="Times New Roman" w:eastAsia="Times New Roman" w:hAnsi="Times New Roman"/>
          <w:sz w:val="17"/>
          <w:szCs w:val="17"/>
          <w:color w:val="auto"/>
        </w:rPr>
        <w:t>” has the meaning set forth in Section 5.04(c)(B).</w:t>
      </w:r>
    </w:p>
    <w:p>
      <w:pPr>
        <w:spacing w:after="0" w:line="207" w:lineRule="exact"/>
        <w:rPr>
          <w:sz w:val="20"/>
          <w:szCs w:val="20"/>
          <w:color w:val="auto"/>
        </w:rPr>
      </w:pPr>
    </w:p>
    <w:p>
      <w:pPr>
        <w:ind w:left="9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Income</w:t>
      </w:r>
      <w:r>
        <w:rPr>
          <w:rFonts w:ascii="Times New Roman" w:cs="Times New Roman" w:eastAsia="Times New Roman" w:hAnsi="Times New Roman"/>
          <w:sz w:val="17"/>
          <w:szCs w:val="17"/>
          <w:color w:val="auto"/>
        </w:rPr>
        <w:t>” has the meaning set forth in Section 5.04(c)(C).</w:t>
      </w:r>
    </w:p>
    <w:p>
      <w:pPr>
        <w:spacing w:after="0" w:line="144" w:lineRule="exact"/>
        <w:rPr>
          <w:sz w:val="20"/>
          <w:szCs w:val="20"/>
          <w:color w:val="auto"/>
        </w:rPr>
      </w:pPr>
    </w:p>
    <w:p>
      <w:pPr>
        <w:jc w:val="center"/>
        <w:ind w:right="-158"/>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79"/>
          </w:cols>
          <w:pgMar w:left="241" w:top="261" w:right="379" w:bottom="1440" w:gutter="0" w:footer="0" w:header="0"/>
        </w:sectPr>
      </w:pPr>
    </w:p>
    <w:bookmarkStart w:id="96" w:name="page97"/>
    <w:bookmarkEnd w:id="96"/>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Operating Revenue</w:t>
      </w:r>
      <w:r>
        <w:rPr>
          <w:rFonts w:ascii="Times New Roman" w:cs="Times New Roman" w:eastAsia="Times New Roman" w:hAnsi="Times New Roman"/>
          <w:sz w:val="17"/>
          <w:szCs w:val="17"/>
          <w:color w:val="auto"/>
        </w:rPr>
        <w:t>” has the meaning set forth in Section 5.04(c)(D).</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Percentage Interest</w:t>
      </w:r>
      <w:r>
        <w:rPr>
          <w:rFonts w:ascii="Times New Roman" w:cs="Times New Roman" w:eastAsia="Times New Roman" w:hAnsi="Times New Roman"/>
          <w:sz w:val="17"/>
          <w:szCs w:val="17"/>
          <w:color w:val="auto"/>
        </w:rPr>
        <w:t xml:space="preserve">” means, with respect to a Common Member, the ratio set forth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hereto.</w:t>
      </w:r>
    </w:p>
    <w:p>
      <w:pPr>
        <w:spacing w:after="0" w:line="207" w:lineRule="exact"/>
        <w:rPr>
          <w:sz w:val="20"/>
          <w:szCs w:val="20"/>
          <w:color w:val="auto"/>
        </w:rPr>
      </w:pPr>
    </w:p>
    <w:p>
      <w:pPr>
        <w:jc w:val="both"/>
        <w:ind w:right="120"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or Loss</w:t>
      </w:r>
      <w:r>
        <w:rPr>
          <w:rFonts w:ascii="Times New Roman" w:cs="Times New Roman" w:eastAsia="Times New Roman" w:hAnsi="Times New Roman"/>
          <w:sz w:val="17"/>
          <w:szCs w:val="17"/>
          <w:color w:val="auto"/>
        </w:rPr>
        <w:t>”, as the case may be, means the combined items of income, gain, loss or deduction of the Company. For the avoidance of doubt, “Profit or Loss” (whether operating or otherwise) shall include items of loss or deduction attributable to foreign or other taxes paid by subsidiaries of the Company that are treated as “flowthrough” entities for U.S. Federal income tax purposes.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Amount</w:t>
      </w:r>
      <w:r>
        <w:rPr>
          <w:rFonts w:ascii="Times New Roman" w:cs="Times New Roman" w:eastAsia="Times New Roman" w:hAnsi="Times New Roman"/>
          <w:sz w:val="17"/>
          <w:szCs w:val="17"/>
          <w:color w:val="auto"/>
        </w:rPr>
        <w:t>” has the meaning set forth in Section 5.04(c)(E).</w:t>
      </w:r>
    </w:p>
    <w:p>
      <w:pPr>
        <w:spacing w:after="0" w:line="207" w:lineRule="exact"/>
        <w:rPr>
          <w:sz w:val="20"/>
          <w:szCs w:val="20"/>
          <w:color w:val="auto"/>
        </w:rPr>
      </w:pPr>
    </w:p>
    <w:p>
      <w:pPr>
        <w:ind w:right="24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Capital</w:t>
      </w:r>
      <w:r>
        <w:rPr>
          <w:rFonts w:ascii="Times New Roman" w:cs="Times New Roman" w:eastAsia="Times New Roman" w:hAnsi="Times New Roman"/>
          <w:sz w:val="17"/>
          <w:szCs w:val="17"/>
          <w:color w:val="auto"/>
        </w:rPr>
        <w:t>” means, with respect to any Profit Participation Member, the balance in such Member’s Profit Participation Capital Account from time to time.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Capital Account</w:t>
      </w:r>
      <w:r>
        <w:rPr>
          <w:rFonts w:ascii="Times New Roman" w:cs="Times New Roman" w:eastAsia="Times New Roman" w:hAnsi="Times New Roman"/>
          <w:sz w:val="17"/>
          <w:szCs w:val="17"/>
          <w:color w:val="auto"/>
        </w:rPr>
        <w:t>” has the meaning set forth in Section 5.01(a).</w:t>
      </w:r>
    </w:p>
    <w:p>
      <w:pPr>
        <w:spacing w:after="0" w:line="207" w:lineRule="exact"/>
        <w:rPr>
          <w:sz w:val="20"/>
          <w:szCs w:val="20"/>
          <w:color w:val="auto"/>
        </w:rPr>
      </w:pPr>
    </w:p>
    <w:p>
      <w:pPr>
        <w:ind w:right="20"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Interest</w:t>
      </w:r>
      <w:r>
        <w:rPr>
          <w:rFonts w:ascii="Times New Roman" w:cs="Times New Roman" w:eastAsia="Times New Roman" w:hAnsi="Times New Roman"/>
          <w:sz w:val="17"/>
          <w:szCs w:val="17"/>
          <w:color w:val="auto"/>
        </w:rPr>
        <w:t>” means, with respect to any Profit Participation Member, such Member’s Profit Participation Percentage and Profit Participation Capital and rights and obligations with respect to the Company pursuant to this Agreement and applicable law by virtue of such Member holding such Profit Participation Percentage and having such Profit Participation Capital.</w:t>
      </w:r>
    </w:p>
    <w:p>
      <w:pPr>
        <w:spacing w:after="0" w:line="170" w:lineRule="exact"/>
        <w:rPr>
          <w:sz w:val="20"/>
          <w:szCs w:val="20"/>
          <w:color w:val="auto"/>
        </w:rPr>
      </w:pPr>
    </w:p>
    <w:p>
      <w:pPr>
        <w:ind w:right="140" w:firstLine="914"/>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Member</w:t>
      </w:r>
      <w:r>
        <w:rPr>
          <w:rFonts w:ascii="Times New Roman" w:cs="Times New Roman" w:eastAsia="Times New Roman" w:hAnsi="Times New Roman"/>
          <w:sz w:val="17"/>
          <w:szCs w:val="17"/>
          <w:color w:val="auto"/>
        </w:rPr>
        <w:t>” means any person who has acquired a Profit Participation Interest pursuant to and in compliance with this Agreement and who shall have been admitted to the Company as a Profit Participation Member in accordance with this Agreement and shall not have ceased to be a Profit Participation Member under the terms of this Agreement.</w:t>
      </w:r>
    </w:p>
    <w:p>
      <w:pPr>
        <w:spacing w:after="0" w:line="170" w:lineRule="exact"/>
        <w:rPr>
          <w:sz w:val="20"/>
          <w:szCs w:val="20"/>
          <w:color w:val="auto"/>
        </w:rPr>
      </w:pPr>
    </w:p>
    <w:p>
      <w:pPr>
        <w:ind w:firstLine="914"/>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Profit Participation Member’s Proportionate Tax Share</w:t>
      </w:r>
      <w:r>
        <w:rPr>
          <w:rFonts w:ascii="Times New Roman" w:cs="Times New Roman" w:eastAsia="Times New Roman" w:hAnsi="Times New Roman"/>
          <w:sz w:val="16"/>
          <w:szCs w:val="16"/>
          <w:color w:val="auto"/>
        </w:rPr>
        <w:t>” means, with respect to a Profit Participation Member, the product of (i) the Profit Participation Tax Distribution for the fiscal year, fiscal quarter or other period, as applicable, and (ii) the Profit Participation Percentage of such Profit Participation Member for such fiscal year, fiscal quarter or other period. In the event that the Profit Participation Percentage of a Profit Participation Member changes during any fiscal year, fiscal quarter or other period, the Profit Participation Member’s Proportionate Tax Share of such Profit Participation Member and the other Profit Participation Members, as the case may be, for such fiscal year, fiscal quarter or other period shall be appropriately adjusted to take into account the Profit Participation Members’ varying interests.</w:t>
      </w:r>
    </w:p>
    <w:p>
      <w:pPr>
        <w:spacing w:after="0" w:line="162" w:lineRule="exact"/>
        <w:rPr>
          <w:sz w:val="20"/>
          <w:szCs w:val="20"/>
          <w:color w:val="auto"/>
        </w:rPr>
      </w:pPr>
    </w:p>
    <w:p>
      <w:pPr>
        <w:ind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Percentage</w:t>
      </w:r>
      <w:r>
        <w:rPr>
          <w:rFonts w:ascii="Times New Roman" w:cs="Times New Roman" w:eastAsia="Times New Roman" w:hAnsi="Times New Roman"/>
          <w:sz w:val="17"/>
          <w:szCs w:val="17"/>
          <w:color w:val="auto"/>
        </w:rPr>
        <w:t>” means, with respect to any Accounting Period, (i) the profit percentage of a Profit Participation Member under the terms of this Agreement for such Accounting Period determined in accordance with Section 4.03, or (ii) the profit percentage constituting the Unallocated Float.</w:t>
      </w:r>
    </w:p>
    <w:p>
      <w:pPr>
        <w:spacing w:after="0" w:line="158" w:lineRule="exact"/>
        <w:rPr>
          <w:sz w:val="20"/>
          <w:szCs w:val="20"/>
          <w:color w:val="auto"/>
        </w:rPr>
      </w:pPr>
    </w:p>
    <w:p>
      <w:pPr>
        <w:ind w:right="50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Tax Distribution</w:t>
      </w:r>
      <w:r>
        <w:rPr>
          <w:rFonts w:ascii="Times New Roman" w:cs="Times New Roman" w:eastAsia="Times New Roman" w:hAnsi="Times New Roman"/>
          <w:sz w:val="17"/>
          <w:szCs w:val="17"/>
          <w:color w:val="auto"/>
        </w:rPr>
        <w:t>” means, for each fiscal year, fiscal quarter or other period of the Company during the term of the Company, the product of (i) the aggregate amount of taxable income or gain allocated to the Profit Participation Members pursuant to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420"/>
          </w:cols>
          <w:pgMar w:left="240" w:top="261" w:right="239" w:bottom="1440" w:gutter="0" w:footer="0" w:header="0"/>
        </w:sectPr>
      </w:pPr>
    </w:p>
    <w:bookmarkStart w:id="97" w:name="page98"/>
    <w:bookmarkEnd w:id="97"/>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Section 5.04(a)(i) or Section 5.04(b)(i), as the case may be, for such fiscal year, fiscal quarter or other period and (ii) the average individual tax rate, as determined by the Company in its sole discretion, to be applicable for such fiscal year, fiscal quarter or other period.</w:t>
      </w:r>
    </w:p>
    <w:p>
      <w:pPr>
        <w:spacing w:after="0" w:line="158" w:lineRule="exact"/>
        <w:rPr>
          <w:sz w:val="20"/>
          <w:szCs w:val="20"/>
          <w:color w:val="auto"/>
        </w:rPr>
      </w:pPr>
    </w:p>
    <w:p>
      <w:pPr>
        <w:ind w:right="18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Quarterly Common Tax Distribution</w:t>
      </w:r>
      <w:r>
        <w:rPr>
          <w:rFonts w:ascii="Times New Roman" w:cs="Times New Roman" w:eastAsia="Times New Roman" w:hAnsi="Times New Roman"/>
          <w:sz w:val="17"/>
          <w:szCs w:val="17"/>
          <w:color w:val="auto"/>
        </w:rPr>
        <w:t>” means, for each Common Member for each of the first three fiscal quarters of the Company during the term of the Company, such Common Member’s Proportionate Tax Share for such fiscal quarter.</w:t>
      </w:r>
    </w:p>
    <w:p>
      <w:pPr>
        <w:spacing w:after="0" w:line="158" w:lineRule="exact"/>
        <w:rPr>
          <w:sz w:val="20"/>
          <w:szCs w:val="20"/>
          <w:color w:val="auto"/>
        </w:rPr>
      </w:pPr>
    </w:p>
    <w:p>
      <w:pPr>
        <w:ind w:right="38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Quarterly Profit Participation Tax Distribution</w:t>
      </w:r>
      <w:r>
        <w:rPr>
          <w:rFonts w:ascii="Times New Roman" w:cs="Times New Roman" w:eastAsia="Times New Roman" w:hAnsi="Times New Roman"/>
          <w:sz w:val="17"/>
          <w:szCs w:val="17"/>
          <w:color w:val="auto"/>
        </w:rPr>
        <w:t>” means, for each Profit Participation Member for each of the first three fiscal quarters of the Company during the term of the Company, such Profit Participation Member’s Proportionate Tax Share for such fiscal quarter.</w:t>
      </w:r>
    </w:p>
    <w:p>
      <w:pPr>
        <w:spacing w:after="0" w:line="158" w:lineRule="exact"/>
        <w:rPr>
          <w:sz w:val="20"/>
          <w:szCs w:val="20"/>
          <w:color w:val="auto"/>
        </w:rPr>
      </w:pPr>
    </w:p>
    <w:p>
      <w:pPr>
        <w:ind w:right="280" w:firstLine="9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means, with respect to any Profit Participation Member, (i) the resignation, removal (including, for the avoidance of doubt, for cause) or withdrawal of such Member from the Company, (ii) such Member ceasing to be a Managing Director, (iii) the purported Transfer by such Member of his or her Profit Participation Interest in violation of Article VII, (iv) the death of such Member, or (v) the occurrence with respect to such Member of any of the events set forth in Section 18-304 of the Act. “</w:t>
      </w:r>
      <w:r>
        <w:rPr>
          <w:rFonts w:ascii="Times New Roman" w:cs="Times New Roman" w:eastAsia="Times New Roman" w:hAnsi="Times New Roman"/>
          <w:sz w:val="17"/>
          <w:szCs w:val="17"/>
          <w:u w:val="single" w:color="auto"/>
          <w:color w:val="auto"/>
        </w:rPr>
        <w:t>Retired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Retiring</w:t>
      </w:r>
      <w:r>
        <w:rPr>
          <w:rFonts w:ascii="Times New Roman" w:cs="Times New Roman" w:eastAsia="Times New Roman" w:hAnsi="Times New Roman"/>
          <w:sz w:val="17"/>
          <w:szCs w:val="17"/>
          <w:color w:val="auto"/>
        </w:rPr>
        <w:t>” have meanings correlative thereto.</w:t>
      </w:r>
    </w:p>
    <w:p>
      <w:pPr>
        <w:spacing w:after="0" w:line="173" w:lineRule="exact"/>
        <w:rPr>
          <w:sz w:val="20"/>
          <w:szCs w:val="20"/>
          <w:color w:val="auto"/>
        </w:rPr>
      </w:pPr>
    </w:p>
    <w:p>
      <w:pPr>
        <w:ind w:firstLine="914"/>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Specific Tax Rate</w:t>
      </w:r>
      <w:r>
        <w:rPr>
          <w:rFonts w:ascii="Times New Roman" w:cs="Times New Roman" w:eastAsia="Times New Roman" w:hAnsi="Times New Roman"/>
          <w:sz w:val="17"/>
          <w:szCs w:val="17"/>
          <w:color w:val="auto"/>
        </w:rPr>
        <w:t>” means, with respect to a Common Member, the highest aggregate marginal statutory federal, state, local and foreign income, franchise and branch profits tax rate (determined taking into account the deductibility of state and local income taxes for federal income tax purposes and the creditability or deductibility of foreign income taxes for federal income tax purposes) applicable to a person or entity, as appropriate, whose principal tax residence is in the same national jurisdiction as such Common Member on income of the same character and source as the income allocated to such Common Member pursuant to Section 5.04(a) (ii) for such fiscal year, fiscal quarter or other period.</w:t>
      </w:r>
    </w:p>
    <w:p>
      <w:pPr>
        <w:spacing w:after="0" w:line="178" w:lineRule="exact"/>
        <w:rPr>
          <w:sz w:val="20"/>
          <w:szCs w:val="20"/>
          <w:color w:val="auto"/>
        </w:rPr>
      </w:pPr>
    </w:p>
    <w:p>
      <w:pPr>
        <w:ind w:right="100" w:firstLine="914"/>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limited liability company, company, partnership, trust, association or other legal entity or organization of which such person (either directly or through one or more Subsidiaries of such person) (i) owns, directly or indirectly, a majority of the capital stock or other equity interests the holders of which are generally entitled to vote for the election of the board of directors or other governing body of such corporation, limited liability company, partnership, trust, association or other legal entity or organization, or (ii) is otherwise entitled to exercise (A) a majority of the voting power generally in the election of the board of directors or other governing body of such corporation, limited liability company, partnership, trust, association or other legal entity or organization or (B) control of such corporation, limited liability company, partnership, trust, association or other legal entity or organization.</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Rate</w:t>
      </w:r>
      <w:r>
        <w:rPr>
          <w:rFonts w:ascii="Times New Roman" w:cs="Times New Roman" w:eastAsia="Times New Roman" w:hAnsi="Times New Roman"/>
          <w:sz w:val="17"/>
          <w:szCs w:val="17"/>
          <w:color w:val="auto"/>
        </w:rPr>
        <w:t>” means the greatest of any Common Members’ Specific Tax Rate.</w:t>
      </w:r>
    </w:p>
    <w:p>
      <w:pPr>
        <w:spacing w:after="0" w:line="207" w:lineRule="exact"/>
        <w:rPr>
          <w:sz w:val="20"/>
          <w:szCs w:val="20"/>
          <w:color w:val="auto"/>
        </w:rPr>
      </w:pPr>
    </w:p>
    <w:p>
      <w:pPr>
        <w:ind w:right="140" w:firstLine="91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any transfer, sale, conveyance, assignment, gift, hypothecation, pledge or other disposition, whether voluntary or by operation of law, of all or any part of an Interest or any right, title or interest therein.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400"/>
          </w:cols>
          <w:pgMar w:left="240" w:top="261" w:right="259" w:bottom="1440" w:gutter="0" w:footer="0" w:header="0"/>
        </w:sectPr>
      </w:pPr>
    </w:p>
    <w:bookmarkStart w:id="98" w:name="page99"/>
    <w:bookmarkEnd w:id="98"/>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means the transferee in a Transfer or proposed Transfer.</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Unallocated Entity</w:t>
      </w:r>
      <w:r>
        <w:rPr>
          <w:rFonts w:ascii="Times New Roman" w:cs="Times New Roman" w:eastAsia="Times New Roman" w:hAnsi="Times New Roman"/>
          <w:sz w:val="17"/>
          <w:szCs w:val="17"/>
          <w:color w:val="auto"/>
        </w:rPr>
        <w:t>” has the meaning set forth in Section 5.04(e)(i).</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Unallocated Float</w:t>
      </w:r>
      <w:r>
        <w:rPr>
          <w:rFonts w:ascii="Times New Roman" w:cs="Times New Roman" w:eastAsia="Times New Roman" w:hAnsi="Times New Roman"/>
          <w:sz w:val="17"/>
          <w:szCs w:val="17"/>
          <w:color w:val="auto"/>
        </w:rPr>
        <w:t>” means any Profit Participation Percentage for any Accounting Period that is not allocated to a particular Member.</w:t>
      </w:r>
    </w:p>
    <w:p>
      <w:pPr>
        <w:spacing w:after="0" w:line="207" w:lineRule="exact"/>
        <w:rPr>
          <w:sz w:val="20"/>
          <w:szCs w:val="20"/>
          <w:color w:val="auto"/>
        </w:rPr>
      </w:pPr>
    </w:p>
    <w:p>
      <w:pPr>
        <w:ind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Other Definitional Provisions.</w:t>
      </w:r>
      <w:r>
        <w:rPr>
          <w:rFonts w:ascii="Times New Roman" w:cs="Times New Roman" w:eastAsia="Times New Roman" w:hAnsi="Times New Roman"/>
          <w:sz w:val="17"/>
          <w:szCs w:val="17"/>
          <w:color w:val="auto"/>
        </w:rPr>
        <w:t xml:space="preserve"> Wherever required by the context of this Agreement, the singular shall include the plural and vice versa, and the masculine gender shall include the feminine and neuter genders and vice versa, and references to any agreement, document or instrument shall be deemed to refer to such agreement, document or instrument as amended, supplemented or modified from time to time. When used herein:</w:t>
      </w:r>
    </w:p>
    <w:p>
      <w:pPr>
        <w:spacing w:after="0" w:line="69" w:lineRule="exact"/>
        <w:rPr>
          <w:sz w:val="20"/>
          <w:szCs w:val="20"/>
          <w:color w:val="auto"/>
        </w:rPr>
      </w:pPr>
    </w:p>
    <w:p>
      <w:pPr>
        <w:ind w:left="1120" w:hanging="224"/>
        <w:spacing w:after="0"/>
        <w:tabs>
          <w:tab w:leader="none" w:pos="11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“or” is not exclusive;</w:t>
      </w:r>
    </w:p>
    <w:p>
      <w:pPr>
        <w:spacing w:after="0" w:line="106" w:lineRule="exact"/>
        <w:rPr>
          <w:rFonts w:ascii="Times New Roman" w:cs="Times New Roman" w:eastAsia="Times New Roman" w:hAnsi="Times New Roman"/>
          <w:sz w:val="17"/>
          <w:szCs w:val="17"/>
          <w:color w:val="auto"/>
        </w:rPr>
      </w:pPr>
    </w:p>
    <w:p>
      <w:pPr>
        <w:ind w:left="460" w:right="300" w:firstLine="436"/>
        <w:spacing w:after="0" w:line="260" w:lineRule="auto"/>
        <w:tabs>
          <w:tab w:leader="none" w:pos="11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“control”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by contract or otherwise;</w:t>
      </w:r>
    </w:p>
    <w:p>
      <w:pPr>
        <w:spacing w:after="0" w:line="69" w:lineRule="exact"/>
        <w:rPr>
          <w:rFonts w:ascii="Times New Roman" w:cs="Times New Roman" w:eastAsia="Times New Roman" w:hAnsi="Times New Roman"/>
          <w:sz w:val="17"/>
          <w:szCs w:val="17"/>
          <w:color w:val="auto"/>
        </w:rPr>
      </w:pPr>
    </w:p>
    <w:p>
      <w:pPr>
        <w:ind w:left="1120" w:hanging="224"/>
        <w:spacing w:after="0"/>
        <w:tabs>
          <w:tab w:leader="none" w:pos="11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“including,” “includes,” “included” and “include” are deemed to be followed by the words “without limitation”;</w:t>
      </w:r>
    </w:p>
    <w:p>
      <w:pPr>
        <w:spacing w:after="0" w:line="106" w:lineRule="exact"/>
        <w:rPr>
          <w:rFonts w:ascii="Times New Roman" w:cs="Times New Roman" w:eastAsia="Times New Roman" w:hAnsi="Times New Roman"/>
          <w:sz w:val="17"/>
          <w:szCs w:val="17"/>
          <w:color w:val="auto"/>
        </w:rPr>
      </w:pPr>
    </w:p>
    <w:p>
      <w:pPr>
        <w:ind w:left="460" w:right="320" w:firstLine="436"/>
        <w:spacing w:after="0" w:line="274" w:lineRule="auto"/>
        <w:tabs>
          <w:tab w:leader="none" w:pos="11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“herein,” “hereof” and “hereunder” and other words of similar import refer to this Agreement as a whole and not to any particular section, paragraph or subdivision;</w:t>
      </w:r>
    </w:p>
    <w:p>
      <w:pPr>
        <w:spacing w:after="0" w:line="57" w:lineRule="exact"/>
        <w:rPr>
          <w:rFonts w:ascii="Times New Roman" w:cs="Times New Roman" w:eastAsia="Times New Roman" w:hAnsi="Times New Roman"/>
          <w:sz w:val="17"/>
          <w:szCs w:val="17"/>
          <w:color w:val="auto"/>
        </w:rPr>
      </w:pPr>
    </w:p>
    <w:p>
      <w:pPr>
        <w:ind w:left="460" w:right="320" w:firstLine="436"/>
        <w:spacing w:after="0" w:line="274" w:lineRule="auto"/>
        <w:tabs>
          <w:tab w:leader="none" w:pos="112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“person” means any individual, corporation, limited liability company, trust, joint venture, association, company, partnership or other legal entity or a government or any department or agency thereof or self-regulatory organization; and</w:t>
      </w:r>
    </w:p>
    <w:p>
      <w:pPr>
        <w:spacing w:after="0" w:line="57" w:lineRule="exact"/>
        <w:rPr>
          <w:rFonts w:ascii="Times New Roman" w:cs="Times New Roman" w:eastAsia="Times New Roman" w:hAnsi="Times New Roman"/>
          <w:sz w:val="17"/>
          <w:szCs w:val="17"/>
          <w:color w:val="auto"/>
        </w:rPr>
      </w:pPr>
    </w:p>
    <w:p>
      <w:pPr>
        <w:ind w:left="460" w:right="320" w:firstLine="436"/>
        <w:spacing w:after="0" w:line="306" w:lineRule="auto"/>
        <w:tabs>
          <w:tab w:leader="none" w:pos="110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section, paragraph or clause references not attributed to a particular document shall be references to such parts of this Agreement, and all exhibit, annex and schedule references not attributed to a particular document shall be references to such exhibits, annexes and schedules to this Agreement.</w:t>
      </w:r>
    </w:p>
    <w:p>
      <w:pPr>
        <w:spacing w:after="0" w:line="135" w:lineRule="exact"/>
        <w:rPr>
          <w:sz w:val="20"/>
          <w:szCs w:val="20"/>
          <w:color w:val="auto"/>
        </w:rPr>
      </w:pPr>
    </w:p>
    <w:p>
      <w:pPr>
        <w:ind w:right="24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References to Schedules.</w:t>
      </w:r>
      <w:r>
        <w:rPr>
          <w:rFonts w:ascii="Times New Roman" w:cs="Times New Roman" w:eastAsia="Times New Roman" w:hAnsi="Times New Roman"/>
          <w:sz w:val="17"/>
          <w:szCs w:val="17"/>
          <w:color w:val="auto"/>
        </w:rPr>
        <w:t xml:space="preserve"> The Chief Executive Officer and General Counsel shall maintain and revise from time to time all schedules referred to in this Agreement in accordance with this Agreement. Notwithstanding anything in Section 10.02 to the contrary, any such revision shall not be deemed an amendment to this Agreement, and shall not require any act, vote or approval of any person. The Company shall not be obligated by this Agreement to distribute or otherwise provide to the Members copies of or access to such schedules.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380"/>
          </w:cols>
          <w:pgMar w:left="240" w:top="261" w:right="2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ARTICLE II</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FORMATION, CONTINUATION AND POWERS</w:t>
      </w:r>
    </w:p>
    <w:p>
      <w:pPr>
        <w:spacing w:after="0" w:line="207" w:lineRule="exact"/>
        <w:rPr>
          <w:sz w:val="20"/>
          <w:szCs w:val="20"/>
          <w:color w:val="auto"/>
        </w:rPr>
      </w:pPr>
    </w:p>
    <w:p>
      <w:pPr>
        <w:ind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Formation and Continuation.</w:t>
      </w:r>
      <w:r>
        <w:rPr>
          <w:rFonts w:ascii="Times New Roman" w:cs="Times New Roman" w:eastAsia="Times New Roman" w:hAnsi="Times New Roman"/>
          <w:sz w:val="17"/>
          <w:szCs w:val="17"/>
          <w:color w:val="auto"/>
        </w:rPr>
        <w:t xml:space="preserve"> Effective as of 5:00 a.m., New York City time, on March 3, 2000, the Company was converted into a limited liability company pursuant to the provisions of the Act by the filing of the Certificate of Conversion and the Certificate of Formation. Pursuant to the Act, the existence of the Company is deemed to have commenced on June 12, 1984, the date the Company’s prior partnership was formed.</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xml:space="preserve"> The name of the Company is “Lazard Group LLC”.</w:t>
      </w:r>
    </w:p>
    <w:p>
      <w:pPr>
        <w:spacing w:after="0" w:line="207" w:lineRule="exact"/>
        <w:rPr>
          <w:sz w:val="20"/>
          <w:szCs w:val="20"/>
          <w:color w:val="auto"/>
        </w:rPr>
      </w:pPr>
    </w:p>
    <w:p>
      <w:pPr>
        <w:ind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Purpose and Scope of Activity.</w:t>
      </w:r>
      <w:r>
        <w:rPr>
          <w:rFonts w:ascii="Times New Roman" w:cs="Times New Roman" w:eastAsia="Times New Roman" w:hAnsi="Times New Roman"/>
          <w:sz w:val="17"/>
          <w:szCs w:val="17"/>
          <w:color w:val="auto"/>
        </w:rPr>
        <w:t xml:space="preserve"> The Company has been formed for the object and purpose of, and the nature of the business to be conducted by the Company is, engaging in any lawful business purpose or activity for which limited liability companies may be formed under the Act, and engaging in any and all activities necessary or incidental to the foregoing. The Company shall possess and may exercise all the powers and privileges granted by the Act or by any other law or by this Agreement, together with any powers incidental thereto, that are necessary or convenient to the conduct, promotion or attainment of the business, purposes or activities of the Company.</w:t>
      </w:r>
    </w:p>
    <w:p>
      <w:pPr>
        <w:spacing w:after="0" w:line="178" w:lineRule="exact"/>
        <w:rPr>
          <w:sz w:val="20"/>
          <w:szCs w:val="20"/>
          <w:color w:val="auto"/>
        </w:rPr>
      </w:pPr>
    </w:p>
    <w:p>
      <w:pPr>
        <w:ind w:right="26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Principal Place of Business.</w:t>
      </w:r>
      <w:r>
        <w:rPr>
          <w:rFonts w:ascii="Times New Roman" w:cs="Times New Roman" w:eastAsia="Times New Roman" w:hAnsi="Times New Roman"/>
          <w:sz w:val="17"/>
          <w:szCs w:val="17"/>
          <w:color w:val="auto"/>
        </w:rPr>
        <w:t xml:space="preserve"> For purposes of the Act, the principal place of business of the Company shall be located in New York, New York or at such other place as may hereafter be designated from time to time by the Lazard Board. Company, committee and board meetings shall take place at the Company’s principal place of business unless decided otherwise for any particular meeting.</w:t>
      </w:r>
    </w:p>
    <w:p>
      <w:pPr>
        <w:spacing w:after="0" w:line="170" w:lineRule="exact"/>
        <w:rPr>
          <w:sz w:val="20"/>
          <w:szCs w:val="20"/>
          <w:color w:val="auto"/>
        </w:rPr>
      </w:pPr>
    </w:p>
    <w:p>
      <w:pPr>
        <w:ind w:right="2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Registered Agent and Office.</w:t>
      </w:r>
      <w:r>
        <w:rPr>
          <w:rFonts w:ascii="Times New Roman" w:cs="Times New Roman" w:eastAsia="Times New Roman" w:hAnsi="Times New Roman"/>
          <w:sz w:val="17"/>
          <w:szCs w:val="17"/>
          <w:color w:val="auto"/>
        </w:rPr>
        <w:t xml:space="preserve"> The registered agent for service of process is, and the mailing address of the registered office of the Company in the State of Delaware is in care of, The Corporation Trust Company, 1209 Orange Street, Wilmington, Delaware. At any time, the Company may designate another registered agent or registered office.</w:t>
      </w:r>
    </w:p>
    <w:p>
      <w:pPr>
        <w:spacing w:after="0" w:line="170" w:lineRule="exact"/>
        <w:rPr>
          <w:sz w:val="20"/>
          <w:szCs w:val="20"/>
          <w:color w:val="auto"/>
        </w:rPr>
      </w:pPr>
    </w:p>
    <w:p>
      <w:pPr>
        <w:jc w:val="both"/>
        <w:ind w:right="30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Authorized Persons.</w:t>
      </w:r>
      <w:r>
        <w:rPr>
          <w:rFonts w:ascii="Times New Roman" w:cs="Times New Roman" w:eastAsia="Times New Roman" w:hAnsi="Times New Roman"/>
          <w:sz w:val="17"/>
          <w:szCs w:val="17"/>
          <w:color w:val="auto"/>
        </w:rPr>
        <w:t xml:space="preserve"> The officers of the Company are hereby designated as authorized persons, within the meaning of the Act, to act in connection with executing and causing to be filed, when approved by the appropriate governing body or bodies hereunder, any certificates required or permitted to be filed with the Secretary of State of the State of Delaware and any certificates (and any amendments or restatements thereof) necessary for the Company to file in any jurisdiction in which the Company is required to make a filing.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MANAGEMENT</w:t>
      </w:r>
    </w:p>
    <w:p>
      <w:pPr>
        <w:spacing w:after="0" w:line="207" w:lineRule="exact"/>
        <w:rPr>
          <w:sz w:val="20"/>
          <w:szCs w:val="20"/>
          <w:color w:val="auto"/>
        </w:rPr>
      </w:pPr>
    </w:p>
    <w:p>
      <w:pPr>
        <w:ind w:right="2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Management Generally.</w:t>
      </w:r>
      <w:r>
        <w:rPr>
          <w:rFonts w:ascii="Times New Roman" w:cs="Times New Roman" w:eastAsia="Times New Roman" w:hAnsi="Times New Roman"/>
          <w:sz w:val="17"/>
          <w:szCs w:val="17"/>
          <w:color w:val="auto"/>
        </w:rPr>
        <w:t xml:space="preserve"> Except as otherwise expressly provided in this Agreement with respect to the Managing Members, the business and affairs of the Company shall be managed under the direction of the board of directors of the Company (the “</w:t>
      </w:r>
      <w:r>
        <w:rPr>
          <w:rFonts w:ascii="Times New Roman" w:cs="Times New Roman" w:eastAsia="Times New Roman" w:hAnsi="Times New Roman"/>
          <w:sz w:val="17"/>
          <w:szCs w:val="17"/>
          <w:u w:val="single" w:color="auto"/>
          <w:color w:val="auto"/>
        </w:rPr>
        <w:t>Lazard Board</w:t>
      </w:r>
      <w:r>
        <w:rPr>
          <w:rFonts w:ascii="Times New Roman" w:cs="Times New Roman" w:eastAsia="Times New Roman" w:hAnsi="Times New Roman"/>
          <w:sz w:val="17"/>
          <w:szCs w:val="17"/>
          <w:color w:val="auto"/>
        </w:rPr>
        <w:t>”). In addition to the powers and authorities by this Agreement expressly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420"/>
          </w:cols>
          <w:pgMar w:left="240" w:top="261" w:right="239" w:bottom="1440" w:gutter="0" w:footer="0" w:header="0"/>
        </w:sectPr>
      </w:pPr>
    </w:p>
    <w:bookmarkStart w:id="100" w:name="page101"/>
    <w:bookmarkEnd w:id="100"/>
    <w:p>
      <w:pPr>
        <w:ind w:right="16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conferred upon them, the Lazard Board may exercise all such powers of the Company and do all such lawful acts and things as are not by the Act or by this Agreement required to be exercised or done by the Members or the Managing Members. Certain powers and authorities of the Lazard Board may be concurrently allocated to or executed by the Chief Executive Officer, or one or more other officers, when and to the extent expressly delegated thereto by the Lazard Board in accordance with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delegation may be revoked at any time and for any reason by the Lazard Board. Approval by or action taken by the Lazard Board in accordance with this Agreement shall constitute approval or action by the Company and shall be binding on the Members. Each Director on the Lazard Board shall be a “manager” of the Company within the meaning of the Act.</w:t>
      </w:r>
    </w:p>
    <w:p>
      <w:pPr>
        <w:spacing w:after="0" w:line="178" w:lineRule="exact"/>
        <w:rPr>
          <w:sz w:val="20"/>
          <w:szCs w:val="20"/>
          <w:color w:val="auto"/>
        </w:rPr>
      </w:pPr>
    </w:p>
    <w:p>
      <w:pPr>
        <w:ind w:right="60"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Lazard Board.</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Composition.</w:t>
      </w:r>
      <w:r>
        <w:rPr>
          <w:rFonts w:ascii="Times New Roman" w:cs="Times New Roman" w:eastAsia="Times New Roman" w:hAnsi="Times New Roman"/>
          <w:sz w:val="17"/>
          <w:szCs w:val="17"/>
          <w:color w:val="auto"/>
        </w:rPr>
        <w:t xml:space="preserve"> The Lazard Board shall initially consist of ten managers (the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number of Directors may be increased or decreased from time to time exclusively by the Managing Members. The members of the Lazard Board are set forth on </w:t>
      </w:r>
      <w:r>
        <w:rPr>
          <w:rFonts w:ascii="Times New Roman" w:cs="Times New Roman" w:eastAsia="Times New Roman" w:hAnsi="Times New Roman"/>
          <w:sz w:val="17"/>
          <w:szCs w:val="17"/>
          <w:u w:val="single" w:color="auto"/>
          <w:color w:val="auto"/>
        </w:rPr>
        <w:t>Schedule 3.02(a)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3.02(a)</w:t>
      </w:r>
      <w:r>
        <w:rPr>
          <w:rFonts w:ascii="Times New Roman" w:cs="Times New Roman" w:eastAsia="Times New Roman" w:hAnsi="Times New Roman"/>
          <w:sz w:val="17"/>
          <w:szCs w:val="17"/>
          <w:color w:val="auto"/>
        </w:rPr>
        <w:t xml:space="preserve"> shall be amended pursuant to Section 1.03 to reflect any change in the identity of the members of, or increase or decrease in the size of, the Lazard Board in accordance with this Agreement. Each Director shall continue in such position until his or her successor shall have been duly elected and shall have qualified or until the earlier of his or her death, disability, resignation, retirement or removal from such position.</w:t>
      </w:r>
    </w:p>
    <w:p>
      <w:pPr>
        <w:spacing w:after="0" w:line="77" w:lineRule="exact"/>
        <w:rPr>
          <w:sz w:val="20"/>
          <w:szCs w:val="20"/>
          <w:color w:val="auto"/>
        </w:rPr>
      </w:pPr>
    </w:p>
    <w:p>
      <w:pPr>
        <w:ind w:left="460" w:right="100" w:firstLine="436"/>
        <w:spacing w:after="0" w:line="260" w:lineRule="auto"/>
        <w:tabs>
          <w:tab w:leader="none" w:pos="11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Vacancies; Removal.</w:t>
      </w:r>
      <w:r>
        <w:rPr>
          <w:rFonts w:ascii="Times New Roman" w:cs="Times New Roman" w:eastAsia="Times New Roman" w:hAnsi="Times New Roman"/>
          <w:sz w:val="17"/>
          <w:szCs w:val="17"/>
          <w:color w:val="auto"/>
        </w:rPr>
        <w:t xml:space="preserve"> Vacancies resulting from death, resignation, retirement, removal from office or other cause, and newly created directorships resulting from any increase in the authorized number of Directors, may be filled only by the Managing Members. Any Director may be removed at any time, with or without cause, by the Managing Members in their sole discretion.</w:t>
      </w:r>
    </w:p>
    <w:p>
      <w:pPr>
        <w:spacing w:after="0" w:line="69" w:lineRule="exact"/>
        <w:rPr>
          <w:rFonts w:ascii="Times New Roman" w:cs="Times New Roman" w:eastAsia="Times New Roman" w:hAnsi="Times New Roman"/>
          <w:sz w:val="17"/>
          <w:szCs w:val="17"/>
          <w:color w:val="auto"/>
        </w:rPr>
      </w:pPr>
    </w:p>
    <w:p>
      <w:pPr>
        <w:ind w:left="460" w:firstLine="436"/>
        <w:spacing w:after="0" w:line="274" w:lineRule="auto"/>
        <w:tabs>
          <w:tab w:leader="none" w:pos="112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of Directors.</w:t>
      </w:r>
      <w:r>
        <w:rPr>
          <w:rFonts w:ascii="Times New Roman" w:cs="Times New Roman" w:eastAsia="Times New Roman" w:hAnsi="Times New Roman"/>
          <w:sz w:val="17"/>
          <w:szCs w:val="17"/>
          <w:color w:val="auto"/>
        </w:rPr>
        <w:t xml:space="preserve"> Directors of the Company, in their capacity as such, shall not be entitled to compensation, unless, and to the extent, approved by the Managing Members.</w:t>
      </w:r>
    </w:p>
    <w:p>
      <w:pPr>
        <w:spacing w:after="0" w:line="57" w:lineRule="exact"/>
        <w:rPr>
          <w:rFonts w:ascii="Times New Roman" w:cs="Times New Roman" w:eastAsia="Times New Roman" w:hAnsi="Times New Roman"/>
          <w:sz w:val="17"/>
          <w:szCs w:val="17"/>
          <w:color w:val="auto"/>
        </w:rPr>
      </w:pPr>
    </w:p>
    <w:p>
      <w:pPr>
        <w:ind w:left="460" w:firstLine="436"/>
        <w:spacing w:after="0" w:line="250" w:lineRule="auto"/>
        <w:tabs>
          <w:tab w:leader="none" w:pos="11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xml:space="preserve"> Meetings of the Lazard Board shall be held at the Company’s principal place of business or such other place, within or without the State of Delaware, that has been designated from time to time by the Lazard Board. Meetings of the Lazard Board for any purpose or purposes may be called at any time by (i) the Managing Members, (ii) the Chief Executive Officer, (iii) the Chairman of the Board, or (iv) a majority of the Directors then in office. Notice of any meeting of the Lazard Board shall be given to each Director at his business or residence in writing by hand delivery, first-class or overnight mail or courier service, electronic mail transmission, telegram or facsimile transmission, or orally by telephone. If mailed by first-class mail, such notice shall be deemed adequately delivered when deposited in the United States mails so addressed, with postage thereon prepaid, at least five (5) days before such meeting. If by telegram, overnight mail or courier service, such notice shall be deemed adequately delivered when the telegram is delivered to the telegraph company or the notice is delivered to the overnight mail or courier service company at least twenty-four (24) hours before such meeting. If by electronic mail transmission, such notice shall be deemed adequately delivered when the notice is transmitted at least twelve (12) hours before such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420"/>
          </w:cols>
          <w:pgMar w:left="240" w:top="261" w:right="239" w:bottom="1440" w:gutter="0" w:footer="0" w:header="0"/>
        </w:sectPr>
      </w:pPr>
    </w:p>
    <w:bookmarkStart w:id="101" w:name="page102"/>
    <w:bookmarkEnd w:id="101"/>
    <w:p>
      <w:pPr>
        <w:ind w:right="2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meeting. If by facsimile transmission, such notice shall be deemed adequately delivered when the notice is transmitted at least twelve (12) hours before such meeting. If by telephone or by hand delivery, the notice shall be given at least twelve (12) hours prior to the time set for the meeting. Neither the business to be transacted at, nor the purpose of, any regular or special meeting of the Lazard Board need be specified in the notice of such meeting. A meeting may be held at any time without notice if all the Directors are present or if those not present waive notice of the meeting in accordance with Section 3.02(g) of this Agreement.</w:t>
      </w:r>
    </w:p>
    <w:p>
      <w:pPr>
        <w:spacing w:after="0" w:line="72" w:lineRule="exact"/>
        <w:rPr>
          <w:sz w:val="20"/>
          <w:szCs w:val="20"/>
          <w:color w:val="auto"/>
        </w:rPr>
      </w:pPr>
    </w:p>
    <w:p>
      <w:pPr>
        <w:ind w:right="320" w:firstLine="436"/>
        <w:spacing w:after="0" w:line="277" w:lineRule="auto"/>
        <w:tabs>
          <w:tab w:leader="none" w:pos="66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Quorum; Alternates; Participation in Meetings by Conference Telephone Permitted.</w:t>
      </w:r>
      <w:r>
        <w:rPr>
          <w:rFonts w:ascii="Times New Roman" w:cs="Times New Roman" w:eastAsia="Times New Roman" w:hAnsi="Times New Roman"/>
          <w:sz w:val="16"/>
          <w:szCs w:val="16"/>
          <w:color w:val="auto"/>
        </w:rPr>
        <w:t xml:space="preserve"> The presence of a majority of the Directors then in office shall constitute a quorum for the transaction of business. Directors may participate in a meeting of the Lazard Board through use of conference telephone or similar communications equipment, so long as all Directors participating in such meeting can communicate with and hear one another. The Directors present at a duly organized meeting may continue to transact business until adjournment, notwithstanding the withdrawal of enough Directors to leave less than a quorum.</w:t>
      </w:r>
    </w:p>
    <w:p>
      <w:pPr>
        <w:spacing w:after="0" w:line="56" w:lineRule="exact"/>
        <w:rPr>
          <w:rFonts w:ascii="Times New Roman" w:cs="Times New Roman" w:eastAsia="Times New Roman" w:hAnsi="Times New Roman"/>
          <w:sz w:val="16"/>
          <w:szCs w:val="16"/>
          <w:color w:val="auto"/>
        </w:rPr>
      </w:pPr>
    </w:p>
    <w:p>
      <w:pPr>
        <w:ind w:right="100" w:firstLine="436"/>
        <w:spacing w:after="0" w:line="274" w:lineRule="auto"/>
        <w:tabs>
          <w:tab w:leader="none" w:pos="64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Required for Action.</w:t>
      </w:r>
      <w:r>
        <w:rPr>
          <w:rFonts w:ascii="Times New Roman" w:cs="Times New Roman" w:eastAsia="Times New Roman" w:hAnsi="Times New Roman"/>
          <w:sz w:val="17"/>
          <w:szCs w:val="17"/>
          <w:color w:val="auto"/>
        </w:rPr>
        <w:t xml:space="preserve"> The act of the majority of the Directors present at a meeting of the Lazard Board at which a quorum is present shall be the act of the Lazard Board.</w:t>
      </w:r>
    </w:p>
    <w:p>
      <w:pPr>
        <w:spacing w:after="0" w:line="57" w:lineRule="exact"/>
        <w:rPr>
          <w:rFonts w:ascii="Times New Roman" w:cs="Times New Roman" w:eastAsia="Times New Roman" w:hAnsi="Times New Roman"/>
          <w:sz w:val="17"/>
          <w:szCs w:val="17"/>
          <w:color w:val="auto"/>
        </w:rPr>
      </w:pPr>
    </w:p>
    <w:p>
      <w:pPr>
        <w:ind w:right="240" w:firstLine="436"/>
        <w:spacing w:after="0" w:line="256" w:lineRule="auto"/>
        <w:tabs>
          <w:tab w:leader="none" w:pos="67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Notice; Consent to Meeting.</w:t>
      </w:r>
      <w:r>
        <w:rPr>
          <w:rFonts w:ascii="Times New Roman" w:cs="Times New Roman" w:eastAsia="Times New Roman" w:hAnsi="Times New Roman"/>
          <w:sz w:val="17"/>
          <w:szCs w:val="17"/>
          <w:color w:val="auto"/>
        </w:rPr>
        <w:t xml:space="preserve"> Notice of a meeting need not be given to any Director who signs a waiver of notice or a consent to holding the meeting or an approval of the minutes thereof, whether before or after the meeting, or who attends the meeting without protesting, prior thereto or at its commencement, the lack of notice to such Director. All such waivers, consents and approvals shall be filed with the Company’s records and made a part of the minutes of the meeting.</w:t>
      </w:r>
    </w:p>
    <w:p>
      <w:pPr>
        <w:spacing w:after="0" w:line="72" w:lineRule="exact"/>
        <w:rPr>
          <w:rFonts w:ascii="Times New Roman" w:cs="Times New Roman" w:eastAsia="Times New Roman" w:hAnsi="Times New Roman"/>
          <w:sz w:val="17"/>
          <w:szCs w:val="17"/>
          <w:color w:val="auto"/>
        </w:rPr>
      </w:pPr>
    </w:p>
    <w:p>
      <w:pPr>
        <w:ind w:firstLine="436"/>
        <w:spacing w:after="0" w:line="256" w:lineRule="auto"/>
        <w:tabs>
          <w:tab w:leader="none" w:pos="67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by Lazard Board Without a Meeting.</w:t>
      </w:r>
      <w:r>
        <w:rPr>
          <w:rFonts w:ascii="Times New Roman" w:cs="Times New Roman" w:eastAsia="Times New Roman" w:hAnsi="Times New Roman"/>
          <w:sz w:val="17"/>
          <w:szCs w:val="17"/>
          <w:color w:val="auto"/>
        </w:rPr>
        <w:t xml:space="preserve"> Any action required or permitted to be taken by the Lazard Board may be taken without a meeting and without prior notice if a majority of the Directors then in office shall individually or collectively consent in writing to such action. Such written consent or consents shall be filed with the minutes of the proceedings of the Lazard Board. Such action by written consent shall have the same force and effect as a vote of the Lazard Board in favor of such action.</w:t>
      </w:r>
    </w:p>
    <w:p>
      <w:pPr>
        <w:spacing w:after="0" w:line="72" w:lineRule="exact"/>
        <w:rPr>
          <w:rFonts w:ascii="Times New Roman" w:cs="Times New Roman" w:eastAsia="Times New Roman" w:hAnsi="Times New Roman"/>
          <w:sz w:val="17"/>
          <w:szCs w:val="17"/>
          <w:color w:val="auto"/>
        </w:rPr>
      </w:pPr>
    </w:p>
    <w:p>
      <w:pPr>
        <w:ind w:right="40" w:firstLine="436"/>
        <w:spacing w:after="0" w:line="271" w:lineRule="auto"/>
        <w:tabs>
          <w:tab w:leader="none" w:pos="63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Executive and Other Committees.</w:t>
      </w:r>
      <w:r>
        <w:rPr>
          <w:rFonts w:ascii="Times New Roman" w:cs="Times New Roman" w:eastAsia="Times New Roman" w:hAnsi="Times New Roman"/>
          <w:sz w:val="16"/>
          <w:szCs w:val="16"/>
          <w:color w:val="auto"/>
        </w:rPr>
        <w:t xml:space="preserve"> The Lazard Board may, by resolution adopted by a majority of the Lazard Board then in office, designate an Executive Committee to exercise, subject to applicable provisions of law, all the powers of the Lazard Board in the management of the business and affairs of the Company when the Lazard Board is not in session, including the power to make distributions, to authorize the issuance of Interests if and to the extent permitted by this Agreement and to approve mergers of the Company, and may, by resolution similarly adopted, designate one or more other committees. The Executive Committee and each such other committee shall consist of two or more Directors of the Company. The Lazard Board may designate one or more Directors as alternate members of any committee, who may replace any absent or disqualified member at any meeting of the committee. Any such committee, other than</w:t>
      </w:r>
    </w:p>
    <w:p>
      <w:pPr>
        <w:spacing w:after="0" w:line="1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60"/>
          </w:cols>
          <w:pgMar w:left="700" w:top="262" w:right="239" w:bottom="1440" w:gutter="0" w:footer="0" w:header="0"/>
        </w:sectPr>
      </w:pPr>
    </w:p>
    <w:bookmarkStart w:id="102" w:name="page103"/>
    <w:bookmarkEnd w:id="102"/>
    <w:p>
      <w:pPr>
        <w:ind w:left="460" w:right="40"/>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Executive Committee (the powers of which are expressly provided for herein),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Lazard Board to act at the meeting in the place of any such absent or disqualified member. Each committee shall keep written minutes of its proceedings and shall report such proceedings to the Lazard Board when required. A majority of any committee may determine its action and fix the time and place of its meetings, unless the Lazard Board shall otherwise provide. Notice of such meetings shall be given to each member of the committee in the manner provided for in Section 3.02(d). The Lazard Board shall have power at any time to fill vacancies in, to change the membership of, or to dissolve any such committee. Nothing herein shall be deemed to prevent the Lazard Board from appointing one or more committees consisting in whole or in part of persons who are not Directors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committee shall have or may exercise any authority of the Lazard Board.</w:t>
      </w:r>
    </w:p>
    <w:p>
      <w:pPr>
        <w:spacing w:after="0" w:line="80" w:lineRule="exact"/>
        <w:rPr>
          <w:sz w:val="20"/>
          <w:szCs w:val="20"/>
          <w:color w:val="auto"/>
        </w:rPr>
      </w:pPr>
    </w:p>
    <w:p>
      <w:pPr>
        <w:ind w:left="460" w:right="300" w:firstLine="436"/>
        <w:spacing w:after="0" w:line="306" w:lineRule="auto"/>
        <w:tabs>
          <w:tab w:leader="none" w:pos="109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xml:space="preserve"> The Lazard Board shall cause to be kept a record containing the minutes of the proceedings of the meetings of the Lazard Board and of the Members, appropriate books and registers and such books of records and accounts as may be necessary for the proper conduct of the business of the Company.</w:t>
      </w:r>
    </w:p>
    <w:p>
      <w:pPr>
        <w:spacing w:after="0" w:line="34" w:lineRule="exact"/>
        <w:rPr>
          <w:rFonts w:ascii="Times New Roman" w:cs="Times New Roman" w:eastAsia="Times New Roman" w:hAnsi="Times New Roman"/>
          <w:sz w:val="16"/>
          <w:szCs w:val="16"/>
          <w:color w:val="auto"/>
        </w:rPr>
      </w:pPr>
    </w:p>
    <w:p>
      <w:pPr>
        <w:ind w:left="460" w:right="220" w:firstLine="436"/>
        <w:spacing w:after="0" w:line="260" w:lineRule="auto"/>
        <w:tabs>
          <w:tab w:leader="none" w:pos="11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w:t>
      </w:r>
      <w:r>
        <w:rPr>
          <w:rFonts w:ascii="Times New Roman" w:cs="Times New Roman" w:eastAsia="Times New Roman" w:hAnsi="Times New Roman"/>
          <w:sz w:val="17"/>
          <w:szCs w:val="17"/>
          <w:color w:val="auto"/>
        </w:rPr>
        <w:t xml:space="preserve"> To the extent of their powers set forth in this Agreement, the Directors are agents of the Company for the purpose of the Company’s business, and the actions of the Directors taken in accordance with such powers set forth in this Agreement shall bind the Company. Notwithstanding the last sentence of Section 18-402 of the Act, except as provided in this Agreement or in a resolution of the Directors, a Director may not bind the Company.</w:t>
      </w:r>
    </w:p>
    <w:p>
      <w:pPr>
        <w:spacing w:after="0" w:line="170" w:lineRule="exact"/>
        <w:rPr>
          <w:sz w:val="20"/>
          <w:szCs w:val="20"/>
          <w:color w:val="auto"/>
        </w:rPr>
      </w:pPr>
    </w:p>
    <w:p>
      <w:pPr>
        <w:ind w:firstLine="914"/>
        <w:spacing w:after="0" w:line="249"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 xml:space="preserve"> (a) The elected officers of the Company shall be a Chief Executive Officer, a Chief Financial Officer, a General Counsel, and such other officers as the Lazard Board from time to time may deem proper. The Lazard Board shall choose one of its Directors to serve as Chairman of the Board. All officers elected by the Lazard Board shall each have such powers and duties as generally pertain to their respective offices if the Company were a Delaware corporation, subject to the specific provisions of this Section 3.03. Such officers shall also have such powers and duties as from time to time may be conferred by the Lazard Board or by any committee thereof. The Lazard Board or any committee thereof may from time to time elect, or the Chief Executive Officer may appoint, such other officers (including one or more Vice Chairmen, Presidents, Vice Presidents, Secretaries, Treasurers, Controllers, Assistant Vice Presidents, Assistant Secretaries, Assistant Treasurers, and Assistant Controllers) and such agents, as may be necessary or desirable for the conduct of the business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Lazard Board shall be given prior notice of any proposed appointment by the Chief Executive Officer of any such Vice Chairman, President or Secretary. Such other officers and agents shall have such duties and shall hold their offices for such terms as shall be provided in this Agreement or as may be prescribed by the Lazard Board or such committee or by the Chief Executive Officer,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in this Section 3.03 to the contrary, such powers and duties may not impair, and shall be subordinate 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20"/>
          </w:cols>
          <w:pgMar w:left="240" w:top="261" w:right="239" w:bottom="1440" w:gutter="0" w:footer="0" w:header="0"/>
        </w:sectPr>
      </w:pPr>
    </w:p>
    <w:bookmarkStart w:id="103" w:name="page104"/>
    <w:bookmarkEnd w:id="103"/>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powers and duties of the Lazard Board set forth in Section 3.01 hereof. The identity and office of the Officers are set forth on </w:t>
      </w:r>
      <w:r>
        <w:rPr>
          <w:rFonts w:ascii="Times New Roman" w:cs="Times New Roman" w:eastAsia="Times New Roman" w:hAnsi="Times New Roman"/>
          <w:sz w:val="17"/>
          <w:szCs w:val="17"/>
          <w:u w:val="single" w:color="auto"/>
          <w:color w:val="auto"/>
        </w:rPr>
        <w:t>Schedule 3.03(a)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3.03(a)</w:t>
      </w:r>
      <w:r>
        <w:rPr>
          <w:rFonts w:ascii="Times New Roman" w:cs="Times New Roman" w:eastAsia="Times New Roman" w:hAnsi="Times New Roman"/>
          <w:sz w:val="17"/>
          <w:szCs w:val="17"/>
          <w:color w:val="auto"/>
        </w:rPr>
        <w:t xml:space="preserve"> shall be amended pursuant to Section 1.03 to reflect any change in the identity or office of the Officers in accordance with this Agreement.</w:t>
      </w:r>
    </w:p>
    <w:p>
      <w:pPr>
        <w:spacing w:after="0" w:line="57" w:lineRule="exact"/>
        <w:rPr>
          <w:sz w:val="20"/>
          <w:szCs w:val="20"/>
          <w:color w:val="auto"/>
        </w:rPr>
      </w:pPr>
    </w:p>
    <w:p>
      <w:pPr>
        <w:ind w:left="460" w:right="20" w:firstLine="436"/>
        <w:spacing w:after="0" w:line="256" w:lineRule="auto"/>
        <w:tabs>
          <w:tab w:leader="none" w:pos="11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xml:space="preserve"> Each officer shall hold office until his or her successor shall have been duly elected and shall have qualified or until his or her death or until he or she shall resign or retire, but any officer may be removed from office with or without cause at any time by the Lazard Board or, except in the case of an officer or agent elected by the Lazard Board, the Chief Executive Officer. Such removal shall be without prejudice to the contractual rights, if any, of the person so removed.</w:t>
      </w:r>
    </w:p>
    <w:p>
      <w:pPr>
        <w:spacing w:after="0" w:line="72" w:lineRule="exact"/>
        <w:rPr>
          <w:rFonts w:ascii="Times New Roman" w:cs="Times New Roman" w:eastAsia="Times New Roman" w:hAnsi="Times New Roman"/>
          <w:sz w:val="17"/>
          <w:szCs w:val="17"/>
          <w:color w:val="auto"/>
        </w:rPr>
      </w:pPr>
    </w:p>
    <w:p>
      <w:pPr>
        <w:ind w:left="460" w:right="240" w:firstLine="436"/>
        <w:spacing w:after="0" w:line="274" w:lineRule="auto"/>
        <w:tabs>
          <w:tab w:leader="none" w:pos="112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xml:space="preserve"> The Chairman of the Board shall preside at all meetings of the Members (if any shall be called) and of the Lazard Board. The Chairman of the Board may also serve as the Chief Executive Officer, if so elected by the Lazard Board.</w:t>
      </w:r>
    </w:p>
    <w:p>
      <w:pPr>
        <w:spacing w:after="0" w:line="57" w:lineRule="exact"/>
        <w:rPr>
          <w:rFonts w:ascii="Times New Roman" w:cs="Times New Roman" w:eastAsia="Times New Roman" w:hAnsi="Times New Roman"/>
          <w:sz w:val="17"/>
          <w:szCs w:val="17"/>
          <w:color w:val="auto"/>
        </w:rPr>
      </w:pPr>
    </w:p>
    <w:p>
      <w:pPr>
        <w:ind w:left="460" w:right="60" w:firstLine="436"/>
        <w:spacing w:after="0" w:line="273" w:lineRule="auto"/>
        <w:tabs>
          <w:tab w:leader="none" w:pos="113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Chief Executive Officer.</w:t>
      </w:r>
      <w:r>
        <w:rPr>
          <w:rFonts w:ascii="Times New Roman" w:cs="Times New Roman" w:eastAsia="Times New Roman" w:hAnsi="Times New Roman"/>
          <w:sz w:val="16"/>
          <w:szCs w:val="16"/>
          <w:color w:val="auto"/>
        </w:rPr>
        <w:t xml:space="preserve"> The Chief Executive Officer shall act in a general executive capacity and shall be responsible for the general management of the affairs of the Company and shall perform all duties incidental to his or her office that may be required by law and all such other duties as are properly required of him by the Lazard Board. He or she shall make reports to the Lazard Board and the Members, and shall see that all orders and resolutions of the Lazard Board and of any committee thereof are carried into effect. The Chief Executive Officer shall, in the absence of or because of the inability to act of the Chairman of the Board, perform all duties of the Chairman of the Board and preside at all meetings of Members (if any shall be called) and of the Lazard Board.</w:t>
      </w:r>
    </w:p>
    <w:p>
      <w:pPr>
        <w:spacing w:after="0" w:line="61" w:lineRule="exact"/>
        <w:rPr>
          <w:rFonts w:ascii="Times New Roman" w:cs="Times New Roman" w:eastAsia="Times New Roman" w:hAnsi="Times New Roman"/>
          <w:sz w:val="16"/>
          <w:szCs w:val="16"/>
          <w:color w:val="auto"/>
        </w:rPr>
      </w:pPr>
    </w:p>
    <w:p>
      <w:pPr>
        <w:ind w:left="460" w:right="100" w:firstLine="436"/>
        <w:spacing w:after="0" w:line="256" w:lineRule="auto"/>
        <w:tabs>
          <w:tab w:leader="none" w:pos="112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w:t>
      </w:r>
      <w:r>
        <w:rPr>
          <w:rFonts w:ascii="Times New Roman" w:cs="Times New Roman" w:eastAsia="Times New Roman" w:hAnsi="Times New Roman"/>
          <w:sz w:val="17"/>
          <w:szCs w:val="17"/>
          <w:color w:val="auto"/>
        </w:rPr>
        <w:t xml:space="preserve"> The Chief Financial Officer shall be the chief financial officer of the Company and act in an executive financial capacity. He or she shall assist the Chief Executive Officer in the general supervision of the Company’s financial policies and affairs; and, in general, he or she shall perform all the duties incident to the office of Chief Financial Officer and such other duties as from time to time may be assigned to him by the Lazard Board or the Chief Executive Officer.</w:t>
      </w:r>
    </w:p>
    <w:p>
      <w:pPr>
        <w:spacing w:after="0" w:line="72" w:lineRule="exact"/>
        <w:rPr>
          <w:rFonts w:ascii="Times New Roman" w:cs="Times New Roman" w:eastAsia="Times New Roman" w:hAnsi="Times New Roman"/>
          <w:sz w:val="17"/>
          <w:szCs w:val="17"/>
          <w:color w:val="auto"/>
        </w:rPr>
      </w:pPr>
    </w:p>
    <w:p>
      <w:pPr>
        <w:ind w:left="460" w:right="80" w:firstLine="436"/>
        <w:spacing w:after="0" w:line="273" w:lineRule="auto"/>
        <w:tabs>
          <w:tab w:leader="none" w:pos="110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Counsel.</w:t>
      </w:r>
      <w:r>
        <w:rPr>
          <w:rFonts w:ascii="Times New Roman" w:cs="Times New Roman" w:eastAsia="Times New Roman" w:hAnsi="Times New Roman"/>
          <w:sz w:val="16"/>
          <w:szCs w:val="16"/>
          <w:color w:val="auto"/>
        </w:rPr>
        <w:t xml:space="preserve"> The General Counsel shall keep or cause to be kept in one or more books provided for that purpose, the minutes of all meetings of the Lazard Board, the committees of the Lazard Board and the Members (if any shall be called); he or she shall see that all notices are duly given in accordance with the provisions of this Agreement and as required by law; he or she shall be custodian of the records; and he or she shall see that the books, reports, statements, certificates and other documents and records required by law to be kept and filed are properly kept and filed; and, in general, he or she shall perform all the duties incident to the office of General Counsel and such other duties as from time to time may be assigned to him by the Lazard Board or the Chief Executive Officer.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00"/>
          </w:cols>
          <w:pgMar w:left="240" w:top="261" w:right="259" w:bottom="1440" w:gutter="0" w:footer="0" w:header="0"/>
        </w:sectPr>
      </w:pPr>
    </w:p>
    <w:bookmarkStart w:id="104" w:name="page105"/>
    <w:bookmarkEnd w:id="104"/>
    <w:p>
      <w:pPr>
        <w:ind w:right="120" w:firstLine="436"/>
        <w:spacing w:after="0" w:line="277" w:lineRule="auto"/>
        <w:tabs>
          <w:tab w:leader="none" w:pos="67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Other Officers.</w:t>
      </w:r>
      <w:r>
        <w:rPr>
          <w:rFonts w:ascii="Times New Roman" w:cs="Times New Roman" w:eastAsia="Times New Roman" w:hAnsi="Times New Roman"/>
          <w:sz w:val="16"/>
          <w:szCs w:val="16"/>
          <w:color w:val="auto"/>
        </w:rPr>
        <w:t xml:space="preserve"> The Lazard Board or the Chief Executive Officer may from time to time appoint other officers of the Company and assign titles and functional titles to any such individual. Such officers shall have such functions, powers and obligations, including such power to bind the Company as the Lazard Board or the Chief Executive Officer shall delegate to them. The Lazard Board or the Chief Executive Officer may from time to time appoint certain of these officers as executive officers (each, an “</w:t>
      </w:r>
      <w:r>
        <w:rPr>
          <w:rFonts w:ascii="Times New Roman" w:cs="Times New Roman" w:eastAsia="Times New Roman" w:hAnsi="Times New Roman"/>
          <w:sz w:val="16"/>
          <w:szCs w:val="16"/>
          <w:u w:val="single" w:color="auto"/>
          <w:color w:val="auto"/>
        </w:rPr>
        <w:t>Executive Officer</w:t>
      </w:r>
      <w:r>
        <w:rPr>
          <w:rFonts w:ascii="Times New Roman" w:cs="Times New Roman" w:eastAsia="Times New Roman" w:hAnsi="Times New Roman"/>
          <w:sz w:val="16"/>
          <w:szCs w:val="16"/>
          <w:color w:val="auto"/>
        </w:rPr>
        <w:t>”), with the additional power and authority set forth in this Agreement or as may be delegated to them.</w:t>
      </w:r>
    </w:p>
    <w:p>
      <w:pPr>
        <w:spacing w:after="0" w:line="56" w:lineRule="exact"/>
        <w:rPr>
          <w:rFonts w:ascii="Times New Roman" w:cs="Times New Roman" w:eastAsia="Times New Roman" w:hAnsi="Times New Roman"/>
          <w:sz w:val="16"/>
          <w:szCs w:val="16"/>
          <w:color w:val="auto"/>
        </w:rPr>
      </w:pPr>
    </w:p>
    <w:p>
      <w:pPr>
        <w:ind w:right="120" w:firstLine="436"/>
        <w:spacing w:after="0" w:line="251" w:lineRule="auto"/>
        <w:tabs>
          <w:tab w:leader="none" w:pos="67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 xml:space="preserve"> Notwithstanding any other provision contained in this Agreement and except as required by law, any contracts or other instruments may be executed and delivered in the name and on the behalf of the Company by such officer or officers of the Company as the Lazard Board may from time to time direct. Such authority may be general or confined to specific instances as the Lazard Board may determine. The Chairman of the Board, the Chief Executive Officer, Chief Financial Officer, General Counsel or any Executive Officer may execute bonds, contracts, deeds, leases and other instruments to be made or executed for or on behalf of the Company. Subject to any restrictions imposed by the Lazard Board, the Chief Executive Officer, Chief Financial Officer, General Counsel or any Executive Officer may delegate contractual powers to others under his jurisdiction, it being understood, however, that any such delegation of power shall not relieve such officer of responsibility with respect to the exercise of such delegated power.</w:t>
      </w:r>
    </w:p>
    <w:p>
      <w:pPr>
        <w:spacing w:after="0" w:line="79" w:lineRule="exact"/>
        <w:rPr>
          <w:rFonts w:ascii="Times New Roman" w:cs="Times New Roman" w:eastAsia="Times New Roman" w:hAnsi="Times New Roman"/>
          <w:sz w:val="17"/>
          <w:szCs w:val="17"/>
          <w:color w:val="auto"/>
        </w:rPr>
      </w:pPr>
    </w:p>
    <w:p>
      <w:pPr>
        <w:ind w:right="80" w:firstLine="436"/>
        <w:spacing w:after="0" w:line="251" w:lineRule="auto"/>
        <w:tabs>
          <w:tab w:leader="none" w:pos="63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xml:space="preserve"> Unless otherwise provided by resolution adopted by the Lazard Board, the Chairman of the Board, the Chief Executive Officer, Chief Financial Officer, General Counsel or any Executive Officer may from time to time appoint an attorney or attorneys or agent or agents of the Company, in the name and on behalf of the Company, to cast the votes which the Company may be entitled to cast as the holder of stock or other securities in any other person, any of whose stock or other securities may be held by the Company, at meetings of the holders of the stock or other securities of such other person, or to consent in writing, in the name of the Company as such holder, to any action by such other person, and may instruct the person or persons so appointed as to the manner of casting such votes or giving such consent, and may execute or cause to be executed in the name and on behalf of the Company and under its corporate seal or otherwise, all such written proxies or other instruments as he or she may deem necessary or proper in the premises.</w:t>
      </w:r>
    </w:p>
    <w:p>
      <w:pPr>
        <w:spacing w:after="0" w:line="79" w:lineRule="exact"/>
        <w:rPr>
          <w:rFonts w:ascii="Times New Roman" w:cs="Times New Roman" w:eastAsia="Times New Roman" w:hAnsi="Times New Roman"/>
          <w:sz w:val="17"/>
          <w:szCs w:val="17"/>
          <w:color w:val="auto"/>
        </w:rPr>
      </w:pPr>
    </w:p>
    <w:p>
      <w:pPr>
        <w:ind w:firstLine="436"/>
        <w:spacing w:after="0" w:line="256" w:lineRule="auto"/>
        <w:tabs>
          <w:tab w:leader="none" w:pos="63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Any officer may be removed by the affirmative vote of a majority of the Lazard Board then in office with or without cause. Any officer or agent appointed by the Chief Executive Officer may be removed by the Chief Executive Officer with or without cause. No elected officer shall have any contractual rights against the Company for compensation by virtue of such election beyond the date of the election of his successor, his death, his resignation or his removal, whichever event shall first occur, except as otherwise provided in an employment contract or under an employee deferred compensation plan.</w:t>
      </w:r>
    </w:p>
    <w:p>
      <w:pPr>
        <w:spacing w:after="0" w:line="1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960"/>
          </w:cols>
          <w:pgMar w:left="700" w:top="262" w:right="239" w:bottom="1440" w:gutter="0" w:footer="0" w:header="0"/>
        </w:sectPr>
      </w:pPr>
    </w:p>
    <w:bookmarkStart w:id="105" w:name="page106"/>
    <w:bookmarkEnd w:id="105"/>
    <w:p>
      <w:pPr>
        <w:ind w:left="460" w:right="300" w:firstLine="436"/>
        <w:spacing w:after="0" w:line="260" w:lineRule="auto"/>
        <w:tabs>
          <w:tab w:leader="none" w:pos="113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Vacancies.</w:t>
      </w:r>
      <w:r>
        <w:rPr>
          <w:rFonts w:ascii="Times New Roman" w:cs="Times New Roman" w:eastAsia="Times New Roman" w:hAnsi="Times New Roman"/>
          <w:sz w:val="17"/>
          <w:szCs w:val="17"/>
          <w:color w:val="auto"/>
        </w:rPr>
        <w:t xml:space="preserve"> A newly created elected office and a vacancy in any elected office because of death, resignation, or removal may be filled by the Lazard Board for the unexpired portion of the term at any meeting of the Lazard Board. Any vacancy in an office appointed by the Chief Executive Officer because of death, resignation, or removal may be filled by the Chief Executive Officer.</w:t>
      </w:r>
    </w:p>
    <w:p>
      <w:pPr>
        <w:spacing w:after="0" w:line="170" w:lineRule="exact"/>
        <w:rPr>
          <w:sz w:val="20"/>
          <w:szCs w:val="20"/>
          <w:color w:val="auto"/>
        </w:rPr>
      </w:pPr>
    </w:p>
    <w:p>
      <w:pPr>
        <w:ind w:right="2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xml:space="preserve"> Any Director or any officer, whether elected or appointed, may resign at any time by giving written notice of such resignation to the Chairman of the Board, the Chief Executive Officer or General Counsel, and such resignation shall be deemed to be effective as of the close of business on the date said notice is received by the Chairman of the Board, the Chief Executive Officer or General Counsel, or at such later time as is specified therein. No formal action shall be required of the Lazard Board or the Members (including the Managing Members) to make any such resignation effective.</w:t>
      </w:r>
    </w:p>
    <w:p>
      <w:pPr>
        <w:spacing w:after="0" w:line="173" w:lineRule="exact"/>
        <w:rPr>
          <w:sz w:val="20"/>
          <w:szCs w:val="20"/>
          <w:color w:val="auto"/>
        </w:rPr>
      </w:pPr>
    </w:p>
    <w:p>
      <w:pPr>
        <w:ind w:right="60" w:firstLine="914"/>
        <w:spacing w:after="0" w:line="277" w:lineRule="auto"/>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u w:val="single" w:color="auto"/>
          <w:color w:val="auto"/>
        </w:rPr>
        <w:t>Members</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No Member Voting Rights.</w:t>
      </w:r>
      <w:r>
        <w:rPr>
          <w:rFonts w:ascii="Times New Roman" w:cs="Times New Roman" w:eastAsia="Times New Roman" w:hAnsi="Times New Roman"/>
          <w:sz w:val="16"/>
          <w:szCs w:val="16"/>
          <w:color w:val="auto"/>
        </w:rPr>
        <w:t xml:space="preserve"> The Members shall not have voting rights under the Act, this Agreement or otherwise, and shall not be entitled to consent to, approve or authorize any actions by the Company, except in the case of the Managing Members, as set forth herein. Without in any way limiting the foregoing, the Members shall not have voting rights with respect to the matters set forth in Sections 18-209, 18-213, 18-216, 18-702, 18-704, 18-801 and 18-803 of the Act, all of which voting and approval rights shall be vested in the Lazard Board, except as expressly set forth herein with respect to the Managing Members.</w:t>
      </w:r>
    </w:p>
    <w:p>
      <w:pPr>
        <w:spacing w:after="0" w:line="57" w:lineRule="exact"/>
        <w:rPr>
          <w:sz w:val="20"/>
          <w:szCs w:val="20"/>
          <w:color w:val="auto"/>
        </w:rPr>
      </w:pPr>
    </w:p>
    <w:p>
      <w:pPr>
        <w:ind w:left="460" w:right="40" w:firstLine="436"/>
        <w:spacing w:after="0" w:line="253" w:lineRule="auto"/>
        <w:tabs>
          <w:tab w:leader="none" w:pos="11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 of Members.</w:t>
      </w:r>
      <w:r>
        <w:rPr>
          <w:rFonts w:ascii="Times New Roman" w:cs="Times New Roman" w:eastAsia="Times New Roman" w:hAnsi="Times New Roman"/>
          <w:sz w:val="17"/>
          <w:szCs w:val="17"/>
          <w:color w:val="auto"/>
        </w:rPr>
        <w:t xml:space="preserve"> Except as expressly set forth herein with respect to the Managing Members, no Member shall have any power or authority, in such Member’s capacity as a Member, to act for or bind the Company except to the extent that such Member is so authorized in writing prior thereto by the Lazard Board. Without limiting the generality of the foregoing, except as expressly set forth herein with respect to the Managing Members, no Member, as such, shall, except as so authorized, have any power or authority to incur any liability or execute any instrument, agreement or other document for or on behalf of the Company, whether in the Company’s name or otherwise.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IV</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MEMBERS AND INTERESTS</w:t>
      </w:r>
    </w:p>
    <w:p>
      <w:pPr>
        <w:spacing w:after="0" w:line="207" w:lineRule="exact"/>
        <w:rPr>
          <w:sz w:val="20"/>
          <w:szCs w:val="20"/>
          <w:color w:val="auto"/>
        </w:rPr>
      </w:pPr>
    </w:p>
    <w:p>
      <w:pPr>
        <w:ind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xml:space="preserve"> The Company shall have Managing Members, Common Members and Profit Participation Members.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sets forth the name and address of the Common Members and the Managing Members, and </w:t>
      </w:r>
      <w:r>
        <w:rPr>
          <w:rFonts w:ascii="Times New Roman" w:cs="Times New Roman" w:eastAsia="Times New Roman" w:hAnsi="Times New Roman"/>
          <w:sz w:val="17"/>
          <w:szCs w:val="17"/>
          <w:u w:val="single" w:color="auto"/>
          <w:color w:val="auto"/>
        </w:rPr>
        <w:t>Schedule 4.01</w:t>
      </w:r>
      <w:r>
        <w:rPr>
          <w:rFonts w:ascii="Times New Roman" w:cs="Times New Roman" w:eastAsia="Times New Roman" w:hAnsi="Times New Roman"/>
          <w:sz w:val="17"/>
          <w:szCs w:val="17"/>
          <w:color w:val="auto"/>
        </w:rPr>
        <w:t xml:space="preserve"> sets forth the name and address of the Profit Participation Members. Such schedules shall be amended pursuant to Section 1.03 to reflect any change in the identity or address of the Members in accordance with this Agreement. Each person admitted to the Company as a Member pursuant to this Agreement shall be a member of the Company until such person ceases to be a Member in accordance with the provisions of this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20"/>
          </w:cols>
          <w:pgMar w:left="240" w:top="262" w:right="239" w:bottom="1440" w:gutter="0" w:footer="0" w:header="0"/>
        </w:sectPr>
      </w:pPr>
    </w:p>
    <w:bookmarkStart w:id="106" w:name="page107"/>
    <w:bookmarkEnd w:id="106"/>
    <w:p>
      <w:pPr>
        <w:ind w:right="220" w:firstLine="914"/>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4.02. </w:t>
      </w:r>
      <w:r>
        <w:rPr>
          <w:rFonts w:ascii="Times New Roman" w:cs="Times New Roman" w:eastAsia="Times New Roman" w:hAnsi="Times New Roman"/>
          <w:sz w:val="17"/>
          <w:szCs w:val="17"/>
          <w:u w:val="single" w:color="auto"/>
          <w:color w:val="auto"/>
        </w:rPr>
        <w:t>Managing Member.</w:t>
      </w:r>
      <w:r>
        <w:rPr>
          <w:rFonts w:ascii="Times New Roman" w:cs="Times New Roman" w:eastAsia="Times New Roman" w:hAnsi="Times New Roman"/>
          <w:sz w:val="17"/>
          <w:szCs w:val="17"/>
          <w:color w:val="auto"/>
        </w:rPr>
        <w:t xml:space="preserve"> The Company shall have one or two managing members (each, a “</w:t>
      </w:r>
      <w:r>
        <w:rPr>
          <w:rFonts w:ascii="Times New Roman" w:cs="Times New Roman" w:eastAsia="Times New Roman" w:hAnsi="Times New Roman"/>
          <w:sz w:val="17"/>
          <w:szCs w:val="17"/>
          <w:u w:val="single" w:color="auto"/>
          <w:color w:val="auto"/>
        </w:rPr>
        <w:t>Managing Member</w:t>
      </w:r>
      <w:r>
        <w:rPr>
          <w:rFonts w:ascii="Times New Roman" w:cs="Times New Roman" w:eastAsia="Times New Roman" w:hAnsi="Times New Roman"/>
          <w:sz w:val="17"/>
          <w:szCs w:val="17"/>
          <w:color w:val="auto"/>
        </w:rPr>
        <w:t xml:space="preserve">”), who shall have the rights, powers, duties and obligations set forth in this Agreement.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shall designate whether a Member is a Managing Member.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shall be amended pursuant to Section 1.03 to reflect any change in the identity or address of each Managing Member in accordance with this Agreement. A Managing Member shall not be allocated, distributed or entitled to receive any interest in the profits, losses, assets or capital of the Company by reason of being designated as a Managing Member.</w:t>
      </w:r>
    </w:p>
    <w:p>
      <w:pPr>
        <w:spacing w:after="0" w:line="178" w:lineRule="exact"/>
        <w:rPr>
          <w:sz w:val="20"/>
          <w:szCs w:val="20"/>
          <w:color w:val="auto"/>
        </w:rPr>
      </w:pPr>
    </w:p>
    <w:p>
      <w:pPr>
        <w:ind w:firstLine="914"/>
        <w:spacing w:after="0" w:line="253" w:lineRule="auto"/>
        <w:rPr>
          <w:sz w:val="20"/>
          <w:szCs w:val="20"/>
          <w:color w:val="auto"/>
        </w:rPr>
      </w:pPr>
      <w:r>
        <w:rPr>
          <w:rFonts w:ascii="Times New Roman" w:cs="Times New Roman" w:eastAsia="Times New Roman" w:hAnsi="Times New Roman"/>
          <w:sz w:val="17"/>
          <w:szCs w:val="17"/>
          <w:color w:val="auto"/>
        </w:rPr>
        <w:t>In the event there shall be two Managing Members: (a) each Managing Member shall be entitled to 50% of the voting power with respect to any action to be taken by the Managing Members hereunder, such that each action of the Managing Members shall require the consent of both Managing Members, (b) each reference to the Managing Member in this Agreement shall be deemed to refer to both Managing Members unless the context otherwise requires, and (c) each reference to a consent, authorization, approval or other action of the Managing Member shall be deemed to refer to the consent, authorization, approval or other action of the Managing Members (taken in accordance with clause (a) of this sentence).</w:t>
      </w:r>
    </w:p>
    <w:p>
      <w:pPr>
        <w:spacing w:after="0" w:line="77" w:lineRule="exact"/>
        <w:rPr>
          <w:sz w:val="20"/>
          <w:szCs w:val="20"/>
          <w:color w:val="auto"/>
        </w:rPr>
      </w:pPr>
    </w:p>
    <w:p>
      <w:pPr>
        <w:ind w:right="100" w:firstLine="914"/>
        <w:spacing w:after="0" w:line="252"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Interests.</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Common Interests.</w:t>
      </w:r>
      <w:r>
        <w:rPr>
          <w:rFonts w:ascii="Times New Roman" w:cs="Times New Roman" w:eastAsia="Times New Roman" w:hAnsi="Times New Roman"/>
          <w:sz w:val="17"/>
          <w:szCs w:val="17"/>
          <w:color w:val="auto"/>
        </w:rPr>
        <w:t xml:space="preserve"> Each Common Member shall be deemed to have a Common Interest in the Company, which Common Interest shall entitle such holder to the rights, and subject such holder to the obligations, set forth in this Agreement. The Lazard Board shall have the authority to cause the Company to issue Common Interests in its discretion. The Managing Members shall have the authority to cause the Company to issue Common Interests to any Common Member and to any person who is admitted as an additional Common Member in accordance with this Agreement.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sets forth the Percentage Interest of each of the Common Members. Such schedule shall be amended pursuant to Section 1.03 to reflect any issuance of Common Interests in accordance with this Agreement.</w:t>
      </w:r>
    </w:p>
    <w:p>
      <w:pPr>
        <w:spacing w:after="0" w:line="77" w:lineRule="exact"/>
        <w:rPr>
          <w:sz w:val="20"/>
          <w:szCs w:val="20"/>
          <w:color w:val="auto"/>
        </w:rPr>
      </w:pPr>
    </w:p>
    <w:p>
      <w:pPr>
        <w:ind w:left="460" w:right="160" w:firstLine="436"/>
        <w:spacing w:after="0" w:line="253" w:lineRule="auto"/>
        <w:tabs>
          <w:tab w:leader="none" w:pos="11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Profit Participation Interests.</w:t>
      </w:r>
      <w:r>
        <w:rPr>
          <w:rFonts w:ascii="Times New Roman" w:cs="Times New Roman" w:eastAsia="Times New Roman" w:hAnsi="Times New Roman"/>
          <w:sz w:val="17"/>
          <w:szCs w:val="17"/>
          <w:color w:val="auto"/>
        </w:rPr>
        <w:t xml:space="preserve"> (i) The Profit Participation Interests shall consist of, and be allocated as, Profit Participation Percentages and Profit Participation Capital. The aggregate of all Profit Participation Percentages shall total 100%. The Profit Participation Percentages allocated to each of the Profit Participation Members and the Profit Participation Percentage contained in the Unallocated Float are set forth on </w:t>
      </w:r>
      <w:r>
        <w:rPr>
          <w:rFonts w:ascii="Times New Roman" w:cs="Times New Roman" w:eastAsia="Times New Roman" w:hAnsi="Times New Roman"/>
          <w:sz w:val="17"/>
          <w:szCs w:val="17"/>
          <w:u w:val="single" w:color="auto"/>
          <w:color w:val="auto"/>
        </w:rPr>
        <w:t>Schedule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4.01</w:t>
      </w:r>
      <w:r>
        <w:rPr>
          <w:rFonts w:ascii="Times New Roman" w:cs="Times New Roman" w:eastAsia="Times New Roman" w:hAnsi="Times New Roman"/>
          <w:sz w:val="17"/>
          <w:szCs w:val="17"/>
          <w:color w:val="auto"/>
        </w:rPr>
        <w:t xml:space="preserve"> shall be amended pursuant to Section 1.03 to reflect any change in identity of the Profit Participation Members and the Profit Participation Percentages in accordance with this Agreement.</w:t>
      </w:r>
    </w:p>
    <w:p>
      <w:pPr>
        <w:spacing w:after="0" w:line="77" w:lineRule="exact"/>
        <w:rPr>
          <w:rFonts w:ascii="Times New Roman" w:cs="Times New Roman" w:eastAsia="Times New Roman" w:hAnsi="Times New Roman"/>
          <w:sz w:val="17"/>
          <w:szCs w:val="17"/>
          <w:color w:val="auto"/>
        </w:rPr>
      </w:pPr>
    </w:p>
    <w:p>
      <w:pPr>
        <w:ind w:left="920" w:right="240" w:firstLine="415"/>
        <w:spacing w:after="0" w:line="252" w:lineRule="auto"/>
        <w:tabs>
          <w:tab w:leader="none" w:pos="158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Accounting Period, the Company (by action of the Chief Executive Officer or the Lazard Board) may from time to time change or otherwise modify any or all of the Profit Participation Percentages in his or her sole discretion, including by changing any Member’s Profit Participation Percentage to zero, allocating additional Profit Participation Interests from the Unallocated Float to new or existing Profit Participation Members or increasing or decreasing the aggregate Profit Participation Percentages allocated to the Members (with a corresponding decrease or increase in the Profit Participation Percentage contained in the Unallocated Float);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of all Profit Participation Percentages allocated to the Members and the Profit Participation Percentages contained in the Unallocated Float shall total 100%.</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261" w:right="239" w:bottom="1440" w:gutter="0" w:footer="0" w:header="0"/>
        </w:sectPr>
      </w:pPr>
    </w:p>
    <w:bookmarkStart w:id="107" w:name="page108"/>
    <w:bookmarkEnd w:id="107"/>
    <w:p>
      <w:pPr>
        <w:ind w:left="920" w:right="20" w:firstLine="415"/>
        <w:spacing w:after="0" w:line="253" w:lineRule="auto"/>
        <w:tabs>
          <w:tab w:leader="none" w:pos="16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Notwithstanding anything herein to the contrary, the Lazard Board shall have the power, in its sole discretion, to terminate the Profit Participation Interests, effective at the time specified in the resolutions of the Lazard Board approving such termination or, if not so specified in such resolutions, at the time that the resolutions approving such termination were approved by the Lazard Board. Upon termination of the Profit Participation Interests, all Profit Participation Interests shall immediately cease to be outstanding and shall no longer be allocable by the Company, and such termination shall have the effects set forth in Section 4.04(b)(ii).</w:t>
      </w:r>
    </w:p>
    <w:p>
      <w:pPr>
        <w:spacing w:after="0" w:line="178" w:lineRule="exact"/>
        <w:rPr>
          <w:sz w:val="20"/>
          <w:szCs w:val="20"/>
          <w:color w:val="auto"/>
        </w:rPr>
      </w:pPr>
    </w:p>
    <w:p>
      <w:pPr>
        <w:ind w:firstLine="914"/>
        <w:spacing w:after="0" w:line="252"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u w:val="single" w:color="auto"/>
          <w:color w:val="auto"/>
        </w:rPr>
        <w:t>Admission and Withdrawal of Members.</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Common Members</w:t>
      </w:r>
      <w:r>
        <w:rPr>
          <w:rFonts w:ascii="Times New Roman" w:cs="Times New Roman" w:eastAsia="Times New Roman" w:hAnsi="Times New Roman"/>
          <w:sz w:val="17"/>
          <w:szCs w:val="17"/>
          <w:color w:val="auto"/>
        </w:rPr>
        <w:t xml:space="preserve">. (i) Any recipient of a Common Interest pursuant to Section 4.03(a) or Section 7.02 who is not a Common Member at the time of such issuance or such Transfer, as applicable, shall be admitted as an additional Common Member, and shall be listed as a “Common Member”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and the issuance or Transfer, as applicable, of the Common Interest shall be effective upon the execution and delivery to the Company by such recipient of an agreement in which such person agrees to be bound by this Agreement and any other agreements, documents or instruments specified by the Managing Members or the Lazard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recipient who is not a Common Member at the time of such issuance or Transfer, as applicable, shall only be admitted as an additional Common Member with the prior approval of the Lazard Ltd Nominating and Governance Committee.</w:t>
      </w:r>
    </w:p>
    <w:p>
      <w:pPr>
        <w:spacing w:after="0" w:line="77" w:lineRule="exact"/>
        <w:rPr>
          <w:sz w:val="20"/>
          <w:szCs w:val="20"/>
          <w:color w:val="auto"/>
        </w:rPr>
      </w:pPr>
    </w:p>
    <w:p>
      <w:pPr>
        <w:ind w:left="920" w:right="380" w:firstLine="415"/>
        <w:spacing w:after="0" w:line="274" w:lineRule="auto"/>
        <w:tabs>
          <w:tab w:leader="none" w:pos="158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immediately upon the Transfer of a Common Member’s entire Common Interest as provided in Section 7.02(a), such Member shall cease to have any interest in the profits, losses, assets, properties or capital of the Company and shall cease to be a Common Member.</w:t>
      </w:r>
    </w:p>
    <w:p>
      <w:pPr>
        <w:spacing w:after="0" w:line="57" w:lineRule="exact"/>
        <w:rPr>
          <w:rFonts w:ascii="Times New Roman" w:cs="Times New Roman" w:eastAsia="Times New Roman" w:hAnsi="Times New Roman"/>
          <w:sz w:val="17"/>
          <w:szCs w:val="17"/>
          <w:color w:val="auto"/>
        </w:rPr>
      </w:pPr>
    </w:p>
    <w:p>
      <w:pPr>
        <w:ind w:left="460" w:right="100" w:firstLine="436"/>
        <w:spacing w:after="0" w:line="253" w:lineRule="auto"/>
        <w:tabs>
          <w:tab w:leader="none" w:pos="113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Profit Participation Members.</w:t>
      </w:r>
      <w:r>
        <w:rPr>
          <w:rFonts w:ascii="Times New Roman" w:cs="Times New Roman" w:eastAsia="Times New Roman" w:hAnsi="Times New Roman"/>
          <w:sz w:val="17"/>
          <w:szCs w:val="17"/>
          <w:color w:val="auto"/>
        </w:rPr>
        <w:t xml:space="preserve"> (i) </w:t>
      </w:r>
      <w:r>
        <w:rPr>
          <w:rFonts w:ascii="Times New Roman" w:cs="Times New Roman" w:eastAsia="Times New Roman" w:hAnsi="Times New Roman"/>
          <w:sz w:val="17"/>
          <w:szCs w:val="17"/>
          <w:u w:val="single" w:color="auto"/>
          <w:color w:val="auto"/>
        </w:rPr>
        <w:t>Schedule 4.01</w:t>
      </w:r>
      <w:r>
        <w:rPr>
          <w:rFonts w:ascii="Times New Roman" w:cs="Times New Roman" w:eastAsia="Times New Roman" w:hAnsi="Times New Roman"/>
          <w:sz w:val="17"/>
          <w:szCs w:val="17"/>
          <w:color w:val="auto"/>
        </w:rPr>
        <w:t xml:space="preserve"> sets forth the identity and initial Profit Participation Interest of each Profit Participation Member. The Company may, by action of the Managing Members or the Lazard Board, from time to time admit additional Managing Directors as Profit Participation Members and may grant such persons Profit Participation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additional Profit Participation Members properly execute and return an Acknowledgement. </w:t>
      </w:r>
      <w:r>
        <w:rPr>
          <w:rFonts w:ascii="Times New Roman" w:cs="Times New Roman" w:eastAsia="Times New Roman" w:hAnsi="Times New Roman"/>
          <w:sz w:val="17"/>
          <w:szCs w:val="17"/>
          <w:u w:val="single" w:color="auto"/>
          <w:color w:val="auto"/>
        </w:rPr>
        <w:t>Schedule 4.01</w:t>
      </w:r>
      <w:r>
        <w:rPr>
          <w:rFonts w:ascii="Times New Roman" w:cs="Times New Roman" w:eastAsia="Times New Roman" w:hAnsi="Times New Roman"/>
          <w:sz w:val="17"/>
          <w:szCs w:val="17"/>
          <w:color w:val="auto"/>
        </w:rPr>
        <w:t xml:space="preserve"> shall be amended pursuant to Section 1.03 to reflect any change in identity of the Profit Participation Members and the Profit Participation Interests in accordance with this Agreement.</w:t>
      </w:r>
    </w:p>
    <w:p>
      <w:pPr>
        <w:spacing w:after="0" w:line="77" w:lineRule="exact"/>
        <w:rPr>
          <w:rFonts w:ascii="Times New Roman" w:cs="Times New Roman" w:eastAsia="Times New Roman" w:hAnsi="Times New Roman"/>
          <w:sz w:val="17"/>
          <w:szCs w:val="17"/>
          <w:color w:val="auto"/>
        </w:rPr>
      </w:pPr>
    </w:p>
    <w:p>
      <w:pPr>
        <w:ind w:left="920" w:right="100" w:firstLine="415"/>
        <w:spacing w:after="0" w:line="256" w:lineRule="auto"/>
        <w:tabs>
          <w:tab w:leader="none" w:pos="158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immediately upon the earliest of (A) Retirement of a Profit Participation Member or (B) termination of the Profit Participation Interests as provided in Section 4.03(b)(iii), such Member (or his estate) shall cease to have any interest in the profits, losses, assets, properties or capital of the Company other than, in respect of such former Profit Participation Member’s Profit Participation Capital, the right to receive any distributions in respect of such Profit Participation Capital to the extent provided in Section 8.03) and shall cease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20"/>
          </w:cols>
          <w:pgMar w:left="240" w:top="261" w:right="239" w:bottom="1440" w:gutter="0" w:footer="0" w:header="0"/>
        </w:sectPr>
      </w:pPr>
    </w:p>
    <w:bookmarkStart w:id="108" w:name="page109"/>
    <w:bookmarkEnd w:id="108"/>
    <w:p>
      <w:pPr>
        <w:ind w:left="92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to be a Profit Participation Member;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under no circumstances shall any Profit Participation Member be entitled to receive or otherwise be distributed any of the Profit Participation Capital associated with such Member’s Profit Participation Interest in the event of the occurrence of any of the events set forth in clause (A) or (B) of this sentence, which Profit Participation Capital shall thereafter represent solely the right to receive distributions of such Profit Participation Capital to the extent provided in Section 8.03. Upon the Retirement of a Profit Participation Member or other termination of a Profit Participation Interest, the Profit Participation Percentage associated with such Member’s Profit Participation Interest shall cease to be allocated and become part of the Unallocated Float.</w:t>
      </w:r>
    </w:p>
    <w:p>
      <w:pPr>
        <w:spacing w:after="0" w:line="77" w:lineRule="exact"/>
        <w:rPr>
          <w:sz w:val="20"/>
          <w:szCs w:val="20"/>
          <w:color w:val="auto"/>
        </w:rPr>
      </w:pPr>
    </w:p>
    <w:p>
      <w:pPr>
        <w:ind w:left="460" w:right="80" w:firstLine="436"/>
        <w:spacing w:after="0" w:line="269" w:lineRule="auto"/>
        <w:tabs>
          <w:tab w:leader="none" w:pos="1127"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Managing Members.</w:t>
      </w:r>
      <w:r>
        <w:rPr>
          <w:rFonts w:ascii="Times New Roman" w:cs="Times New Roman" w:eastAsia="Times New Roman" w:hAnsi="Times New Roman"/>
          <w:sz w:val="16"/>
          <w:szCs w:val="16"/>
          <w:color w:val="auto"/>
        </w:rPr>
        <w:t xml:space="preserve"> As of the date hereof, Lazard Ltd Sub A and Lazard Ltd Sub B are the Managing Members. Notwithstanding anything in this Agreement to the contrary, a Managing Member may resign from the Company for any reason (with or without cause);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subject to the final sentence of this Section 4.04(c), as a condition to such resignation, (i) such resigning Managing Member shall first appoint another person as a new Managing Member and</w:t>
      </w:r>
    </w:p>
    <w:p>
      <w:pPr>
        <w:spacing w:after="0" w:line="1" w:lineRule="exact"/>
        <w:rPr>
          <w:rFonts w:ascii="Times New Roman" w:cs="Times New Roman" w:eastAsia="Times New Roman" w:hAnsi="Times New Roman"/>
          <w:sz w:val="16"/>
          <w:szCs w:val="16"/>
          <w:color w:val="auto"/>
        </w:rPr>
      </w:pPr>
    </w:p>
    <w:p>
      <w:pPr>
        <w:ind w:left="460" w:right="80" w:hanging="2"/>
        <w:spacing w:after="0" w:line="265" w:lineRule="auto"/>
        <w:tabs>
          <w:tab w:leader="none" w:pos="70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person shall be admitted to the Company as a new Managing Member (upon the execution and delivery of an agreement to be bound by the terms of this Agreement);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in the event that the resigning Managing Member shall be the sole Managing Member and such resigning Managing Member elects to appoint two other persons as Managing Members, as a condition to such resignation, (A) such resigning Managing Member shall first appoint two other persons as new Managing Members and (B) each such person shall be admitted to the Company as a new Managing Member (upon the execution and delivery of an agreement to be bound by the terms of this Agreement). Such admission shall be deemed effective immediately prior to the resignation, and, immediately following such admission, the resigning Managing Member shall cease to be a member of the Company (but, if applicable, shall otherwise remain a Member with respect to its Interests). Notwithstanding the foregoing, in the event that there shall be two Managing Members, the resigning Managing Member may, in lieu of appointing a new Managing Member in accordance with this Section 4.04(c), designate the remaining Managing Member as the sole Managing Member.</w:t>
      </w:r>
    </w:p>
    <w:p>
      <w:pPr>
        <w:spacing w:after="0" w:line="70" w:lineRule="exact"/>
        <w:rPr>
          <w:rFonts w:ascii="Times New Roman" w:cs="Times New Roman" w:eastAsia="Times New Roman" w:hAnsi="Times New Roman"/>
          <w:sz w:val="16"/>
          <w:szCs w:val="16"/>
          <w:color w:val="auto"/>
        </w:rPr>
      </w:pPr>
    </w:p>
    <w:p>
      <w:pPr>
        <w:ind w:left="1140" w:hanging="244"/>
        <w:spacing w:after="0"/>
        <w:tabs>
          <w:tab w:leader="none" w:pos="114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Additional Members.</w:t>
      </w:r>
      <w:r>
        <w:rPr>
          <w:rFonts w:ascii="Times New Roman" w:cs="Times New Roman" w:eastAsia="Times New Roman" w:hAnsi="Times New Roman"/>
          <w:sz w:val="17"/>
          <w:szCs w:val="17"/>
          <w:color w:val="auto"/>
        </w:rPr>
        <w:t xml:space="preserve"> No additional Members shall be admitted to the Company except in accordance with this Article IV.</w:t>
      </w:r>
    </w:p>
    <w:p>
      <w:pPr>
        <w:spacing w:after="0" w:line="207" w:lineRule="exact"/>
        <w:rPr>
          <w:sz w:val="20"/>
          <w:szCs w:val="20"/>
          <w:color w:val="auto"/>
        </w:rPr>
      </w:pPr>
    </w:p>
    <w:p>
      <w:pPr>
        <w:ind w:right="6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u w:val="single" w:color="auto"/>
          <w:color w:val="auto"/>
        </w:rPr>
        <w:t>Liability to Third Parties; Capital Account Deficits.</w:t>
      </w:r>
      <w:r>
        <w:rPr>
          <w:rFonts w:ascii="Times New Roman" w:cs="Times New Roman" w:eastAsia="Times New Roman" w:hAnsi="Times New Roman"/>
          <w:sz w:val="17"/>
          <w:szCs w:val="17"/>
          <w:color w:val="auto"/>
        </w:rPr>
        <w:t xml:space="preserve"> Except as may otherwise be expressly provided by the Act, the debts, obligations and liabilities of the Company, whether arising in contract, tort or otherwise, shall be solely the debts, obligations and liabilities of the Company, and the Members (including the Managing Members) and Directors shall not be obligated personally for any such debt, obligation or liability of the Company solely by reason of being Members or acting as managers or the Managing Members of the Company. The Members shall not be liable to make up any deficit in their Capital Accounts.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420"/>
          </w:cols>
          <w:pgMar w:left="240" w:top="261" w:right="239" w:bottom="1440" w:gutter="0" w:footer="0" w:header="0"/>
        </w:sectPr>
      </w:pPr>
    </w:p>
    <w:bookmarkStart w:id="109" w:name="page110"/>
    <w:bookmarkEnd w:id="109"/>
    <w:p>
      <w:pPr>
        <w:ind w:firstLine="914"/>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4.06. </w:t>
      </w:r>
      <w:r>
        <w:rPr>
          <w:rFonts w:ascii="Times New Roman" w:cs="Times New Roman" w:eastAsia="Times New Roman" w:hAnsi="Times New Roman"/>
          <w:sz w:val="17"/>
          <w:szCs w:val="17"/>
          <w:u w:val="single" w:color="auto"/>
          <w:color w:val="auto"/>
        </w:rPr>
        <w:t>Classes.</w:t>
      </w:r>
      <w:r>
        <w:rPr>
          <w:rFonts w:ascii="Times New Roman" w:cs="Times New Roman" w:eastAsia="Times New Roman" w:hAnsi="Times New Roman"/>
          <w:sz w:val="17"/>
          <w:szCs w:val="17"/>
          <w:color w:val="auto"/>
        </w:rPr>
        <w:t xml:space="preserve"> As used in this Agreement, all Common Members and Profit Participation Members shall be deemed to be separate Members even if any Member holds more than one class of Interest. References to a certain class of Interest (or Capital) with respect to any Member shall refer solely to that class of Interest (or Capital) of such Member and not to any other class of Interest (or Capital), if any, held by such Member.</w:t>
      </w:r>
    </w:p>
    <w:p>
      <w:pPr>
        <w:spacing w:after="0" w:line="170" w:lineRule="exact"/>
        <w:rPr>
          <w:sz w:val="20"/>
          <w:szCs w:val="20"/>
          <w:color w:val="auto"/>
        </w:rPr>
      </w:pPr>
    </w:p>
    <w:p>
      <w:pPr>
        <w:ind w:right="16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xml:space="preserve"> The Company may issue Interests in certificated form in accordance with Section 18-702(c) of the Act, which certificates, if issued, shall be held by the Company as custodian for the applicable Members. The form of any such certificates shall be approved by the Managing Members or the Lazard Board and include the legend required by Section 7.05.</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CAPITAL AND ACCOUNTING MATTERS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Capital.</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Capital Accounts.</w:t>
      </w:r>
      <w:r>
        <w:rPr>
          <w:rFonts w:ascii="Times New Roman" w:cs="Times New Roman" w:eastAsia="Times New Roman" w:hAnsi="Times New Roman"/>
          <w:sz w:val="17"/>
          <w:szCs w:val="17"/>
          <w:color w:val="auto"/>
        </w:rPr>
        <w:t xml:space="preserve"> The Company has established a capital account on its books and records for each Common Member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Capital Account</w:t>
      </w:r>
      <w:r>
        <w:rPr>
          <w:rFonts w:ascii="Times New Roman" w:cs="Times New Roman" w:eastAsia="Times New Roman" w:hAnsi="Times New Roman"/>
          <w:sz w:val="17"/>
          <w:szCs w:val="17"/>
          <w:color w:val="auto"/>
        </w:rPr>
        <w:t>”) and a capital account for each Profit Participation Member (a “</w:t>
      </w:r>
      <w:r>
        <w:rPr>
          <w:rFonts w:ascii="Times New Roman" w:cs="Times New Roman" w:eastAsia="Times New Roman" w:hAnsi="Times New Roman"/>
          <w:sz w:val="17"/>
          <w:szCs w:val="17"/>
          <w:u w:val="single" w:color="auto"/>
          <w:color w:val="auto"/>
        </w:rPr>
        <w:t>Profit Participation Capital Account</w:t>
      </w:r>
      <w:r>
        <w:rPr>
          <w:rFonts w:ascii="Times New Roman" w:cs="Times New Roman" w:eastAsia="Times New Roman" w:hAnsi="Times New Roman"/>
          <w:sz w:val="17"/>
          <w:szCs w:val="17"/>
          <w:color w:val="auto"/>
        </w:rPr>
        <w:t>”; any of a Profit Participation Capital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or a Common Capital Account, a “</w:t>
      </w:r>
      <w:r>
        <w:rPr>
          <w:rFonts w:ascii="Times New Roman" w:cs="Times New Roman" w:eastAsia="Times New Roman" w:hAnsi="Times New Roman"/>
          <w:sz w:val="16"/>
          <w:szCs w:val="16"/>
          <w:u w:val="single" w:color="auto"/>
          <w:color w:val="auto"/>
        </w:rPr>
        <w:t>Capital Account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 5.01</w:t>
      </w:r>
      <w:r>
        <w:rPr>
          <w:rFonts w:ascii="Times New Roman" w:cs="Times New Roman" w:eastAsia="Times New Roman" w:hAnsi="Times New Roman"/>
          <w:sz w:val="16"/>
          <w:szCs w:val="16"/>
          <w:color w:val="auto"/>
        </w:rPr>
        <w:t xml:space="preserve"> sets forth the names and Capital Accounts of the Members and shall be amended from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time pursuant to Section 1.03 to reflect any change in the identity of the Members or Capital Accounts in accordance with this Agreement.</w:t>
      </w:r>
    </w:p>
    <w:p>
      <w:pPr>
        <w:spacing w:after="0" w:line="90" w:lineRule="exact"/>
        <w:rPr>
          <w:sz w:val="20"/>
          <w:szCs w:val="20"/>
          <w:color w:val="auto"/>
        </w:rPr>
      </w:pPr>
    </w:p>
    <w:p>
      <w:pPr>
        <w:ind w:left="460" w:firstLine="436"/>
        <w:spacing w:after="0" w:line="260" w:lineRule="auto"/>
        <w:tabs>
          <w:tab w:leader="none" w:pos="11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Contributions.</w:t>
      </w:r>
      <w:r>
        <w:rPr>
          <w:rFonts w:ascii="Times New Roman" w:cs="Times New Roman" w:eastAsia="Times New Roman" w:hAnsi="Times New Roman"/>
          <w:sz w:val="17"/>
          <w:szCs w:val="17"/>
          <w:color w:val="auto"/>
        </w:rPr>
        <w:t xml:space="preserve"> (i) No capital contributions shall be required (A) unless otherwise determined by the Managing Members or the Lazard Board and agreed to by the contributing Member or (B) unless otherwise determined by the Managing Members or the Lazard Board in connection with the admission of a new Member or the issuance of additional Interests to a Member.</w:t>
      </w:r>
    </w:p>
    <w:p>
      <w:pPr>
        <w:spacing w:after="0" w:line="69" w:lineRule="exact"/>
        <w:rPr>
          <w:rFonts w:ascii="Times New Roman" w:cs="Times New Roman" w:eastAsia="Times New Roman" w:hAnsi="Times New Roman"/>
          <w:sz w:val="17"/>
          <w:szCs w:val="17"/>
          <w:color w:val="auto"/>
        </w:rPr>
      </w:pPr>
    </w:p>
    <w:p>
      <w:pPr>
        <w:ind w:left="1580" w:hanging="245"/>
        <w:spacing w:after="0"/>
        <w:tabs>
          <w:tab w:leader="none" w:pos="15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invest or cause to be invested all amounts received by the Company as capital contributions in its sole discretion.</w:t>
      </w:r>
    </w:p>
    <w:p>
      <w:pPr>
        <w:spacing w:after="0" w:line="106" w:lineRule="exact"/>
        <w:rPr>
          <w:rFonts w:ascii="Times New Roman" w:cs="Times New Roman" w:eastAsia="Times New Roman" w:hAnsi="Times New Roman"/>
          <w:sz w:val="17"/>
          <w:szCs w:val="17"/>
          <w:color w:val="auto"/>
        </w:rPr>
      </w:pPr>
    </w:p>
    <w:p>
      <w:pPr>
        <w:ind w:left="920" w:right="260" w:firstLine="415"/>
        <w:spacing w:after="0" w:line="260" w:lineRule="auto"/>
        <w:tabs>
          <w:tab w:leader="none" w:pos="163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Members may cause the Company to issue Common Interests pursuant to Section 4.03(a) to any Common Member and to any person who is admitted as an additional Common Member in accordance with Section 4.04(a) of this Agreement, in each case in exchange for a capital contribution.</w:t>
      </w:r>
    </w:p>
    <w:p>
      <w:pPr>
        <w:spacing w:after="0" w:line="170" w:lineRule="exact"/>
        <w:rPr>
          <w:sz w:val="20"/>
          <w:szCs w:val="20"/>
          <w:color w:val="auto"/>
        </w:rPr>
      </w:pPr>
    </w:p>
    <w:p>
      <w:pPr>
        <w:ind w:right="8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Withdrawals; Return on Capital.</w:t>
      </w:r>
      <w:r>
        <w:rPr>
          <w:rFonts w:ascii="Times New Roman" w:cs="Times New Roman" w:eastAsia="Times New Roman" w:hAnsi="Times New Roman"/>
          <w:sz w:val="17"/>
          <w:szCs w:val="17"/>
          <w:color w:val="auto"/>
        </w:rPr>
        <w:t xml:space="preserve"> No Member shall be entitled to withdraw or otherwise receive any distributions in respect of any Capital, except (a) in the case of Common Interests, as provided in Section 6.02 or Section 8.03 or as approved by the Lazard Board or (b) in the case of Profit Participation Interests, as provided in Section 6.01 or Section 8.03. The Members shall not be entitled to any return on their Capital.</w:t>
      </w:r>
    </w:p>
    <w:p>
      <w:pPr>
        <w:spacing w:after="0" w:line="170" w:lineRule="exact"/>
        <w:rPr>
          <w:sz w:val="20"/>
          <w:szCs w:val="20"/>
          <w:color w:val="auto"/>
        </w:rPr>
      </w:pPr>
    </w:p>
    <w:p>
      <w:pPr>
        <w:ind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Allocation of Profits and Losses.</w:t>
      </w:r>
      <w:r>
        <w:rPr>
          <w:rFonts w:ascii="Times New Roman" w:cs="Times New Roman" w:eastAsia="Times New Roman" w:hAnsi="Times New Roman"/>
          <w:sz w:val="17"/>
          <w:szCs w:val="17"/>
          <w:color w:val="auto"/>
        </w:rPr>
        <w:t xml:space="preserve"> As of the end of each Accounting Period, the balance in each Member’s Capital Account shall be adjusted by (x) increasing such balance by (i) such Member’s allocable share of each item of the Company’s Profit for such Accounting Period (allocated in accordance with Section 5.04) and (ii) the amount of cash or the fair market value of other property (determined in accordance with Section 5.05) contributed to the Company by such Member during such Accounting Period, net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400"/>
          </w:cols>
          <w:pgMar w:left="240" w:top="261" w:right="259" w:bottom="1440" w:gutter="0" w:footer="0" w:header="0"/>
        </w:sectPr>
      </w:pPr>
    </w:p>
    <w:bookmarkStart w:id="110" w:name="page111"/>
    <w:bookmarkEnd w:id="110"/>
    <w:p>
      <w:pPr>
        <w:ind w:right="8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of liabilities assumed by the Company with respect to such other property, and (y) decreasing such balance by (i) the amount of cash or the fair market value of other property (determined in accordance with Section 5.05) distributed to such Member pursuant to this Agreement, net of liabilities (if any) assumed by such Member with respect to such other property and (ii) such Member’s allocable share of each item of the Company’s Loss for such Accounting Period (allocated in accordance with Section 5.04). The balance in each Members’ Capital Account shall also be adjusted at the time and in the manner permitted by the capital accounting rules of the U.S. Treasury Regulation section 1.704-1(b)(2)(iv)(f). The foregoing and the other provisions of this Agreement relating to the maintenance of Capital Accounts are intended to comply with Treasury Regulation sections 1.704-1 and 1.704-2, and shall be interpreted and applied in a manner consistent therewith.</w:t>
      </w:r>
    </w:p>
    <w:p>
      <w:pPr>
        <w:spacing w:after="0" w:line="178" w:lineRule="exact"/>
        <w:rPr>
          <w:sz w:val="20"/>
          <w:szCs w:val="20"/>
          <w:color w:val="auto"/>
        </w:rPr>
      </w:pPr>
    </w:p>
    <w:p>
      <w:pPr>
        <w:ind w:right="400" w:firstLine="914"/>
        <w:spacing w:after="0" w:line="306"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u w:val="single" w:color="auto"/>
          <w:color w:val="auto"/>
        </w:rPr>
        <w:t>Allocations and Tax Matters.</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Book Allocations Prior to and After the Effective Period.</w:t>
      </w:r>
      <w:r>
        <w:rPr>
          <w:rFonts w:ascii="Times New Roman" w:cs="Times New Roman" w:eastAsia="Times New Roman" w:hAnsi="Times New Roman"/>
          <w:sz w:val="16"/>
          <w:szCs w:val="16"/>
          <w:color w:val="auto"/>
        </w:rPr>
        <w:t xml:space="preserve"> Except as described in Section 5.04(b), for purposes of computing Capital Accounts, all items of Profit or Loss with respect to each Accounting Period shall be allocated in the following order and priority:</w:t>
      </w:r>
    </w:p>
    <w:p>
      <w:pPr>
        <w:spacing w:after="0" w:line="34" w:lineRule="exact"/>
        <w:rPr>
          <w:sz w:val="20"/>
          <w:szCs w:val="20"/>
          <w:color w:val="auto"/>
        </w:rPr>
      </w:pPr>
    </w:p>
    <w:p>
      <w:pPr>
        <w:ind w:left="920" w:right="40" w:firstLine="415"/>
        <w:spacing w:after="0" w:line="260" w:lineRule="auto"/>
        <w:tabs>
          <w:tab w:leader="none" w:pos="154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a net amount of Profit or Loss (excluding any Excluded Items), as the case may be, equal to the Profit Participation Amount for such Accounting Period shall be allocated to the Profit Participation Capital Accounts of the Profit Participation Members in proportion to their respective Profit Participation Percentages as of the end of such Accounting Period;</w:t>
      </w:r>
    </w:p>
    <w:p>
      <w:pPr>
        <w:spacing w:after="0" w:line="69" w:lineRule="exact"/>
        <w:rPr>
          <w:rFonts w:ascii="Times New Roman" w:cs="Times New Roman" w:eastAsia="Times New Roman" w:hAnsi="Times New Roman"/>
          <w:sz w:val="17"/>
          <w:szCs w:val="17"/>
          <w:color w:val="auto"/>
        </w:rPr>
      </w:pPr>
    </w:p>
    <w:p>
      <w:pPr>
        <w:ind w:left="920" w:firstLine="415"/>
        <w:spacing w:after="0" w:line="260" w:lineRule="auto"/>
        <w:tabs>
          <w:tab w:leader="none" w:pos="158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a net amount of operating Profit or Loss, as the case may be, derived by or with respect to each entity set forth on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for the time period set forth on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shall be allocated to the Common Capital Accounts of the Common Members in proportion to the ratio set forth for each Common Member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with respect to such entity as of the end of such Accounting Period;</w:t>
      </w:r>
    </w:p>
    <w:p>
      <w:pPr>
        <w:spacing w:after="0" w:line="69" w:lineRule="exact"/>
        <w:rPr>
          <w:rFonts w:ascii="Times New Roman" w:cs="Times New Roman" w:eastAsia="Times New Roman" w:hAnsi="Times New Roman"/>
          <w:sz w:val="17"/>
          <w:szCs w:val="17"/>
          <w:color w:val="auto"/>
        </w:rPr>
      </w:pPr>
    </w:p>
    <w:p>
      <w:pPr>
        <w:ind w:left="920" w:right="120" w:firstLine="415"/>
        <w:spacing w:after="0" w:line="260" w:lineRule="auto"/>
        <w:tabs>
          <w:tab w:leader="none" w:pos="163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a net amount of operating Profit or Loss, as the case may be, derived by or with respect to each entity set forth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for the time period set forth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shall be allocated to the Common Capital Accounts of the Common Members in proportion to the ratio set forth for each Common Member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with respect to such entity as of the end of such Accounting Period; and</w:t>
      </w:r>
    </w:p>
    <w:p>
      <w:pPr>
        <w:spacing w:after="0" w:line="69" w:lineRule="exact"/>
        <w:rPr>
          <w:rFonts w:ascii="Times New Roman" w:cs="Times New Roman" w:eastAsia="Times New Roman" w:hAnsi="Times New Roman"/>
          <w:sz w:val="17"/>
          <w:szCs w:val="17"/>
          <w:color w:val="auto"/>
        </w:rPr>
      </w:pPr>
    </w:p>
    <w:p>
      <w:pPr>
        <w:ind w:left="920" w:right="220" w:firstLine="415"/>
        <w:spacing w:after="0" w:line="274" w:lineRule="auto"/>
        <w:tabs>
          <w:tab w:leader="none" w:pos="162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thereafter</w:t>
      </w:r>
      <w:r>
        <w:rPr>
          <w:rFonts w:ascii="Times New Roman" w:cs="Times New Roman" w:eastAsia="Times New Roman" w:hAnsi="Times New Roman"/>
          <w:sz w:val="17"/>
          <w:szCs w:val="17"/>
          <w:color w:val="auto"/>
        </w:rPr>
        <w:t>, a net amount of Profit or Loss, as the case may be, shall be allocated to the Common Capital Accounts of the Common Members in proportion to their respective Percentage Interests as of the end of such Accounting Period.</w:t>
      </w:r>
    </w:p>
    <w:p>
      <w:pPr>
        <w:spacing w:after="0" w:line="158" w:lineRule="exact"/>
        <w:rPr>
          <w:sz w:val="20"/>
          <w:szCs w:val="20"/>
          <w:color w:val="auto"/>
        </w:rPr>
      </w:pPr>
    </w:p>
    <w:p>
      <w:pPr>
        <w:jc w:val="both"/>
        <w:ind w:right="560" w:firstLine="914"/>
        <w:spacing w:after="0" w:line="260" w:lineRule="auto"/>
        <w:rPr>
          <w:sz w:val="20"/>
          <w:szCs w:val="20"/>
          <w:color w:val="auto"/>
        </w:rPr>
      </w:pPr>
      <w:r>
        <w:rPr>
          <w:rFonts w:ascii="Times New Roman" w:cs="Times New Roman" w:eastAsia="Times New Roman" w:hAnsi="Times New Roman"/>
          <w:sz w:val="17"/>
          <w:szCs w:val="17"/>
          <w:u w:val="single" w:color="auto"/>
          <w:color w:val="auto"/>
        </w:rPr>
        <w:t>Schedules B and C</w:t>
      </w:r>
      <w:r>
        <w:rPr>
          <w:rFonts w:ascii="Times New Roman" w:cs="Times New Roman" w:eastAsia="Times New Roman" w:hAnsi="Times New Roman"/>
          <w:sz w:val="17"/>
          <w:szCs w:val="17"/>
          <w:color w:val="auto"/>
        </w:rPr>
        <w:t xml:space="preserve"> may be revised from time to time by action of the Managing Members;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revisions to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shall be consistent with the principles set forth in Section 5.04(e)(ii). Notwithstanding anything in Section 10.02 to the contrary, any such revision shall not be deemed an amendment to this Agreement, and shall not require any act, vote or approval of any person.</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380"/>
          </w:cols>
          <w:pgMar w:left="240" w:top="261" w:right="279" w:bottom="1440" w:gutter="0" w:footer="0" w:header="0"/>
        </w:sectPr>
      </w:pPr>
    </w:p>
    <w:bookmarkStart w:id="111" w:name="page112"/>
    <w:bookmarkEnd w:id="111"/>
    <w:p>
      <w:pPr>
        <w:ind w:left="460" w:right="40" w:firstLine="436"/>
        <w:spacing w:after="0" w:line="274" w:lineRule="auto"/>
        <w:tabs>
          <w:tab w:leader="none" w:pos="11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Book Allocations During the Effective Period.</w:t>
      </w:r>
      <w:r>
        <w:rPr>
          <w:rFonts w:ascii="Times New Roman" w:cs="Times New Roman" w:eastAsia="Times New Roman" w:hAnsi="Times New Roman"/>
          <w:sz w:val="17"/>
          <w:szCs w:val="17"/>
          <w:color w:val="auto"/>
        </w:rPr>
        <w:t xml:space="preserve"> During the Effective Period, for purposes of computing Capital Accounts, all items of Profit or Loss with respect to each Accounting Period shall be allocated in the following order and priority:</w:t>
      </w:r>
    </w:p>
    <w:p>
      <w:pPr>
        <w:spacing w:after="0" w:line="57" w:lineRule="exact"/>
        <w:rPr>
          <w:rFonts w:ascii="Times New Roman" w:cs="Times New Roman" w:eastAsia="Times New Roman" w:hAnsi="Times New Roman"/>
          <w:sz w:val="17"/>
          <w:szCs w:val="17"/>
          <w:color w:val="auto"/>
        </w:rPr>
      </w:pPr>
    </w:p>
    <w:p>
      <w:pPr>
        <w:ind w:left="920" w:right="60" w:firstLine="415"/>
        <w:spacing w:after="0" w:line="260" w:lineRule="auto"/>
        <w:tabs>
          <w:tab w:leader="none" w:pos="154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a net amount of Profit or Loss (excluding any Excluded Items), as the case may be, equal to the Profit Participation Amount for such Accounting Period shall be allocated to the Profit Participation Capital Accounts of the Profit Participation Members in proportion to their respective Profit Participation Percentages as of the end of such Accounting Period;</w:t>
      </w:r>
    </w:p>
    <w:p>
      <w:pPr>
        <w:spacing w:after="0" w:line="69" w:lineRule="exact"/>
        <w:rPr>
          <w:rFonts w:ascii="Times New Roman" w:cs="Times New Roman" w:eastAsia="Times New Roman" w:hAnsi="Times New Roman"/>
          <w:sz w:val="17"/>
          <w:szCs w:val="17"/>
          <w:color w:val="auto"/>
        </w:rPr>
      </w:pPr>
    </w:p>
    <w:p>
      <w:pPr>
        <w:jc w:val="both"/>
        <w:ind w:left="920" w:right="300" w:firstLine="415"/>
        <w:spacing w:after="0" w:line="260" w:lineRule="auto"/>
        <w:tabs>
          <w:tab w:leader="none" w:pos="158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a net amount of operating Profit or Loss, as the case may be, derived by or with respect to each entity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shall be allocated to the Common Capital Accounts of the Common Members in proportion to the ratio set forth for each Common Member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with respect to such entity as of the end of such Accounting Period;</w:t>
      </w:r>
    </w:p>
    <w:p>
      <w:pPr>
        <w:spacing w:after="0" w:line="69" w:lineRule="exact"/>
        <w:rPr>
          <w:rFonts w:ascii="Times New Roman" w:cs="Times New Roman" w:eastAsia="Times New Roman" w:hAnsi="Times New Roman"/>
          <w:sz w:val="17"/>
          <w:szCs w:val="17"/>
          <w:color w:val="auto"/>
        </w:rPr>
      </w:pPr>
    </w:p>
    <w:p>
      <w:pPr>
        <w:ind w:left="920" w:firstLine="415"/>
        <w:spacing w:after="0" w:line="260" w:lineRule="auto"/>
        <w:tabs>
          <w:tab w:leader="none" w:pos="163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a net amount of operating Profit or Loss, as the case may be, derived by or with respect to each Unallocated Entity (if any) shall be allocated to the Common Capital Accounts of the Common Members in proportion to their respective Funding Proportions with respect to such Unallocated Entity as of the end of such Accounting Period; and</w:t>
      </w:r>
    </w:p>
    <w:p>
      <w:pPr>
        <w:spacing w:after="0" w:line="69" w:lineRule="exact"/>
        <w:rPr>
          <w:rFonts w:ascii="Times New Roman" w:cs="Times New Roman" w:eastAsia="Times New Roman" w:hAnsi="Times New Roman"/>
          <w:sz w:val="17"/>
          <w:szCs w:val="17"/>
          <w:color w:val="auto"/>
        </w:rPr>
      </w:pPr>
    </w:p>
    <w:p>
      <w:pPr>
        <w:ind w:left="920" w:right="240" w:firstLine="415"/>
        <w:spacing w:after="0" w:line="274" w:lineRule="auto"/>
        <w:tabs>
          <w:tab w:leader="none" w:pos="162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thereafter</w:t>
      </w:r>
      <w:r>
        <w:rPr>
          <w:rFonts w:ascii="Times New Roman" w:cs="Times New Roman" w:eastAsia="Times New Roman" w:hAnsi="Times New Roman"/>
          <w:sz w:val="17"/>
          <w:szCs w:val="17"/>
          <w:color w:val="auto"/>
        </w:rPr>
        <w:t>, a net amount of Profit or Loss, as the case may be, shall be allocated to the Common Capital Accounts of the Common Members in proportion to their respective Percentage Interests as of the end of such Accounting Period.</w:t>
      </w:r>
    </w:p>
    <w:p>
      <w:pPr>
        <w:spacing w:after="0" w:line="158" w:lineRule="exact"/>
        <w:rPr>
          <w:sz w:val="20"/>
          <w:szCs w:val="20"/>
          <w:color w:val="auto"/>
        </w:rPr>
      </w:pPr>
    </w:p>
    <w:p>
      <w:pPr>
        <w:jc w:val="both"/>
        <w:ind w:right="120" w:firstLine="914"/>
        <w:spacing w:after="0" w:line="260" w:lineRule="auto"/>
        <w:rPr>
          <w:sz w:val="20"/>
          <w:szCs w:val="20"/>
          <w:color w:val="auto"/>
        </w:rPr>
      </w:pP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may be revised from time to time by action of the Managing Members;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revisions shall be consistent with the principles set forth in Section 5.04(e)(ii). Notwithstanding anything in Section 10.02 to the contrary, any such revision shall not be deemed an amendment to this Agreement, and shall not require any act, vote or approval of any person.</w:t>
      </w:r>
    </w:p>
    <w:p>
      <w:pPr>
        <w:spacing w:after="0" w:line="170" w:lineRule="exact"/>
        <w:rPr>
          <w:sz w:val="20"/>
          <w:szCs w:val="20"/>
          <w:color w:val="auto"/>
        </w:rPr>
      </w:pPr>
    </w:p>
    <w:p>
      <w:pPr>
        <w:ind w:left="1120" w:hanging="224"/>
        <w:spacing w:after="0"/>
        <w:tabs>
          <w:tab w:leader="none" w:pos="11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Agreement:</w:t>
      </w:r>
    </w:p>
    <w:p>
      <w:pPr>
        <w:spacing w:after="0" w:line="106" w:lineRule="exact"/>
        <w:rPr>
          <w:rFonts w:ascii="Times New Roman" w:cs="Times New Roman" w:eastAsia="Times New Roman" w:hAnsi="Times New Roman"/>
          <w:sz w:val="17"/>
          <w:szCs w:val="17"/>
          <w:color w:val="auto"/>
        </w:rPr>
      </w:pPr>
    </w:p>
    <w:p>
      <w:pPr>
        <w:ind w:left="920" w:right="280" w:firstLine="415"/>
        <w:spacing w:after="0" w:line="256" w:lineRule="auto"/>
        <w:tabs>
          <w:tab w:leader="none" w:pos="161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Fixed Percentage</w:t>
      </w:r>
      <w:r>
        <w:rPr>
          <w:rFonts w:ascii="Times New Roman" w:cs="Times New Roman" w:eastAsia="Times New Roman" w:hAnsi="Times New Roman"/>
          <w:sz w:val="17"/>
          <w:szCs w:val="17"/>
          <w:color w:val="auto"/>
        </w:rPr>
        <w:t xml:space="preserve">” means 20%;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the Profit Participation Amount would in any Accounting Period exceed the product of (1) 8% and (2) the Operating Revenue for such Accounting Period (such product, the “</w:t>
      </w:r>
      <w:r>
        <w:rPr>
          <w:rFonts w:ascii="Times New Roman" w:cs="Times New Roman" w:eastAsia="Times New Roman" w:hAnsi="Times New Roman"/>
          <w:sz w:val="17"/>
          <w:szCs w:val="17"/>
          <w:u w:val="single" w:color="auto"/>
          <w:color w:val="auto"/>
        </w:rPr>
        <w:t>Cap</w:t>
      </w:r>
      <w:r>
        <w:rPr>
          <w:rFonts w:ascii="Times New Roman" w:cs="Times New Roman" w:eastAsia="Times New Roman" w:hAnsi="Times New Roman"/>
          <w:sz w:val="17"/>
          <w:szCs w:val="17"/>
          <w:color w:val="auto"/>
        </w:rPr>
        <w:t>”), the Fixed Percentage shall, for such Accounting Period, be an amount (expressed as a percentage) equal to a fraction, the numerator of which shall be the Cap and the denominator of which shall be the Operating Income, in each case for such Accounting Period;</w:t>
      </w:r>
    </w:p>
    <w:p>
      <w:pPr>
        <w:spacing w:after="0" w:line="72" w:lineRule="exact"/>
        <w:rPr>
          <w:rFonts w:ascii="Times New Roman" w:cs="Times New Roman" w:eastAsia="Times New Roman" w:hAnsi="Times New Roman"/>
          <w:sz w:val="17"/>
          <w:szCs w:val="17"/>
          <w:color w:val="auto"/>
        </w:rPr>
      </w:pPr>
    </w:p>
    <w:p>
      <w:pPr>
        <w:ind w:left="920" w:right="100" w:firstLine="415"/>
        <w:spacing w:after="0" w:line="260" w:lineRule="auto"/>
        <w:tabs>
          <w:tab w:leader="none" w:pos="160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Expenses</w:t>
      </w:r>
      <w:r>
        <w:rPr>
          <w:rFonts w:ascii="Times New Roman" w:cs="Times New Roman" w:eastAsia="Times New Roman" w:hAnsi="Times New Roman"/>
          <w:sz w:val="17"/>
          <w:szCs w:val="17"/>
          <w:color w:val="auto"/>
        </w:rPr>
        <w:t>” means, with respect to any Accounting Period, an amount equal to the excess, if any, of (1) the consolidated expenses of the Company over (2) the sum of (a) the aggregate amount of compensation paid or payable to Managing Directors, (b) all minority interest, (c) all interest expense (but excluding all “operating” interest expense, including in respect of Lazard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400"/>
          </w:cols>
          <w:pgMar w:left="240" w:top="261" w:right="259" w:bottom="1440" w:gutter="0" w:footer="0" w:header="0"/>
        </w:sectPr>
      </w:pPr>
    </w:p>
    <w:bookmarkStart w:id="112" w:name="page113"/>
    <w:bookmarkEnd w:id="112"/>
    <w:p>
      <w:pPr>
        <w:ind w:left="920" w:right="16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Frères Banque S.A.), (d) all income taxes, and (e) all extraordinary losses, in each case as determined in accordance with generally accepted accounting principles in the United States of America and otherwise in accordance with Section 5.05. For the avoidance of doubt, “Operating Expense” shall exclude amounts allocable to Profit Participation Members in respect of their Profit Participation Interests;</w:t>
      </w:r>
    </w:p>
    <w:p>
      <w:pPr>
        <w:spacing w:after="0" w:line="69" w:lineRule="exact"/>
        <w:rPr>
          <w:sz w:val="20"/>
          <w:szCs w:val="20"/>
          <w:color w:val="auto"/>
        </w:rPr>
      </w:pPr>
    </w:p>
    <w:p>
      <w:pPr>
        <w:ind w:left="1600" w:hanging="265"/>
        <w:spacing w:after="0"/>
        <w:tabs>
          <w:tab w:leader="none" w:pos="1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Income</w:t>
      </w:r>
      <w:r>
        <w:rPr>
          <w:rFonts w:ascii="Times New Roman" w:cs="Times New Roman" w:eastAsia="Times New Roman" w:hAnsi="Times New Roman"/>
          <w:sz w:val="17"/>
          <w:szCs w:val="17"/>
          <w:color w:val="auto"/>
        </w:rPr>
        <w:t>” means, with respect to any Accounting Period, an amount equal to the excess, if any, of (1) the Operating Revenue over</w:t>
      </w:r>
    </w:p>
    <w:p>
      <w:pPr>
        <w:spacing w:after="0" w:line="21" w:lineRule="exact"/>
        <w:rPr>
          <w:rFonts w:ascii="Times New Roman" w:cs="Times New Roman" w:eastAsia="Times New Roman" w:hAnsi="Times New Roman"/>
          <w:sz w:val="17"/>
          <w:szCs w:val="17"/>
          <w:color w:val="auto"/>
        </w:rPr>
      </w:pPr>
    </w:p>
    <w:p>
      <w:pPr>
        <w:ind w:left="1160" w:hanging="245"/>
        <w:spacing w:after="0"/>
        <w:tabs>
          <w:tab w:leader="none" w:pos="11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Expenses, in each case for such Accounting Period;</w:t>
      </w:r>
    </w:p>
    <w:p>
      <w:pPr>
        <w:spacing w:after="0" w:line="90" w:lineRule="exact"/>
        <w:rPr>
          <w:rFonts w:ascii="Times New Roman" w:cs="Times New Roman" w:eastAsia="Times New Roman" w:hAnsi="Times New Roman"/>
          <w:sz w:val="17"/>
          <w:szCs w:val="17"/>
          <w:color w:val="auto"/>
        </w:rPr>
      </w:pPr>
    </w:p>
    <w:p>
      <w:pPr>
        <w:ind w:left="920" w:firstLine="415"/>
        <w:spacing w:after="0" w:line="256" w:lineRule="auto"/>
        <w:tabs>
          <w:tab w:leader="none" w:pos="161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Revenue</w:t>
      </w:r>
      <w:r>
        <w:rPr>
          <w:rFonts w:ascii="Times New Roman" w:cs="Times New Roman" w:eastAsia="Times New Roman" w:hAnsi="Times New Roman"/>
          <w:sz w:val="17"/>
          <w:szCs w:val="17"/>
          <w:color w:val="auto"/>
        </w:rPr>
        <w:t>” means, with respect to any Accounting Period, an amount equal to the excess, if any, of (1) the sum of (a) the consolidated net revenue of the Company and (b) all interest expense (but excluding all “operating” interest expense, including in respect of Lazard Frères Banque S.A.), over (2) all extraordinary gains, in each case as determined in accordance with generally accepted accounting principles in the United States of America and otherwise in accordance with Section 5.05; and</w:t>
      </w:r>
    </w:p>
    <w:p>
      <w:pPr>
        <w:spacing w:after="0" w:line="72" w:lineRule="exact"/>
        <w:rPr>
          <w:rFonts w:ascii="Times New Roman" w:cs="Times New Roman" w:eastAsia="Times New Roman" w:hAnsi="Times New Roman"/>
          <w:sz w:val="17"/>
          <w:szCs w:val="17"/>
          <w:color w:val="auto"/>
        </w:rPr>
      </w:pPr>
    </w:p>
    <w:p>
      <w:pPr>
        <w:ind w:left="1600" w:hanging="265"/>
        <w:spacing w:after="0"/>
        <w:tabs>
          <w:tab w:leader="none" w:pos="16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 Participation Amount</w:t>
      </w:r>
      <w:r>
        <w:rPr>
          <w:rFonts w:ascii="Times New Roman" w:cs="Times New Roman" w:eastAsia="Times New Roman" w:hAnsi="Times New Roman"/>
          <w:sz w:val="17"/>
          <w:szCs w:val="17"/>
          <w:color w:val="auto"/>
        </w:rPr>
        <w:t>” means, with respect to any Accounting Period, an amount equal to the product of (1) the Fixed Percentage and</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(2) the Operating Income, in each case for such Accounting Period.</w:t>
      </w:r>
    </w:p>
    <w:p>
      <w:pPr>
        <w:spacing w:after="0" w:line="191" w:lineRule="exact"/>
        <w:rPr>
          <w:sz w:val="20"/>
          <w:szCs w:val="20"/>
          <w:color w:val="auto"/>
        </w:rPr>
      </w:pPr>
    </w:p>
    <w:p>
      <w:pPr>
        <w:ind w:right="80" w:firstLine="914"/>
        <w:spacing w:after="0" w:line="274" w:lineRule="auto"/>
        <w:rPr>
          <w:sz w:val="20"/>
          <w:szCs w:val="20"/>
          <w:color w:val="auto"/>
        </w:rPr>
      </w:pPr>
      <w:r>
        <w:rPr>
          <w:rFonts w:ascii="Times New Roman" w:cs="Times New Roman" w:eastAsia="Times New Roman" w:hAnsi="Times New Roman"/>
          <w:sz w:val="17"/>
          <w:szCs w:val="17"/>
          <w:color w:val="auto"/>
        </w:rPr>
        <w:t>In any calculation of Operating Income, all gains and losses arising from the sale of a business segment or a significant asset outside the ordinary course of business shall be excluded from Operating Revenue and Operating Expense, as applicable.</w:t>
      </w:r>
    </w:p>
    <w:p>
      <w:pPr>
        <w:spacing w:after="0" w:line="57" w:lineRule="exact"/>
        <w:rPr>
          <w:sz w:val="20"/>
          <w:szCs w:val="20"/>
          <w:color w:val="auto"/>
        </w:rPr>
      </w:pPr>
    </w:p>
    <w:p>
      <w:pPr>
        <w:ind w:left="460" w:right="20" w:firstLine="436"/>
        <w:spacing w:after="0" w:line="253" w:lineRule="auto"/>
        <w:tabs>
          <w:tab w:leader="none" w:pos="113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Allocations.</w:t>
      </w:r>
      <w:r>
        <w:rPr>
          <w:rFonts w:ascii="Times New Roman" w:cs="Times New Roman" w:eastAsia="Times New Roman" w:hAnsi="Times New Roman"/>
          <w:sz w:val="17"/>
          <w:szCs w:val="17"/>
          <w:color w:val="auto"/>
        </w:rPr>
        <w:t xml:space="preserve"> Except as otherwise required under Section 704(c) of the Code and the Treasury Regulations promulgated thereunder, the Company shall cause each item of income, gain, loss or deduction recognized by the Company to be allocated among the Members for U.S. federal, state and local income and, where relevant, non-U.S. tax purposes in the same manner that each such item is allocated to the Members’ Capital Accounts or as otherwise provided herein. Allocations required by Section 704(c) of the Code shall be made using any reasonable method permitted by the Treasury Regulations promulgated under Section 704(c) of the Code that is selected by the tax matters partner.</w:t>
      </w:r>
    </w:p>
    <w:p>
      <w:pPr>
        <w:spacing w:after="0" w:line="77" w:lineRule="exact"/>
        <w:rPr>
          <w:rFonts w:ascii="Times New Roman" w:cs="Times New Roman" w:eastAsia="Times New Roman" w:hAnsi="Times New Roman"/>
          <w:sz w:val="17"/>
          <w:szCs w:val="17"/>
          <w:color w:val="auto"/>
        </w:rPr>
      </w:pPr>
    </w:p>
    <w:p>
      <w:pPr>
        <w:ind w:left="460" w:right="220" w:firstLine="436"/>
        <w:spacing w:after="0" w:line="260" w:lineRule="auto"/>
        <w:tabs>
          <w:tab w:leader="none" w:pos="112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Future Acquisitions.</w:t>
      </w:r>
      <w:r>
        <w:rPr>
          <w:rFonts w:ascii="Times New Roman" w:cs="Times New Roman" w:eastAsia="Times New Roman" w:hAnsi="Times New Roman"/>
          <w:sz w:val="17"/>
          <w:szCs w:val="17"/>
          <w:color w:val="auto"/>
        </w:rPr>
        <w:t xml:space="preserve"> (i) In the event the Company or one of its Subsidiaries acquires an entity after the date hereof and the Managing Members do not revise Schedule A or Schedule C to reflect such entity, such entity shall be an “</w:t>
      </w:r>
      <w:r>
        <w:rPr>
          <w:rFonts w:ascii="Times New Roman" w:cs="Times New Roman" w:eastAsia="Times New Roman" w:hAnsi="Times New Roman"/>
          <w:sz w:val="17"/>
          <w:szCs w:val="17"/>
          <w:u w:val="single" w:color="auto"/>
          <w:color w:val="auto"/>
        </w:rPr>
        <w:t>Unallocated Entity</w:t>
      </w:r>
      <w:r>
        <w:rPr>
          <w:rFonts w:ascii="Times New Roman" w:cs="Times New Roman" w:eastAsia="Times New Roman" w:hAnsi="Times New Roman"/>
          <w:sz w:val="17"/>
          <w:szCs w:val="17"/>
          <w:color w:val="auto"/>
        </w:rPr>
        <w:t>”. The Managing Members shall determine the “</w:t>
      </w:r>
      <w:r>
        <w:rPr>
          <w:rFonts w:ascii="Times New Roman" w:cs="Times New Roman" w:eastAsia="Times New Roman" w:hAnsi="Times New Roman"/>
          <w:sz w:val="17"/>
          <w:szCs w:val="17"/>
          <w:u w:val="single" w:color="auto"/>
          <w:color w:val="auto"/>
        </w:rPr>
        <w:t>Funding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Proportion</w:t>
      </w:r>
      <w:r>
        <w:rPr>
          <w:rFonts w:ascii="Times New Roman" w:cs="Times New Roman" w:eastAsia="Times New Roman" w:hAnsi="Times New Roman"/>
          <w:sz w:val="17"/>
          <w:szCs w:val="17"/>
          <w:color w:val="auto"/>
        </w:rPr>
        <w:t>” of each Common Member with respect to each Unallocated Entity in accordance with the principles set forth in Section 5.04(e)(ii).</w:t>
      </w:r>
    </w:p>
    <w:p>
      <w:pPr>
        <w:spacing w:after="0" w:line="69" w:lineRule="exact"/>
        <w:rPr>
          <w:rFonts w:ascii="Times New Roman" w:cs="Times New Roman" w:eastAsia="Times New Roman" w:hAnsi="Times New Roman"/>
          <w:sz w:val="17"/>
          <w:szCs w:val="17"/>
          <w:color w:val="auto"/>
        </w:rPr>
      </w:pPr>
    </w:p>
    <w:p>
      <w:pPr>
        <w:ind w:left="920" w:right="20" w:firstLine="415"/>
        <w:spacing w:after="0" w:line="306" w:lineRule="auto"/>
        <w:tabs>
          <w:tab w:leader="none" w:pos="158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revisions to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color w:val="auto"/>
        </w:rPr>
        <w:t xml:space="preserve"> to reflect any entity acquired after the date hereof, and any determination of a Funding Proportion pursuant to Section 5.04(e)(i), shall reflect each Common Member’s economic investment with respect to the relevant entity relative to each other Common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00"/>
          </w:cols>
          <w:pgMar w:left="240" w:top="261" w:right="259" w:bottom="1440" w:gutter="0" w:footer="0" w:header="0"/>
        </w:sectPr>
      </w:pPr>
    </w:p>
    <w:bookmarkStart w:id="113" w:name="page114"/>
    <w:bookmarkEnd w:id="113"/>
    <w:p>
      <w:pPr>
        <w:ind w:left="92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Member, as determined in good faith and taking into account (A) any adjustments to the Common Members’ respective Percentages Interests that result from transactions related to the acquisition of such entity, including pursuant to Section 4.03(a), (B) any portion of the consideration for the relevant entity provided by the Company and (C) any other relevant information. Determinations made in accordance with the principles set forth in this Section 5.04(e) (ii), and the allocations of Profit or Loss, as the case may be, that result therefrom, are intended to comply with Treasury Regulation section 1.704-1(b), and shall be interpreted and applied in a manner consistent therewith.</w:t>
      </w:r>
    </w:p>
    <w:p>
      <w:pPr>
        <w:spacing w:after="0" w:line="178" w:lineRule="exact"/>
        <w:rPr>
          <w:sz w:val="20"/>
          <w:szCs w:val="20"/>
          <w:color w:val="auto"/>
        </w:rPr>
      </w:pPr>
    </w:p>
    <w:p>
      <w:pPr>
        <w:ind w:firstLine="914"/>
        <w:spacing w:after="0" w:line="252"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Board Determinations.</w:t>
      </w:r>
      <w:r>
        <w:rPr>
          <w:rFonts w:ascii="Times New Roman" w:cs="Times New Roman" w:eastAsia="Times New Roman" w:hAnsi="Times New Roman"/>
          <w:sz w:val="17"/>
          <w:szCs w:val="17"/>
          <w:color w:val="auto"/>
        </w:rPr>
        <w:t xml:space="preserve"> All determinations, valuations and other matters of judgment required to be made for purposes of this Article V, including with respect to calculations of Profit Participation Amount, Ordinary Revenue and Ordinary Expenses and accounting procedures and tax matters not expressly provided for by the terms of this Agreement, or for determining the value of any type or form of proceeds, contribution or distributions hereunder shall be made by the Managing Members or the Lazard Board. In the event an additional Member is admitted to the Company and contributes property to the Company, or an existing Member contributes additional property to the Company, pursuant to this Agreement, the value of such contributed property shall be the fair market value of such property as determined by the Managing Members or the Lazard Board.</w:t>
      </w:r>
    </w:p>
    <w:p>
      <w:pPr>
        <w:spacing w:after="0" w:line="178" w:lineRule="exact"/>
        <w:rPr>
          <w:sz w:val="20"/>
          <w:szCs w:val="20"/>
          <w:color w:val="auto"/>
        </w:rPr>
      </w:pPr>
    </w:p>
    <w:p>
      <w:pPr>
        <w:ind w:right="60"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u w:val="single" w:color="auto"/>
          <w:color w:val="auto"/>
        </w:rPr>
        <w:t>Books and Accounts.</w:t>
      </w:r>
      <w:r>
        <w:rPr>
          <w:rFonts w:ascii="Times New Roman" w:cs="Times New Roman" w:eastAsia="Times New Roman" w:hAnsi="Times New Roman"/>
          <w:sz w:val="17"/>
          <w:szCs w:val="17"/>
          <w:color w:val="auto"/>
        </w:rPr>
        <w:t xml:space="preserve"> (a) The Company shall at all times keep or cause to be kept true and complete records and books of account, which records and book shall be maintained in accordance with U.S. generally accepted accounting principles. Such records and books of account shall be kept at the principal place of business of the Company. The Managing Members and the Lazard Board shall have access thereto and the right to receive copies thereof. As permitted by Section 18-305(g) of the Act, no Member shall be entitled to review such records and books of account (including any of the schedules hereto) unless the Managing Members or the Lazard Board, in its sole discretion, shall permit such review. The Company’s accounts shall be maintained in United States dollars.</w:t>
      </w:r>
    </w:p>
    <w:p>
      <w:pPr>
        <w:spacing w:after="0" w:line="77" w:lineRule="exact"/>
        <w:rPr>
          <w:sz w:val="20"/>
          <w:szCs w:val="20"/>
          <w:color w:val="auto"/>
        </w:rPr>
      </w:pPr>
    </w:p>
    <w:p>
      <w:pPr>
        <w:ind w:left="460" w:right="60" w:firstLine="436"/>
        <w:spacing w:after="0" w:line="260" w:lineRule="auto"/>
        <w:tabs>
          <w:tab w:leader="none" w:pos="112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fiscal year shall begin on the first day of January and end on the thirty-first day of December of each year, or shall be such other period designated by the Managing Members or the Lazard Board. At the end of each fiscal year the Company’s accounts shall be prepared, presented to the Managing Members or the Lazard Board and submitted to the Company’s auditors for examination.</w:t>
      </w:r>
    </w:p>
    <w:p>
      <w:pPr>
        <w:spacing w:after="0" w:line="69" w:lineRule="exact"/>
        <w:rPr>
          <w:rFonts w:ascii="Times New Roman" w:cs="Times New Roman" w:eastAsia="Times New Roman" w:hAnsi="Times New Roman"/>
          <w:sz w:val="17"/>
          <w:szCs w:val="17"/>
          <w:color w:val="auto"/>
        </w:rPr>
      </w:pPr>
    </w:p>
    <w:p>
      <w:pPr>
        <w:jc w:val="both"/>
        <w:ind w:left="460" w:firstLine="436"/>
        <w:spacing w:after="0" w:line="256" w:lineRule="auto"/>
        <w:tabs>
          <w:tab w:leader="none" w:pos="113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auditors shall be an independent accounting firm of international reputation to be appointed from time to time by the Lazard Board or the Managing Members. The Company’s auditors shall be entitled to receive promptly such information, accounts and explanations from the Lazard Board, each officer and each Member that they deem reasonably necessary to carry out their duties. The Members shall provide such financial, tax and other information to the Company as may be reasonably necessary and appropriate to carry out the purposes of the Company.</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360"/>
          </w:cols>
          <w:pgMar w:left="240" w:top="262" w:right="299" w:bottom="1440" w:gutter="0" w:footer="0" w:header="0"/>
        </w:sectPr>
      </w:pPr>
    </w:p>
    <w:bookmarkStart w:id="114" w:name="page115"/>
    <w:bookmarkEnd w:id="114"/>
    <w:p>
      <w:pPr>
        <w:ind w:right="260" w:firstLine="914"/>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5.07. </w:t>
      </w:r>
      <w:r>
        <w:rPr>
          <w:rFonts w:ascii="Times New Roman" w:cs="Times New Roman" w:eastAsia="Times New Roman" w:hAnsi="Times New Roman"/>
          <w:sz w:val="17"/>
          <w:szCs w:val="17"/>
          <w:u w:val="single" w:color="auto"/>
          <w:color w:val="auto"/>
        </w:rPr>
        <w:t>Tax Matters Partner.</w:t>
      </w:r>
      <w:r>
        <w:rPr>
          <w:rFonts w:ascii="Times New Roman" w:cs="Times New Roman" w:eastAsia="Times New Roman" w:hAnsi="Times New Roman"/>
          <w:sz w:val="17"/>
          <w:szCs w:val="17"/>
          <w:color w:val="auto"/>
        </w:rPr>
        <w:t xml:space="preserve"> Lazard Ltd Sub B is hereby designated as the tax matters partner of the Company, in accordance with the Treasury Regulations promulgated pursuant to Section 6231 of the Code and any similar provisions under any other state or local or non-U.S. tax laws. Lazard Ltd Sub B shall have the authority, in its sole discretion, to (a) make an election under Section 754 of the Code on behalf of the Company, and each Member agrees to provide such information and documentation as Lazard Ltd Sub B may reasonably request in connection with any such election, (b) determine the manner in which “excess nonrecourse liabilities” (within the meaning of Treasury Regulation section 1.752-3(a)(3)) are allocated among the Members and (c) make any other election or determination with respect to taxes (including with respect to depreciation, amortization and accounting methods).</w:t>
      </w:r>
    </w:p>
    <w:p>
      <w:pPr>
        <w:spacing w:after="0" w:line="178" w:lineRule="exact"/>
        <w:rPr>
          <w:sz w:val="20"/>
          <w:szCs w:val="20"/>
          <w:color w:val="auto"/>
        </w:rPr>
      </w:pPr>
    </w:p>
    <w:p>
      <w:pPr>
        <w:ind w:right="14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Tax Information.</w:t>
      </w:r>
      <w:r>
        <w:rPr>
          <w:rFonts w:ascii="Times New Roman" w:cs="Times New Roman" w:eastAsia="Times New Roman" w:hAnsi="Times New Roman"/>
          <w:sz w:val="17"/>
          <w:szCs w:val="17"/>
          <w:color w:val="auto"/>
        </w:rPr>
        <w:t xml:space="preserve"> The Company shall use commercially reasonable efforts to prepare and mail as soon as reasonably practicable after the end of each taxable year of the Company, or as soon as practicable thereafter, to each Member other than the Managing Member (and each other Person that was such a Member during such taxable year or its legal representatives), U.S. Internal Revenue Service Schedule K-1, “Partner’s Share of Income, Credits, Deductions, Etc.,” or any successor schedule or form, for such Person.</w:t>
      </w:r>
    </w:p>
    <w:p>
      <w:pPr>
        <w:spacing w:after="0" w:line="173" w:lineRule="exact"/>
        <w:rPr>
          <w:sz w:val="20"/>
          <w:szCs w:val="20"/>
          <w:color w:val="auto"/>
        </w:rPr>
      </w:pPr>
    </w:p>
    <w:p>
      <w:pPr>
        <w:ind w:firstLine="914"/>
        <w:spacing w:after="0" w:line="284"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xml:space="preserve"> The Company is authorized to withhold from distributions and allocations to the Members, and to pay over to any federal, state, local or foreign governmental authority any amounts believed in good faith to be so withheld pursuant to the Code or any provision of any other federal, state, local or foreign law and, for all purposes under this Agreement, shall treat such amounts as distributed to those Members with respect to which such amounts were withheld.</w:t>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ARTICLE VI</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DISTRIBUTIONS</w:t>
      </w:r>
    </w:p>
    <w:p>
      <w:pPr>
        <w:spacing w:after="0" w:line="207" w:lineRule="exact"/>
        <w:rPr>
          <w:sz w:val="20"/>
          <w:szCs w:val="20"/>
          <w:color w:val="auto"/>
        </w:rPr>
      </w:pPr>
    </w:p>
    <w:p>
      <w:pPr>
        <w:ind w:right="60" w:firstLine="914"/>
        <w:spacing w:after="0" w:line="273"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u w:val="single" w:color="auto"/>
          <w:color w:val="auto"/>
        </w:rPr>
        <w:t>Distributions in Respect of Profit Participation Interests.</w:t>
      </w:r>
      <w:r>
        <w:rPr>
          <w:rFonts w:ascii="Times New Roman" w:cs="Times New Roman" w:eastAsia="Times New Roman" w:hAnsi="Times New Roman"/>
          <w:sz w:val="16"/>
          <w:szCs w:val="16"/>
          <w:color w:val="auto"/>
        </w:rPr>
        <w:t xml:space="preserve"> (a) Subject to the last sentence of this Section 6.01(a), the Company shall distribute to each Profit Participation Member from such Member’s Profit Participation Capital Account as promptly as practicable after the end of each of the first three</w:t>
      </w:r>
    </w:p>
    <w:p>
      <w:pPr>
        <w:ind w:firstLine="1"/>
        <w:spacing w:after="0" w:line="247" w:lineRule="auto"/>
        <w:tabs>
          <w:tab w:leader="none" w:pos="23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quarters of each fiscal year of the Company or relevant estimated tax payment date an amount equal to such Profit Participation Member’s Quarterly Profit Participation Tax Distribution for such fiscal quarter. In addition, the Company shall distribute to each Profit Participation Member from such Member’s Profit Participation Capital Account as promptly as practicable after the end of each fiscal year an amount equal to the excess, if any, of such Profit Participation Member’s Proportionate Tax Share for such fiscal year over the aggregate amount of Quarterly Profit Participation Tax Distributions made to such Profit Participation Member with respect to such fiscal year. If, at the end of any fiscal year of the Company, the aggregate amount of Quarterly Profit Participation Tax Distributions made to a Profit Participation Member exceeds such Profit Participation Member’s Proportionate Tax Share, in each case with respect to such fiscal year, then (i) in the case of any Profit Participation Member who is an Executive Officer, the amount of such excess shall reduce the amount of any future distributions that would otherwise be made to such Profit Participation Member, including any distributions pursuant to this Section 6.01(a) or Section 6.01(b) and (ii) in the case of any other Profit Participation Member, the amount of such excess shall be treated as an advance, and, at the election of the Company, shall be repaid to the Company by such Profit Participation Member or shall reduce the amount of any future distributions that would otherwise be made to such Profit Participation Member, including any distributions pursuant to this Section 6.01(a) or Section 6.01(b).</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380"/>
          </w:cols>
          <w:pgMar w:left="240" w:top="261" w:right="279" w:bottom="1440" w:gutter="0" w:footer="0" w:header="0"/>
        </w:sectPr>
      </w:pPr>
    </w:p>
    <w:bookmarkStart w:id="115" w:name="page116"/>
    <w:bookmarkEnd w:id="115"/>
    <w:p>
      <w:pPr>
        <w:ind w:left="460" w:firstLine="436"/>
        <w:spacing w:after="0" w:line="249" w:lineRule="auto"/>
        <w:tabs>
          <w:tab w:leader="none" w:pos="11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Company shall, after the end of each fiscal year, distribute to each Profit Participation Member from such Member’s Profit Participation Capital Account an amount (if positive) equal to the aggregate of all Profit Participation Amounts allocated to such Member’s Profit Participation Capital Account pursuant to Section 5.04(a) during such fiscal year (reduced by the amount of any distributions pursuant to Section 6.01(a)), with such distribution to occur on such date and time as determined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distribution shall be made to such person pursuant to this Section 6.01(b) unless such person shall continue to be a Profit Participation Member as of the date and time of distribution;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distributions pursuant to this Section 6.01(b) shall be made to a Profit Participation Member only to the extent of the positive balance in such Member’s Profit Participation Capital Account unless otherwise determined by the Lazard Board. Notwithstanding the foregoing, the Company may (i) withhold all or a portion of the distributions otherwise payable to any Profit Participation Member pursuant to the immediately foregoing sentence, or (ii) distribute to any Profit Participation Member all or a portion of the positive balance, if any, in such Member’s Profit Participation Capital Account as of the end of the applicable fiscal year (after giving effect to (A) the allocations pursuant to Section 5.04(a) with respect to the Accounting Period ending on December 31 of such fiscal year and (B) any distributions pursuant to the first sentence of this Section 6.01(b)).</w:t>
      </w:r>
    </w:p>
    <w:p>
      <w:pPr>
        <w:spacing w:after="0" w:line="185" w:lineRule="exact"/>
        <w:rPr>
          <w:sz w:val="20"/>
          <w:szCs w:val="20"/>
          <w:color w:val="auto"/>
        </w:rPr>
      </w:pPr>
    </w:p>
    <w:p>
      <w:pPr>
        <w:ind w:firstLine="914"/>
        <w:spacing w:after="0" w:line="250"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Distributions in Respect of Common Interests.</w:t>
      </w:r>
      <w:r>
        <w:rPr>
          <w:rFonts w:ascii="Times New Roman" w:cs="Times New Roman" w:eastAsia="Times New Roman" w:hAnsi="Times New Roman"/>
          <w:sz w:val="17"/>
          <w:szCs w:val="17"/>
          <w:color w:val="auto"/>
        </w:rPr>
        <w:t xml:space="preserve"> (a) Subject to the last sentence of this Section 6.02(a), the Company shall distribute to each Common Member from such Member’s Common Capital Account as promptly as practicable after the end of each of the first three (3) fiscal quarters of each fiscal year of the Company or relevant estimated tax payment date an amount equal to such Common Member’s Quarterly Common Tax Distribution for such fiscal quarter. In addition, the Company shall distribute to each Common Member from such Member’s Common Capital Account as promptly as practicable after the end of each fiscal year an amount equal to the excess, if any, of such Common Member’s Proportionate Tax Share for such fiscal year over the aggregate amount of Quarterly Common Tax Distributions made to such Common Member with respect to such fiscal year. If, at the end of any fiscal year of the Company, the aggregate amount of Quarterly Common Tax Distributions made to a Common Member exceeds such Common Member’s Proportionate Tax Share, in each case with respect to such fiscal year, then the amount of such excess shall be treated as an advance, and, at the election of the Company, shall be repaid to the Company by such Common Member or shall reduce the amount of any future distributions that would otherwise be made to such Common Member pursuant to this Section 6.02(a).</w:t>
      </w:r>
    </w:p>
    <w:p>
      <w:pPr>
        <w:spacing w:after="0" w:line="80" w:lineRule="exact"/>
        <w:rPr>
          <w:sz w:val="20"/>
          <w:szCs w:val="20"/>
          <w:color w:val="auto"/>
        </w:rPr>
      </w:pPr>
    </w:p>
    <w:p>
      <w:pPr>
        <w:ind w:left="460" w:right="200" w:firstLine="436"/>
        <w:spacing w:after="0" w:line="256" w:lineRule="auto"/>
        <w:tabs>
          <w:tab w:leader="none" w:pos="11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Lazard Board shall have the right to cause the Company to make distributions to any Common Member from such Common Member’s Common Capital Account, at such times, and in such amounts, as may be determined by the Lazard Board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distribution to a Common Member shall exceed such Member’s Common Capital Account immediately before such distribution. Distributions pursuant to this Section 6.02 need not be made on a pro rata basis.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420"/>
          </w:cols>
          <w:pgMar w:left="240" w:top="261" w:right="239" w:bottom="1440" w:gutter="0" w:footer="0" w:header="0"/>
        </w:sectPr>
      </w:pPr>
    </w:p>
    <w:bookmarkStart w:id="116" w:name="page117"/>
    <w:bookmarkEnd w:id="116"/>
    <w:p>
      <w:pPr>
        <w:ind w:left="460" w:right="340" w:firstLine="436"/>
        <w:spacing w:after="0" w:line="274" w:lineRule="auto"/>
        <w:tabs>
          <w:tab w:leader="none" w:pos="112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Any amount distributed to a Common Member pursuant to Section 6.02(a) shall be treated as an advance, and shall reduce the amount of any future distributions that would otherwise be made to such Common Member pursuant to Section 6.02(b).</w:t>
      </w:r>
    </w:p>
    <w:p>
      <w:pPr>
        <w:spacing w:after="0" w:line="158" w:lineRule="exact"/>
        <w:rPr>
          <w:sz w:val="20"/>
          <w:szCs w:val="20"/>
          <w:color w:val="auto"/>
        </w:rPr>
      </w:pPr>
    </w:p>
    <w:p>
      <w:pPr>
        <w:ind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Limitation on Distributions.</w:t>
      </w:r>
      <w:r>
        <w:rPr>
          <w:rFonts w:ascii="Times New Roman" w:cs="Times New Roman" w:eastAsia="Times New Roman" w:hAnsi="Times New Roman"/>
          <w:sz w:val="17"/>
          <w:szCs w:val="17"/>
          <w:color w:val="auto"/>
        </w:rPr>
        <w:t xml:space="preserve"> Notwithstanding any provision to the contrary contained in this Agreement, the Company, and the Lazard Board on behalf of the Company, shall not be required to make a distribution to a Member on account of its interest in the Company if such distribution would violate the Act or any other applicable law.</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VII</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TRANSFERS OF INTERESTS</w:t>
      </w:r>
    </w:p>
    <w:p>
      <w:pPr>
        <w:spacing w:after="0" w:line="207" w:lineRule="exact"/>
        <w:rPr>
          <w:sz w:val="20"/>
          <w:szCs w:val="20"/>
          <w:color w:val="auto"/>
        </w:rPr>
      </w:pPr>
    </w:p>
    <w:p>
      <w:pPr>
        <w:ind w:right="20"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u w:val="single" w:color="auto"/>
          <w:color w:val="auto"/>
        </w:rPr>
        <w:t>Transfer of Interests.</w:t>
      </w:r>
      <w:r>
        <w:rPr>
          <w:rFonts w:ascii="Times New Roman" w:cs="Times New Roman" w:eastAsia="Times New Roman" w:hAnsi="Times New Roman"/>
          <w:sz w:val="17"/>
          <w:szCs w:val="17"/>
          <w:color w:val="auto"/>
        </w:rPr>
        <w:t xml:space="preserve"> No Member may Transfer or agree or otherwise commit to Transfer all or any portion of, or any of rights, title and interest in and to, its Interest, except as permitted by the terms and conditions set forth in this Article VII. Any Transfer permitted by the terms and conditions set forth in this Article VII must be approved by action of the Managing Members. The schedules shall be deemed to be amended from time to time to reflect any change in the Members or Interests to reflect any Transfer in accordance with this Article VII.</w:t>
      </w:r>
    </w:p>
    <w:p>
      <w:pPr>
        <w:spacing w:after="0" w:line="173" w:lineRule="exact"/>
        <w:rPr>
          <w:sz w:val="20"/>
          <w:szCs w:val="20"/>
          <w:color w:val="auto"/>
        </w:rPr>
      </w:pPr>
    </w:p>
    <w:p>
      <w:pPr>
        <w:ind w:right="80"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Common Interests.</w:t>
      </w:r>
      <w:r>
        <w:rPr>
          <w:rFonts w:ascii="Times New Roman" w:cs="Times New Roman" w:eastAsia="Times New Roman" w:hAnsi="Times New Roman"/>
          <w:sz w:val="17"/>
          <w:szCs w:val="17"/>
          <w:color w:val="auto"/>
        </w:rPr>
        <w:t xml:space="preserve"> Other than any Transfer by a Common Member to any other Common Member or to any person who is admitted as an additional Common Member in accordance with Section 4.04(a) of this Agreement, no Common Member may Transfer or agree or otherwise commit to Transfer all or any portion of, or any of rights, title and interest in and to, its Common Interest without the prior approval of the Lazard Board.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xml:space="preserve"> sets forth the Percentage Interest of each of the Common Members. Such schedule shall be amended pursuant to Section 1.03 to reflect any Transfer of Common Interests in accordance with this Agreement.</w:t>
      </w:r>
    </w:p>
    <w:p>
      <w:pPr>
        <w:spacing w:after="0" w:line="77" w:lineRule="exact"/>
        <w:rPr>
          <w:sz w:val="20"/>
          <w:szCs w:val="20"/>
          <w:color w:val="auto"/>
        </w:rPr>
      </w:pPr>
    </w:p>
    <w:p>
      <w:pPr>
        <w:ind w:left="460" w:right="140" w:firstLine="436"/>
        <w:spacing w:after="0" w:line="274" w:lineRule="auto"/>
        <w:tabs>
          <w:tab w:leader="none" w:pos="11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Profit Participation Interests.</w:t>
      </w:r>
      <w:r>
        <w:rPr>
          <w:rFonts w:ascii="Times New Roman" w:cs="Times New Roman" w:eastAsia="Times New Roman" w:hAnsi="Times New Roman"/>
          <w:sz w:val="17"/>
          <w:szCs w:val="17"/>
          <w:color w:val="auto"/>
        </w:rPr>
        <w:t xml:space="preserve"> No Profit Participation Member may Transfer or agree or otherwise commit to Transfer all or any portion of, or any of its rights, title and interest in and to, its Profit Participation Interest.</w:t>
      </w:r>
    </w:p>
    <w:p>
      <w:pPr>
        <w:spacing w:after="0" w:line="57" w:lineRule="exact"/>
        <w:rPr>
          <w:rFonts w:ascii="Times New Roman" w:cs="Times New Roman" w:eastAsia="Times New Roman" w:hAnsi="Times New Roman"/>
          <w:sz w:val="17"/>
          <w:szCs w:val="17"/>
          <w:color w:val="auto"/>
        </w:rPr>
      </w:pPr>
    </w:p>
    <w:p>
      <w:pPr>
        <w:ind w:left="460" w:right="60" w:firstLine="436"/>
        <w:spacing w:after="0" w:line="260" w:lineRule="auto"/>
        <w:tabs>
          <w:tab w:leader="none" w:pos="112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Admission as a Member.</w:t>
      </w:r>
      <w:r>
        <w:rPr>
          <w:rFonts w:ascii="Times New Roman" w:cs="Times New Roman" w:eastAsia="Times New Roman" w:hAnsi="Times New Roman"/>
          <w:sz w:val="17"/>
          <w:szCs w:val="17"/>
          <w:color w:val="auto"/>
        </w:rPr>
        <w:t xml:space="preserve"> Notwithstanding anything to the contrary set forth herein, a Transferee pursuant to any Transfer under this Section 7.02 who is not a Common Member at the time of such Transfer shall be admitted as an additional Common Member, and shall be listed as a “Common Member”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only in accordance with Section 4.04(a).</w:t>
      </w:r>
    </w:p>
    <w:p>
      <w:pPr>
        <w:spacing w:after="0" w:line="69" w:lineRule="exact"/>
        <w:rPr>
          <w:rFonts w:ascii="Times New Roman" w:cs="Times New Roman" w:eastAsia="Times New Roman" w:hAnsi="Times New Roman"/>
          <w:sz w:val="17"/>
          <w:szCs w:val="17"/>
          <w:color w:val="auto"/>
        </w:rPr>
      </w:pPr>
    </w:p>
    <w:p>
      <w:pPr>
        <w:ind w:left="460" w:right="240" w:firstLine="436"/>
        <w:spacing w:after="0" w:line="260" w:lineRule="auto"/>
        <w:tabs>
          <w:tab w:leader="none" w:pos="113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Capital Accounts.</w:t>
      </w:r>
      <w:r>
        <w:rPr>
          <w:rFonts w:ascii="Times New Roman" w:cs="Times New Roman" w:eastAsia="Times New Roman" w:hAnsi="Times New Roman"/>
          <w:sz w:val="17"/>
          <w:szCs w:val="17"/>
          <w:color w:val="auto"/>
        </w:rPr>
        <w:t xml:space="preserve"> Notwithstanding anything herein to the contrary, each Member who Transfers an Interest (or a portion thereof) shall be deemed to have Transferred the entire Common Interest, including the Common Capital Account with respect to such Interest (or, if a portion of a Common Interest is being Transferred, a proportionate amount of Common Capital Account with respect to such Interest) to the Transferee.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[Reserved.]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380"/>
          </w:cols>
          <w:pgMar w:left="240" w:top="261" w:right="279" w:bottom="1440" w:gutter="0" w:footer="0" w:header="0"/>
        </w:sectPr>
      </w:pPr>
    </w:p>
    <w:bookmarkStart w:id="117" w:name="page118"/>
    <w:bookmarkEnd w:id="117"/>
    <w:p>
      <w:pPr>
        <w:ind w:firstLine="914"/>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7.04. </w:t>
      </w:r>
      <w:r>
        <w:rPr>
          <w:rFonts w:ascii="Times New Roman" w:cs="Times New Roman" w:eastAsia="Times New Roman" w:hAnsi="Times New Roman"/>
          <w:sz w:val="17"/>
          <w:szCs w:val="17"/>
          <w:u w:val="single" w:color="auto"/>
          <w:color w:val="auto"/>
        </w:rPr>
        <w:t>Encumbrances.</w:t>
      </w:r>
      <w:r>
        <w:rPr>
          <w:rFonts w:ascii="Times New Roman" w:cs="Times New Roman" w:eastAsia="Times New Roman" w:hAnsi="Times New Roman"/>
          <w:sz w:val="17"/>
          <w:szCs w:val="17"/>
          <w:color w:val="auto"/>
        </w:rPr>
        <w:t xml:space="preserve"> No Member (other than Lazard Ltd or one of its controlled Subsidiaries) may without the consent of the Company charge or encumber his Interest or subject his Interest to a lien, pledge, security interest, right of first refusal, option or other similar limitation (an “</w:t>
      </w:r>
      <w:r>
        <w:rPr>
          <w:rFonts w:ascii="Times New Roman" w:cs="Times New Roman" w:eastAsia="Times New Roman" w:hAnsi="Times New Roman"/>
          <w:sz w:val="17"/>
          <w:szCs w:val="17"/>
          <w:u w:val="single" w:color="auto"/>
          <w:color w:val="auto"/>
        </w:rPr>
        <w:t>Encumbrance</w:t>
      </w:r>
      <w:r>
        <w:rPr>
          <w:rFonts w:ascii="Times New Roman" w:cs="Times New Roman" w:eastAsia="Times New Roman" w:hAnsi="Times New Roman"/>
          <w:sz w:val="17"/>
          <w:szCs w:val="17"/>
          <w:color w:val="auto"/>
        </w:rPr>
        <w:t>”) except in each case for those created by this Agreement. Notwithstanding anything to the contrary set forth in this Article VII, the incurrence of any Encumbrance permitted by this Section 7.04 shall not be deemed to be a Transfer.</w:t>
      </w:r>
    </w:p>
    <w:p>
      <w:pPr>
        <w:spacing w:after="0" w:line="173" w:lineRule="exact"/>
        <w:rPr>
          <w:sz w:val="20"/>
          <w:szCs w:val="20"/>
          <w:color w:val="auto"/>
        </w:rPr>
      </w:pPr>
    </w:p>
    <w:p>
      <w:pPr>
        <w:ind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7.05. </w:t>
      </w: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xml:space="preserve"> Each Member agrees that any certificate issued to it to evidence its Interests shall have inscribed conspicuously on its front or back the following legend:</w:t>
      </w:r>
    </w:p>
    <w:p>
      <w:pPr>
        <w:spacing w:after="0" w:line="57" w:lineRule="exact"/>
        <w:rPr>
          <w:sz w:val="20"/>
          <w:szCs w:val="20"/>
          <w:color w:val="auto"/>
        </w:rPr>
      </w:pPr>
    </w:p>
    <w:p>
      <w:pPr>
        <w:ind w:left="460" w:right="140"/>
        <w:spacing w:after="0" w:line="250" w:lineRule="auto"/>
        <w:rPr>
          <w:sz w:val="20"/>
          <w:szCs w:val="20"/>
          <w:color w:val="auto"/>
        </w:rPr>
      </w:pPr>
      <w:r>
        <w:rPr>
          <w:rFonts w:ascii="Times New Roman" w:cs="Times New Roman" w:eastAsia="Times New Roman" w:hAnsi="Times New Roman"/>
          <w:sz w:val="17"/>
          <w:szCs w:val="17"/>
          <w:color w:val="auto"/>
        </w:rPr>
        <w:t>THE LIMITED LIABILITY COMPANY INTEREST IN LAZARD GROUP LLC REPRESENTED BY THIS CERTIFICATE HAS NOT BEEN REGISTERED UNDER THE UNITED STATES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REGISTERED OR QUALIFIED UNDER THE SECURITIES LAWS OF ANY STATE OR FOREIGN JURISDICTION, AND THIS LIMITED LIABILITY COMPANY INTEREST MAY NOT BE TRANSFERRED, SOLD, ASSIGNED, PLEDGED, HYPOTHECATED, ENCUMBERED OR OTHERWISE DISPOSED OF, IN WHOLE OR IN PART, EXCEPT (A) EITHER (1) WHILE A REGISTRATION STATEMENT UNDER THE SECURITIES ACT AND SUCH OTHER APPLICABLE REGISTRATIONS AND QUALIFICATIONS ARE IN EFFECT OR (2) PURSUANT TO AN AVAILABLE EXEMPTION FROM REGISTRATION UNDER THE SECURITIES ACT (INCLUDING, IF APPLICABLE, REGULATION S THEREUNDER) AND SUCH OTHER APPLICABLE LAWS AND (B) IF PERMITTED BY THE OPERATING AGREEMENT OF LAZARD GROUP LLC AS IT MAY BE AMENDED FROM TIME TO TIME, WHICH CONTAINS STRICT PROHIBITIONS ON TRANSFERS, SALES, ASSIGNMENTS, PLEDGES, HYPOTHECATIONS, ENCUMBRANCES OR OTHER DISPOSITIONS OF THIS LIMITED LIABILITY COMPANY INTEREST.</w:t>
      </w:r>
    </w:p>
    <w:p>
      <w:pPr>
        <w:spacing w:after="0" w:line="179" w:lineRule="exact"/>
        <w:rPr>
          <w:sz w:val="20"/>
          <w:szCs w:val="20"/>
          <w:color w:val="auto"/>
        </w:rPr>
      </w:pPr>
    </w:p>
    <w:p>
      <w:pPr>
        <w:ind w:right="240"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7.06. </w:t>
      </w:r>
      <w:r>
        <w:rPr>
          <w:rFonts w:ascii="Times New Roman" w:cs="Times New Roman" w:eastAsia="Times New Roman" w:hAnsi="Times New Roman"/>
          <w:sz w:val="17"/>
          <w:szCs w:val="17"/>
          <w:u w:val="single" w:color="auto"/>
          <w:color w:val="auto"/>
        </w:rPr>
        <w:t>Effect of Transfer Not in Compliance with This Article.</w:t>
      </w:r>
      <w:r>
        <w:rPr>
          <w:rFonts w:ascii="Times New Roman" w:cs="Times New Roman" w:eastAsia="Times New Roman" w:hAnsi="Times New Roman"/>
          <w:sz w:val="17"/>
          <w:szCs w:val="17"/>
          <w:color w:val="auto"/>
        </w:rPr>
        <w:t xml:space="preserve"> Any purported Transfer of all or any part of a Member’s Interest, or any interest therein, that is not in compliance with this Article VII shall, to the fullest extent permitted by law, be void and shall be of no effect.</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ARTICLE VIII</w:t>
      </w:r>
    </w:p>
    <w:p>
      <w:pPr>
        <w:spacing w:after="0" w:line="1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u w:val="single" w:color="auto"/>
          <w:color w:val="auto"/>
        </w:rPr>
        <w:t>DISSOLUTION</w:t>
      </w:r>
    </w:p>
    <w:p>
      <w:pPr>
        <w:spacing w:after="0" w:line="207" w:lineRule="exact"/>
        <w:rPr>
          <w:sz w:val="20"/>
          <w:szCs w:val="20"/>
          <w:color w:val="auto"/>
        </w:rPr>
      </w:pPr>
    </w:p>
    <w:p>
      <w:pPr>
        <w:jc w:val="both"/>
        <w:ind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u w:val="single" w:color="auto"/>
          <w:color w:val="auto"/>
        </w:rPr>
        <w:t>Dissolution.</w:t>
      </w:r>
      <w:r>
        <w:rPr>
          <w:rFonts w:ascii="Times New Roman" w:cs="Times New Roman" w:eastAsia="Times New Roman" w:hAnsi="Times New Roman"/>
          <w:sz w:val="17"/>
          <w:szCs w:val="17"/>
          <w:color w:val="auto"/>
        </w:rPr>
        <w:t xml:space="preserve"> The Company shall be dissolved and its affairs shall be wound up upon (a) a decision made at any time by the Lazard Board to dissolve the Company, (b) the termination of the legal existence of the last remaining member of the Company or the occurrence of any other event which terminates the continued membership of the last remaining member of the Company in the Company unless the Company is continued without dissolution in a manner permitted by this Agreement or the Act, or (c) the entry of a decree of judicial dissolution under Section 18-802 of the Act. Subject to clause (b) of the immediately preceding sentence, the Company shall not be dissolved solely by reason of,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261" w:right="239" w:bottom="1440" w:gutter="0" w:footer="0" w:header="0"/>
        </w:sectPr>
      </w:pPr>
    </w:p>
    <w:bookmarkStart w:id="118" w:name="page119"/>
    <w:bookmarkEnd w:id="118"/>
    <w:p>
      <w:pPr>
        <w:ind w:right="18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shall continue notwithstanding, the death, Retirement, resignation, bankruptcy or dissolution of any Member (including any Managing Member). None of the Members shall have any right to terminate, dissolve or have redeemed their class of Interests or, to the fullest extent permitted by law, to terminate, wind up or dissolve the Company.</w:t>
      </w:r>
    </w:p>
    <w:p>
      <w:pPr>
        <w:spacing w:after="0" w:line="170" w:lineRule="exact"/>
        <w:rPr>
          <w:sz w:val="20"/>
          <w:szCs w:val="20"/>
          <w:color w:val="auto"/>
        </w:rPr>
      </w:pPr>
    </w:p>
    <w:p>
      <w:pPr>
        <w:ind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Upon a dissolution pursuant to Section 8.01, the Company’s business and assets shall be wound up promptly in an orderly manner. The Lazard Board shall be the liquidator to wind up the affairs of the Company. In performing its duties, the Lazard Board is authorized to sell, exchange or otherwise dispose of the Company’s business and assets in accordance with the Act in any reasonable manner that the Lazard Board determines to be in the best interests of the Members. Upon completion of the winding-up of the Company, the Lazard Board shall prepare and submit to each Common Member a final statement with respect thereto.</w:t>
      </w:r>
    </w:p>
    <w:p>
      <w:pPr>
        <w:spacing w:after="0" w:line="178" w:lineRule="exact"/>
        <w:rPr>
          <w:sz w:val="20"/>
          <w:szCs w:val="20"/>
          <w:color w:val="auto"/>
        </w:rPr>
      </w:pPr>
    </w:p>
    <w:p>
      <w:pPr>
        <w:ind w:right="560"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 xml:space="preserve"> (a) In the event of a dissolution of the Company pursuant to Section 8.01, the Company shall apply and distribute the proceeds of the dissolution as provided below:</w:t>
      </w:r>
    </w:p>
    <w:p>
      <w:pPr>
        <w:spacing w:after="0" w:line="57" w:lineRule="exact"/>
        <w:rPr>
          <w:sz w:val="20"/>
          <w:szCs w:val="20"/>
          <w:color w:val="auto"/>
        </w:rPr>
      </w:pPr>
    </w:p>
    <w:p>
      <w:pPr>
        <w:jc w:val="both"/>
        <w:ind w:left="920" w:right="240" w:firstLine="415"/>
        <w:spacing w:after="0" w:line="260" w:lineRule="auto"/>
        <w:tabs>
          <w:tab w:leader="none" w:pos="154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 the creditors of the Company, including Members that are creditors of the Company to the extent permitted by law, in satisfaction of the liabilities of the Company (by payment or by the making of reasonable provision for payment thereof, including the setting up of any reserves which the Managing Members determine, in their sole discretion, are necessary therefor);</w:t>
      </w:r>
    </w:p>
    <w:p>
      <w:pPr>
        <w:spacing w:after="0" w:line="69" w:lineRule="exact"/>
        <w:rPr>
          <w:rFonts w:ascii="Times New Roman" w:cs="Times New Roman" w:eastAsia="Times New Roman" w:hAnsi="Times New Roman"/>
          <w:sz w:val="17"/>
          <w:szCs w:val="17"/>
          <w:color w:val="auto"/>
        </w:rPr>
      </w:pPr>
    </w:p>
    <w:p>
      <w:pPr>
        <w:ind w:left="1580" w:hanging="245"/>
        <w:spacing w:after="0"/>
        <w:tabs>
          <w:tab w:leader="none" w:pos="15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to the Common Members in proportion to (and to the extent of) the positive balances in their respective Common Capital Accounts; and</w:t>
      </w:r>
    </w:p>
    <w:p>
      <w:pPr>
        <w:spacing w:after="0" w:line="106" w:lineRule="exact"/>
        <w:rPr>
          <w:rFonts w:ascii="Times New Roman" w:cs="Times New Roman" w:eastAsia="Times New Roman" w:hAnsi="Times New Roman"/>
          <w:sz w:val="17"/>
          <w:szCs w:val="17"/>
          <w:color w:val="auto"/>
        </w:rPr>
      </w:pPr>
    </w:p>
    <w:p>
      <w:pPr>
        <w:ind w:left="920" w:right="460" w:firstLine="415"/>
        <w:spacing w:after="0" w:line="274" w:lineRule="auto"/>
        <w:tabs>
          <w:tab w:leader="none" w:pos="163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to the Profit Participation Members in proportion to (and to the extent of) the positive balances in their respective Profit Participation Capital Accounts.</w:t>
      </w:r>
    </w:p>
    <w:p>
      <w:pPr>
        <w:spacing w:after="0" w:line="57" w:lineRule="exact"/>
        <w:rPr>
          <w:rFonts w:ascii="Times New Roman" w:cs="Times New Roman" w:eastAsia="Times New Roman" w:hAnsi="Times New Roman"/>
          <w:sz w:val="17"/>
          <w:szCs w:val="17"/>
          <w:color w:val="auto"/>
        </w:rPr>
      </w:pPr>
    </w:p>
    <w:p>
      <w:pPr>
        <w:ind w:left="460" w:right="280" w:firstLine="436"/>
        <w:spacing w:after="0" w:line="260" w:lineRule="auto"/>
        <w:tabs>
          <w:tab w:leader="none" w:pos="113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Certificate of Formation.</w:t>
      </w:r>
      <w:r>
        <w:rPr>
          <w:rFonts w:ascii="Times New Roman" w:cs="Times New Roman" w:eastAsia="Times New Roman" w:hAnsi="Times New Roman"/>
          <w:sz w:val="17"/>
          <w:szCs w:val="17"/>
          <w:color w:val="auto"/>
        </w:rPr>
        <w:t xml:space="preserve"> Upon completion of a liquidation and distribution pursuant to Section 8.03(a) following a dissolution of the Company pursuant to Section 8.01, the Managing Members shall execute, acknowledge and cause to be filed a certificate of cancellation of the Certificate of Formation of the Company in the office of the Secretary of State of the State of Delaware.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IX</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INDEMNIFICATION AND EXCULPATION</w:t>
      </w:r>
    </w:p>
    <w:p>
      <w:pPr>
        <w:spacing w:after="0" w:line="207" w:lineRule="exact"/>
        <w:rPr>
          <w:sz w:val="20"/>
          <w:szCs w:val="20"/>
          <w:color w:val="auto"/>
        </w:rPr>
      </w:pPr>
    </w:p>
    <w:p>
      <w:pPr>
        <w:ind w:firstLine="914"/>
        <w:spacing w:after="0" w:line="256" w:lineRule="auto"/>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u w:val="single" w:color="auto"/>
          <w:color w:val="auto"/>
        </w:rPr>
        <w:t>Exculpation.</w:t>
      </w:r>
      <w:r>
        <w:rPr>
          <w:rFonts w:ascii="Times New Roman" w:cs="Times New Roman" w:eastAsia="Times New Roman" w:hAnsi="Times New Roman"/>
          <w:sz w:val="17"/>
          <w:szCs w:val="17"/>
          <w:color w:val="auto"/>
        </w:rPr>
        <w:t xml:space="preserve"> A Director shall not be personally liable to the Company or its Members for monetary damages for breach of fiduciary duty as a Director, except to the extent such exemption from liability or limitation thereof is not permitted under the Act as the same exists or may hereafter be amended. Any repeal or modification of the immediately preceding sentence shall not adversely affect any right or protection of a Director existing hereunder with respect to any act or omission occurring prior to such repeal or modification.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420"/>
          </w:cols>
          <w:pgMar w:left="240" w:top="261" w:right="239" w:bottom="1440" w:gutter="0" w:footer="0" w:header="0"/>
        </w:sectPr>
      </w:pPr>
    </w:p>
    <w:bookmarkStart w:id="119" w:name="page120"/>
    <w:bookmarkEnd w:id="119"/>
    <w:p>
      <w:pPr>
        <w:ind w:firstLine="914"/>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9.02.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(a)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(i) a Director or officer of the Company, (ii) a director or officer of Lazard Ltd or (iii) serving at the request of the Company (including as evidenced in a written letter signed by a proper officer of the Company) as a director, officer, employee or agent of another corporation or of a partnership, joint venture, trust or other enterprise or person, including service with respect to employee benefit plans maintained or sponsored by the Company, in each case whether the basis of such proceeding is alleged action in an official capacity as a Director, director, officer, employee or agent or in any other capacity while serving as a Director, director, officer, employee or agent, shall be indemnified and held harmless by the Company to the fullest extent authorized by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xml:space="preserve">”) as the same exists or may hereafter be amended (but, in the case of any such amendment, only to the extent that such amendment permits the Company to provide broader indemnification rights than said law permitted the Company to provide prior to such amendment), if the Company were a corporation organized under the DGCL, against all expense, liability and loss (including attorneys’ fees, judgments, fines, excise taxes or penalties arising under the Employee Retirement Income Security Act of 1974, and amounts paid or to be paid in settlement) reasonably incurred or suffered by such person in connection therewith and such indemnification shall continue as to a person who has ceased to be a Director, director, officer, employee or agent and shall inure to the benefit of his or her heirs, executors and administrators;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as provided in Section 9.02(c), the Company shall indemnify any such person seeking indemnification in connection with a proceeding (or part thereof) initiated by such person only if such proceeding (or part thereof) was authorized by the Lazard Board. The right to indemnification conferred in this Section 9.02 shall be a contract right. The right to indemnification conferred in this Section in the case of any Director or officer of the Company or any director or officer of Lazard Ltd shall include (and, in the case of any other person entitled to indemnification hereunder, may at the option of the Chief Executive Officer, General Counsel or the Lazard Board include) the right to be paid by the Company the expenses incurred in defending any such proceeding in advance of its final disposition, such advances to be paid by the Company within 20 days after the receipt by the Company of a statement or statements from the claimant requesting such advance or advances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payment of such expenses incurred by any such person in advance of the final disposition of a proceeding shall be made only upon delivery to the Company of an undertaking by or on behalf of such person to repay all amounts so advanced if it shall ultimately be determined that such person is not entitled to be indemnified under this Section 9.02 or otherwise.</w:t>
      </w:r>
    </w:p>
    <w:p>
      <w:pPr>
        <w:spacing w:after="0" w:line="87" w:lineRule="exact"/>
        <w:rPr>
          <w:sz w:val="20"/>
          <w:szCs w:val="20"/>
          <w:color w:val="auto"/>
        </w:rPr>
      </w:pPr>
    </w:p>
    <w:p>
      <w:pPr>
        <w:ind w:left="460" w:right="100" w:firstLine="436"/>
        <w:spacing w:after="0" w:line="267" w:lineRule="auto"/>
        <w:tabs>
          <w:tab w:leader="none" w:pos="113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obtain indemnification under this Section 9.02, a claimant shall submit to the Company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9.02(b), a determination, if required by the DGCL if the Company were a corporation organized under the DGCL, with respect to the claimant’s entitlement thereto shall be made as follows:</w:t>
      </w:r>
    </w:p>
    <w:p>
      <w:pPr>
        <w:spacing w:after="0" w:line="2" w:lineRule="exact"/>
        <w:rPr>
          <w:rFonts w:ascii="Times New Roman" w:cs="Times New Roman" w:eastAsia="Times New Roman" w:hAnsi="Times New Roman"/>
          <w:sz w:val="16"/>
          <w:szCs w:val="16"/>
          <w:color w:val="auto"/>
        </w:rPr>
      </w:pPr>
    </w:p>
    <w:p>
      <w:pPr>
        <w:ind w:left="660" w:hanging="202"/>
        <w:spacing w:after="0"/>
        <w:tabs>
          <w:tab w:leader="none" w:pos="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claimant, by Independent Counsel (as hereinafter defined), or (ii) if no request is made by the claimant for a determination by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420"/>
          </w:cols>
          <w:pgMar w:left="240" w:top="261" w:right="239" w:bottom="1440" w:gutter="0" w:footer="0" w:header="0"/>
        </w:sectPr>
      </w:pPr>
    </w:p>
    <w:bookmarkStart w:id="120" w:name="page121"/>
    <w:bookmarkEnd w:id="120"/>
    <w:p>
      <w:pPr>
        <w:ind w:right="80"/>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Independent Counsel, by the Chief Executive Officer or General Counsel of the Company, whose determination shall be approved by the Lazard Board (by a majority vote of a quorum consisting of Disinterested Directors (as hereinafter defined)),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if a quorum of the Lazard Board consisting of Disinterested Directors is not obtainable or, even if obtainable, such quorum of Disinterested Directors so directs, such determination shall be approved by Independent Counsel in a written opinion to the Lazard Board, a copy of which shall be delivered to the claimant, or (B) if a quorum of Disinterested Directors so directs, such determination shall be approved by the Common Members on a unanimous basis. In the event the determination of entitlement to indemnification is to be made by Independent Counsel at the request of the claimant, the Independent Counsel shall be selected by the Lazard Board unless there shall have occurred within two years prior to the date of the commencement of the action, suit or proceeding for which indemnification is claimed a Change in Control, in which case the Independent Counsel shall be selected by the claimant unless the claimant shall request that such selection be made by the Lazard Board. If it is so determined that the claimant is entitled to indemnification, payment to the claimant shall be made within 10 days after such determination.</w:t>
      </w:r>
    </w:p>
    <w:p>
      <w:pPr>
        <w:spacing w:after="0" w:line="64" w:lineRule="exact"/>
        <w:rPr>
          <w:sz w:val="20"/>
          <w:szCs w:val="20"/>
          <w:color w:val="auto"/>
        </w:rPr>
      </w:pPr>
    </w:p>
    <w:p>
      <w:pPr>
        <w:ind w:firstLine="436"/>
        <w:spacing w:after="0" w:line="249" w:lineRule="auto"/>
        <w:tabs>
          <w:tab w:leader="none" w:pos="66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under Section 9.02(a) is not paid in full by the Company within thirty days after a written claim pursuant to Section 9.02(b)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that makes it permissible under the DGCL as the same exists or may hereafter be amended (but, in the case of any such amendment, only to the extent that such amendment permits the Company to provide broader indemnification rights than said law permitted the Company to provide prior to such amendment) for the Company to indemnify the claimant for the amount claimed if the Company were a corporation organized under the DGCL, but the burden of proving such defense shall be on the Company. Neither the failure of the Company (including the Lazard Board, Independent Counsel or Common Members) to have made a determination prior to the commencement of such action that indemnification of the claimant is proper in the circumstances because he or she has met the applicable standard of conduct set forth in the DGCL, nor an actual determination by the Company (including its Lazard Board, Independent Counsel or Common Members) that the claimant has not met such applicable standard of conduct, shall be a defense to the action or create a presumption that the claimant has not met the applicable standard of conduct.</w:t>
      </w:r>
    </w:p>
    <w:p>
      <w:pPr>
        <w:spacing w:after="0" w:line="83" w:lineRule="exact"/>
        <w:rPr>
          <w:rFonts w:ascii="Times New Roman" w:cs="Times New Roman" w:eastAsia="Times New Roman" w:hAnsi="Times New Roman"/>
          <w:sz w:val="17"/>
          <w:szCs w:val="17"/>
          <w:color w:val="auto"/>
        </w:rPr>
      </w:pPr>
    </w:p>
    <w:p>
      <w:pPr>
        <w:ind w:right="40" w:firstLine="436"/>
        <w:spacing w:after="0" w:line="274" w:lineRule="auto"/>
        <w:tabs>
          <w:tab w:leader="none" w:pos="67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determination shall have been made pursuant to Section 9.02(b) that the claimant is entitled to indemnification, the Company shall be bound by such determination in any judicial proceeding commenced pursuant to Section 9.02(c).</w:t>
      </w:r>
    </w:p>
    <w:p>
      <w:pPr>
        <w:spacing w:after="0" w:line="57" w:lineRule="exact"/>
        <w:rPr>
          <w:rFonts w:ascii="Times New Roman" w:cs="Times New Roman" w:eastAsia="Times New Roman" w:hAnsi="Times New Roman"/>
          <w:sz w:val="17"/>
          <w:szCs w:val="17"/>
          <w:color w:val="auto"/>
        </w:rPr>
      </w:pPr>
    </w:p>
    <w:p>
      <w:pPr>
        <w:ind w:right="20" w:firstLine="436"/>
        <w:spacing w:after="0" w:line="273" w:lineRule="auto"/>
        <w:tabs>
          <w:tab w:leader="none" w:pos="66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precluded from asserting in any judicial proceeding commenced pursuant to Section 9.02(c) that the procedures and presumptions of this Section 9.02 are not valid, binding and enforceable and shall stipulate in such proceeding that the Company is bound by all the provisions of this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Section 9.02.</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960"/>
          </w:cols>
          <w:pgMar w:left="700" w:top="261" w:right="239" w:bottom="1440" w:gutter="0" w:footer="0" w:header="0"/>
        </w:sectPr>
      </w:pPr>
    </w:p>
    <w:bookmarkStart w:id="121" w:name="page122"/>
    <w:bookmarkEnd w:id="121"/>
    <w:p>
      <w:pPr>
        <w:ind w:left="2" w:right="120" w:firstLine="436"/>
        <w:spacing w:after="0" w:line="253" w:lineRule="auto"/>
        <w:tabs>
          <w:tab w:leader="none" w:pos="65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right to indemnification and the payment of expenses incurred in defending a proceeding in advance of its final disposition conferred in this Section 9.02 shall not be exclusive of any other right which any person may have or hereafter acquire under any statute, provision of this Agreement, agreement, vote of the Common Members or Disinterested Directors or otherwise. No amendment or other modification of this Section 9.02 shall in any way diminish or adversely affect the rights of any Director, officer, employee or agent of the Company hereunder in respect of any occurrence or matter arising prior to any such repeal or modification.</w:t>
      </w:r>
    </w:p>
    <w:p>
      <w:pPr>
        <w:spacing w:after="0" w:line="77" w:lineRule="exact"/>
        <w:rPr>
          <w:rFonts w:ascii="Times New Roman" w:cs="Times New Roman" w:eastAsia="Times New Roman" w:hAnsi="Times New Roman"/>
          <w:sz w:val="17"/>
          <w:szCs w:val="17"/>
          <w:color w:val="auto"/>
        </w:rPr>
      </w:pPr>
    </w:p>
    <w:p>
      <w:pPr>
        <w:ind w:left="2" w:right="120" w:firstLine="436"/>
        <w:spacing w:after="0" w:line="260" w:lineRule="auto"/>
        <w:tabs>
          <w:tab w:leader="none" w:pos="679"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to the extent authorized from time to time by the Lazard Board, grant rights to indemnification, and rights to be paid by the Company the expenses incurred in defending any proceeding in advance of its final disposition, to any employee or agent of the Company to the fullest extent of the provisions of this Section 9.02 with respect to the indemnification and advancement of expenses of Directors and officers of the Company.</w:t>
      </w:r>
    </w:p>
    <w:p>
      <w:pPr>
        <w:spacing w:after="0" w:line="69" w:lineRule="exact"/>
        <w:rPr>
          <w:rFonts w:ascii="Times New Roman" w:cs="Times New Roman" w:eastAsia="Times New Roman" w:hAnsi="Times New Roman"/>
          <w:sz w:val="17"/>
          <w:szCs w:val="17"/>
          <w:color w:val="auto"/>
        </w:rPr>
      </w:pPr>
    </w:p>
    <w:p>
      <w:pPr>
        <w:ind w:left="2" w:firstLine="436"/>
        <w:spacing w:after="0" w:line="269" w:lineRule="auto"/>
        <w:tabs>
          <w:tab w:leader="none" w:pos="679"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or provisions of this Section 9.02 shall be held to be invalid, illegal or unenforceable for any reason whatsoever: (i) the validity, legality and enforceability of the remaining provisions of this Section 9.02 (including each portion of any subsection of this Section 9.02 containing any such provision held to be invalid, illegal or unenforceable, that is not itself held to be invalid, illegal or unenforceable) shall not in any way be affected or impaired thereby; and</w:t>
      </w:r>
    </w:p>
    <w:p>
      <w:pPr>
        <w:spacing w:after="0" w:line="1" w:lineRule="exact"/>
        <w:rPr>
          <w:rFonts w:ascii="Times New Roman" w:cs="Times New Roman" w:eastAsia="Times New Roman" w:hAnsi="Times New Roman"/>
          <w:sz w:val="16"/>
          <w:szCs w:val="16"/>
          <w:color w:val="auto"/>
        </w:rPr>
      </w:pPr>
    </w:p>
    <w:p>
      <w:pPr>
        <w:jc w:val="both"/>
        <w:ind w:left="2" w:right="500" w:hanging="2"/>
        <w:spacing w:after="0" w:line="250" w:lineRule="auto"/>
        <w:tabs>
          <w:tab w:leader="none" w:pos="24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possible, the provisions of this Section 9.02 (including each such portion of any subsection of this Section 9.02 containing any such provision held to be invalid, illegal or unenforceable) shall be construed so as to give effect to the intent manifested by the provision held invalid, illegal or unenforceable.</w:t>
      </w:r>
    </w:p>
    <w:p>
      <w:pPr>
        <w:spacing w:after="0" w:line="77" w:lineRule="exact"/>
        <w:rPr>
          <w:rFonts w:ascii="Times New Roman" w:cs="Times New Roman" w:eastAsia="Times New Roman" w:hAnsi="Times New Roman"/>
          <w:sz w:val="17"/>
          <w:szCs w:val="17"/>
          <w:color w:val="auto"/>
        </w:rPr>
      </w:pPr>
    </w:p>
    <w:p>
      <w:pPr>
        <w:ind w:left="642" w:hanging="204"/>
        <w:spacing w:after="0"/>
        <w:tabs>
          <w:tab w:leader="none" w:pos="642"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Article IX:</w:t>
      </w:r>
    </w:p>
    <w:p>
      <w:pPr>
        <w:spacing w:after="0" w:line="106" w:lineRule="exact"/>
        <w:rPr>
          <w:rFonts w:ascii="Times New Roman" w:cs="Times New Roman" w:eastAsia="Times New Roman" w:hAnsi="Times New Roman"/>
          <w:sz w:val="17"/>
          <w:szCs w:val="17"/>
          <w:color w:val="auto"/>
        </w:rPr>
      </w:pPr>
    </w:p>
    <w:p>
      <w:pPr>
        <w:ind w:left="462" w:right="320" w:firstLine="415"/>
        <w:spacing w:after="0" w:line="274" w:lineRule="auto"/>
        <w:tabs>
          <w:tab w:leader="none" w:pos="1083"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Disinterested Director</w:t>
      </w:r>
      <w:r>
        <w:rPr>
          <w:rFonts w:ascii="Times New Roman" w:cs="Times New Roman" w:eastAsia="Times New Roman" w:hAnsi="Times New Roman"/>
          <w:sz w:val="17"/>
          <w:szCs w:val="17"/>
          <w:color w:val="auto"/>
        </w:rPr>
        <w:t>” means a Director of the Company who is not and was not a party to the matter in respect of which indemnification is sought by the claimant.</w:t>
      </w:r>
    </w:p>
    <w:p>
      <w:pPr>
        <w:spacing w:after="0" w:line="57" w:lineRule="exact"/>
        <w:rPr>
          <w:rFonts w:ascii="Times New Roman" w:cs="Times New Roman" w:eastAsia="Times New Roman" w:hAnsi="Times New Roman"/>
          <w:sz w:val="17"/>
          <w:szCs w:val="17"/>
          <w:color w:val="auto"/>
        </w:rPr>
      </w:pPr>
    </w:p>
    <w:p>
      <w:pPr>
        <w:ind w:left="462" w:right="200" w:firstLine="415"/>
        <w:spacing w:after="0" w:line="260" w:lineRule="auto"/>
        <w:tabs>
          <w:tab w:leader="none" w:pos="113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Counsel</w:t>
      </w:r>
      <w:r>
        <w:rPr>
          <w:rFonts w:ascii="Times New Roman" w:cs="Times New Roman" w:eastAsia="Times New Roman" w:hAnsi="Times New Roman"/>
          <w:sz w:val="17"/>
          <w:szCs w:val="17"/>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Company or the claimant in an action to determine the claimant’s rights under this Section 9.02.</w:t>
      </w:r>
    </w:p>
    <w:p>
      <w:pPr>
        <w:spacing w:after="0" w:line="69" w:lineRule="exact"/>
        <w:rPr>
          <w:rFonts w:ascii="Times New Roman" w:cs="Times New Roman" w:eastAsia="Times New Roman" w:hAnsi="Times New Roman"/>
          <w:sz w:val="17"/>
          <w:szCs w:val="17"/>
          <w:color w:val="auto"/>
        </w:rPr>
      </w:pPr>
    </w:p>
    <w:p>
      <w:pPr>
        <w:ind w:left="2" w:right="60" w:firstLine="436"/>
        <w:spacing w:after="0" w:line="260" w:lineRule="auto"/>
        <w:tabs>
          <w:tab w:leader="none" w:pos="64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request or other communication required or permitted to be given to the Company under this Section 9.02 shall be in writing and either delivered in person or sent by telecopy, telex, telegram, overnight mail or courier service, or certified or registered mail, postage prepaid, return receipt requested, to the General Counsel of the Company and shall be effective only upon receipt by the General Counsel.</w:t>
      </w:r>
    </w:p>
    <w:p>
      <w:pPr>
        <w:spacing w:after="0" w:line="107"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902"/>
          </w:cols>
          <w:pgMar w:left="698" w:top="261" w:right="299" w:bottom="1440" w:gutter="0" w:footer="0" w:header="0"/>
        </w:sectPr>
      </w:pPr>
    </w:p>
    <w:bookmarkStart w:id="122" w:name="page123"/>
    <w:bookmarkEnd w:id="122"/>
    <w:p>
      <w:pPr>
        <w:jc w:val="both"/>
        <w:ind w:right="120" w:firstLine="914"/>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9.03. </w:t>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xml:space="preserve"> The right to indemnification and the payment of expenses incurred in defending a proceeding in advance of its final disposition conferred in this Article IX shall not be exclusive of any other right which any person may have or hereafter acquire under any statute, provision of this Agreement, agreement, vote of Disinterested Directors or otherwise.</w:t>
      </w:r>
    </w:p>
    <w:p>
      <w:pPr>
        <w:spacing w:after="0" w:line="170" w:lineRule="exact"/>
        <w:rPr>
          <w:sz w:val="20"/>
          <w:szCs w:val="20"/>
          <w:color w:val="auto"/>
        </w:rPr>
      </w:pPr>
    </w:p>
    <w:p>
      <w:pPr>
        <w:ind w:right="26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9.04.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DGCL if the Company were a corporation organized under the DGCL.</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This Article IX shall survive any termination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207" w:lineRule="exact"/>
        <w:rPr>
          <w:sz w:val="20"/>
          <w:szCs w:val="20"/>
          <w:color w:val="auto"/>
        </w:rPr>
      </w:pPr>
    </w:p>
    <w:p>
      <w:pPr>
        <w:ind w:right="120"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10.01. </w:t>
      </w:r>
      <w:r>
        <w:rPr>
          <w:rFonts w:ascii="Times New Roman" w:cs="Times New Roman" w:eastAsia="Times New Roman" w:hAnsi="Times New Roman"/>
          <w:sz w:val="17"/>
          <w:szCs w:val="17"/>
          <w:u w:val="single" w:color="auto"/>
          <w:color w:val="auto"/>
        </w:rPr>
        <w:t>Use of Firm Name.</w:t>
      </w:r>
      <w:r>
        <w:rPr>
          <w:rFonts w:ascii="Times New Roman" w:cs="Times New Roman" w:eastAsia="Times New Roman" w:hAnsi="Times New Roman"/>
          <w:sz w:val="17"/>
          <w:szCs w:val="17"/>
          <w:color w:val="auto"/>
        </w:rPr>
        <w:t xml:space="preserve"> The right to use the firm name, Lazard Group LLC, shall belong to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use, sale or other disposition of any Lazard Name or any Lazard Mark shall be governed by the terms of the Coordination Agreement.</w:t>
      </w:r>
    </w:p>
    <w:p>
      <w:pPr>
        <w:spacing w:after="0" w:line="158" w:lineRule="exact"/>
        <w:rPr>
          <w:sz w:val="20"/>
          <w:szCs w:val="20"/>
          <w:color w:val="auto"/>
        </w:rPr>
      </w:pPr>
    </w:p>
    <w:p>
      <w:pPr>
        <w:ind w:firstLine="914"/>
        <w:spacing w:after="0" w:line="251"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Except as provided in Section 1.03 with respect to this Agreement or Section 2.01 with respect to the Certificate of Formation, the Certificate of Formation and this Agreement may not be amended except with (and any such amendment shall be authorized upon obtaining) the approval of the Lazard Board and the Managing Members,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Lazard Board may authorize, without further approval of another person or group, (a) any amendment to this Agreement to correct any technicality, incorrect statement or error apparent on the face hereof in order to further the intent of the parties hereto or (b) a correction of any formality or error apparent on the face hereof or incorrect statement or defect in the execution hereof. Any merger or consolidation of the Company with any third party that shall amend or otherwise modify the terms of this Agreement shall require the approval of the persons referred to above to the extent the approval of such persons would have been required had such amendment or modification been effected by an amendment to this Agreement.</w:t>
      </w:r>
    </w:p>
    <w:p>
      <w:pPr>
        <w:spacing w:after="0" w:line="180" w:lineRule="exact"/>
        <w:rPr>
          <w:sz w:val="20"/>
          <w:szCs w:val="20"/>
          <w:color w:val="auto"/>
        </w:rPr>
      </w:pPr>
    </w:p>
    <w:p>
      <w:pPr>
        <w:ind w:right="180" w:firstLine="914"/>
        <w:spacing w:after="0" w:line="253" w:lineRule="auto"/>
        <w:rPr>
          <w:sz w:val="20"/>
          <w:szCs w:val="20"/>
          <w:color w:val="auto"/>
        </w:rPr>
      </w:pPr>
      <w:r>
        <w:rPr>
          <w:rFonts w:ascii="Times New Roman" w:cs="Times New Roman" w:eastAsia="Times New Roman" w:hAnsi="Times New Roman"/>
          <w:sz w:val="17"/>
          <w:szCs w:val="17"/>
          <w:color w:val="auto"/>
        </w:rPr>
        <w:t xml:space="preserve">SECTION 10.03. </w:t>
      </w:r>
      <w:r>
        <w:rPr>
          <w:rFonts w:ascii="Times New Roman" w:cs="Times New Roman" w:eastAsia="Times New Roman" w:hAnsi="Times New Roman"/>
          <w:sz w:val="17"/>
          <w:szCs w:val="17"/>
          <w:u w:val="single" w:color="auto"/>
          <w:color w:val="auto"/>
        </w:rPr>
        <w:t>Benefits of Agreement.</w:t>
      </w:r>
      <w:r>
        <w:rPr>
          <w:rFonts w:ascii="Times New Roman" w:cs="Times New Roman" w:eastAsia="Times New Roman" w:hAnsi="Times New Roman"/>
          <w:sz w:val="17"/>
          <w:szCs w:val="17"/>
          <w:color w:val="auto"/>
        </w:rPr>
        <w:t xml:space="preserve"> Except as provided in Article IX, none of the provisions of this Agreement shall be for the benefit of or enforceable by any creditor of the Company or by any creditor of any of the Members. Except as provided in Article IX, nothing in this Agreement shall be deemed to create any right in any person not a party hereto, and this instrument shall not be construed in any respect to be a contract in whole or in part for the benefit of any third person. Without limiting the generality of the foregoing, except as provided in Article IX, no person not a party hereto shall have any right to compel performance by a manager of its obligations hereunder.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420"/>
          </w:cols>
          <w:pgMar w:left="240" w:top="261" w:right="239" w:bottom="1440" w:gutter="0" w:footer="0" w:header="0"/>
        </w:sectPr>
      </w:pPr>
    </w:p>
    <w:bookmarkStart w:id="123" w:name="page124"/>
    <w:bookmarkEnd w:id="123"/>
    <w:p>
      <w:pPr>
        <w:ind w:right="20" w:firstLine="914"/>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10.04. </w:t>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xml:space="preserve"> Whenever any notice is required to be given to any Member or Director under the provisions of the Act or this Agreement, a waiver thereof in writing, signed by the person or persons entitled to such notice, whether before or after the time stated therein, shall be deemed equivalent to the giving of such notice. Neither the business to be transacted at, nor the purpose of, any meeting of the Members (if any shall be called) or the Lazard Board or committee thereof need be specified in any waiver of notice of such meeting.</w:t>
      </w:r>
    </w:p>
    <w:p>
      <w:pPr>
        <w:spacing w:after="0" w:line="173" w:lineRule="exact"/>
        <w:rPr>
          <w:sz w:val="20"/>
          <w:szCs w:val="20"/>
          <w:color w:val="auto"/>
        </w:rPr>
      </w:pPr>
    </w:p>
    <w:p>
      <w:pPr>
        <w:ind w:right="20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10.05. </w:t>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xml:space="preserve"> (a) All disputes, controversies and claims arising out of or relating to the Company’s affairs, the rights or interests of the Members or the estate of any deceased Member (to the extent that they are related to any of the foregoing)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whether arising during or after the Company’s term or liquidation, shall be determined in accordance with this Section 10.05.</w:t>
      </w:r>
    </w:p>
    <w:p>
      <w:pPr>
        <w:spacing w:after="0" w:line="69" w:lineRule="exact"/>
        <w:rPr>
          <w:sz w:val="20"/>
          <w:szCs w:val="20"/>
          <w:color w:val="auto"/>
        </w:rPr>
      </w:pPr>
    </w:p>
    <w:p>
      <w:pPr>
        <w:ind w:left="460" w:right="60" w:firstLine="436"/>
        <w:spacing w:after="0" w:line="253" w:lineRule="auto"/>
        <w:tabs>
          <w:tab w:leader="none" w:pos="11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Disputes shall first be reviewed by the Chief Executive Officer (“</w:t>
      </w:r>
      <w:r>
        <w:rPr>
          <w:rFonts w:ascii="Times New Roman" w:cs="Times New Roman" w:eastAsia="Times New Roman" w:hAnsi="Times New Roman"/>
          <w:sz w:val="17"/>
          <w:szCs w:val="17"/>
          <w:u w:val="single" w:color="auto"/>
          <w:color w:val="auto"/>
        </w:rPr>
        <w:t>Executive Review</w:t>
      </w:r>
      <w:r>
        <w:rPr>
          <w:rFonts w:ascii="Times New Roman" w:cs="Times New Roman" w:eastAsia="Times New Roman" w:hAnsi="Times New Roman"/>
          <w:sz w:val="17"/>
          <w:szCs w:val="17"/>
          <w:color w:val="auto"/>
        </w:rPr>
        <w:t>”). Any party to a Dispute may invoke Executive Review by written notice to the other party or parties thereto and the Chief Executive Officer. As soon as practicable and in any event within 30 days after receipt of notice of a Dispute, the Chief Executive Officer shall attempt in good faith to resolve such Dispute. In the event that any Dispute remains unresolved 45 days after notice thereof to the Chief Executive Officer, such Dispute shall be finally determined by an arbitral tribunal under the Rules of Arbitration (the “</w:t>
      </w:r>
      <w:r>
        <w:rPr>
          <w:rFonts w:ascii="Times New Roman" w:cs="Times New Roman" w:eastAsia="Times New Roman" w:hAnsi="Times New Roman"/>
          <w:sz w:val="17"/>
          <w:szCs w:val="17"/>
          <w:u w:val="single" w:color="auto"/>
          <w:color w:val="auto"/>
        </w:rPr>
        <w:t>ICC Rules</w:t>
      </w:r>
      <w:r>
        <w:rPr>
          <w:rFonts w:ascii="Times New Roman" w:cs="Times New Roman" w:eastAsia="Times New Roman" w:hAnsi="Times New Roman"/>
          <w:sz w:val="17"/>
          <w:szCs w:val="17"/>
          <w:color w:val="auto"/>
        </w:rPr>
        <w:t>”) of the International Chamber of Commerce (the “</w:t>
      </w:r>
      <w:r>
        <w:rPr>
          <w:rFonts w:ascii="Times New Roman" w:cs="Times New Roman" w:eastAsia="Times New Roman" w:hAnsi="Times New Roman"/>
          <w:sz w:val="17"/>
          <w:szCs w:val="17"/>
          <w:u w:val="single" w:color="auto"/>
          <w:color w:val="auto"/>
        </w:rPr>
        <w:t>ICC</w:t>
      </w:r>
      <w:r>
        <w:rPr>
          <w:rFonts w:ascii="Times New Roman" w:cs="Times New Roman" w:eastAsia="Times New Roman" w:hAnsi="Times New Roman"/>
          <w:sz w:val="17"/>
          <w:szCs w:val="17"/>
          <w:color w:val="auto"/>
        </w:rPr>
        <w:t>”) and in accordance with Section 10.05(c).</w:t>
      </w:r>
    </w:p>
    <w:p>
      <w:pPr>
        <w:spacing w:after="0" w:line="77" w:lineRule="exact"/>
        <w:rPr>
          <w:rFonts w:ascii="Times New Roman" w:cs="Times New Roman" w:eastAsia="Times New Roman" w:hAnsi="Times New Roman"/>
          <w:sz w:val="17"/>
          <w:szCs w:val="17"/>
          <w:color w:val="auto"/>
        </w:rPr>
      </w:pPr>
    </w:p>
    <w:p>
      <w:pPr>
        <w:ind w:left="460" w:firstLine="436"/>
        <w:spacing w:after="0" w:line="249" w:lineRule="auto"/>
        <w:tabs>
          <w:tab w:leader="none" w:pos="112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arbitral tribunal determining any Dispute shall be comprised of three arbitrators. Each party to a Dispute shall designate one arbitrator. If a party fails to designate an arbitrator within a reasonable period, the ICC shall designate an arbitrator for such party, including upon a request by another party. The two arbitrators designated by the parties to a Dispute (or, if applicable, the ICC) shall designate a third arbitrator. In the event that the two arbitrators designated by the parties to a Dispute (or, if applicable, the ICC) are unable to agree upon a third arbitrator within a reasonable period, the third arbitrator shall be selected in accordance with the ICC Rules by the ICC. The language, place and procedures of the arbitration of any Dispute shall be as agreed upon by the parties to such Dispute or, failing such agreement within a reasonable period, as determined in accordance with the ICC Rules in order to ensure a speedy, efficient and just resolution of such Dispute. If neither the parties nor the arbitral tribunal can agree upon procedures, the arbitration shall be conducted in accordance with the ICC’s procedures. The hearings and taking of evidence of any Dispute may be conducted at any locations that will, in the judgment of the arbitral tribunal, result in a speedy, efficient and just resolution of such Dispute. The parties to any dispute shall use their best efforts to cooperate with each other and the arbitral tribunal in order to obtain a resolution as quickly as possible, including by adopting the ICC’s “fast-track” procedure (as provided for in Article 32(1) of the ICC Rules) if appropriate.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20"/>
          </w:cols>
          <w:pgMar w:left="240" w:top="261" w:right="239" w:bottom="1440" w:gutter="0" w:footer="0" w:header="0"/>
        </w:sectPr>
      </w:pPr>
    </w:p>
    <w:bookmarkStart w:id="124" w:name="page125"/>
    <w:bookmarkEnd w:id="124"/>
    <w:p>
      <w:pPr>
        <w:ind w:left="460" w:right="20" w:firstLine="436"/>
        <w:spacing w:after="0" w:line="271" w:lineRule="auto"/>
        <w:tabs>
          <w:tab w:leader="none" w:pos="113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Notwithstanding any provision of this Agreement to the contrary, this Section 10.04 shall be construed to the maximum extent possible to comply with the laws of the State of Delaware, including the Uniform Arbitration Act (10 Del. C. § 5701 et seq .) (the “</w:t>
      </w:r>
      <w:r>
        <w:rPr>
          <w:rFonts w:ascii="Times New Roman" w:cs="Times New Roman" w:eastAsia="Times New Roman" w:hAnsi="Times New Roman"/>
          <w:sz w:val="16"/>
          <w:szCs w:val="16"/>
          <w:u w:val="single" w:color="auto"/>
          <w:color w:val="auto"/>
        </w:rPr>
        <w:t>Delaware Arbitration Act</w:t>
      </w:r>
      <w:r>
        <w:rPr>
          <w:rFonts w:ascii="Times New Roman" w:cs="Times New Roman" w:eastAsia="Times New Roman" w:hAnsi="Times New Roman"/>
          <w:sz w:val="16"/>
          <w:szCs w:val="16"/>
          <w:color w:val="auto"/>
        </w:rPr>
        <w:t>”). If, nevertheless, it shall be determined by a court of competent jurisdiction that any provision or wording of this Section 10.05, including the ICC Rules, shall be invalid or unenforceable under the Delaware Arbitration Act or other applicable law, such invalidity shall not invalidate all of this Section 10.05. In that case, this Section 10.05 shall be construed so as to limit any term or provision so as to make it valid or enforceable within the requirements of the Delaware Arbitration Act or other applicable law, and, in the event such term or provision cannot be so limited, this Section 10.05 shall be construed to omit such invalid or unenforceable provision.</w:t>
      </w:r>
    </w:p>
    <w:p>
      <w:pPr>
        <w:spacing w:after="0" w:line="163" w:lineRule="exact"/>
        <w:rPr>
          <w:sz w:val="20"/>
          <w:szCs w:val="20"/>
          <w:color w:val="auto"/>
        </w:rPr>
      </w:pPr>
    </w:p>
    <w:p>
      <w:pPr>
        <w:jc w:val="both"/>
        <w:ind w:right="6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10.06.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be binding upon and shall inure to the benefit of the parties hereto, their respective estates, heirs, legal representatives, successors and permitted assigns, any additional Member admitted in accordance with the provisions hereof and any successor to a trustee of a trust that is or becomes a party hereto.</w:t>
      </w:r>
    </w:p>
    <w:p>
      <w:pPr>
        <w:spacing w:after="0" w:line="170" w:lineRule="exact"/>
        <w:rPr>
          <w:sz w:val="20"/>
          <w:szCs w:val="20"/>
          <w:color w:val="auto"/>
        </w:rPr>
      </w:pPr>
    </w:p>
    <w:p>
      <w:pPr>
        <w:ind w:right="40" w:firstLine="914"/>
        <w:spacing w:after="0" w:line="251"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Each Member that is not a controlled Affiliate of Lazard Ltd expressly agrees, whether or not at the time a Member of the Company or providing services to the Company or any of its Subsidiaries, to maintain the confidentiality of, and not disclose to any Person other than the Company, its officers or any financial, legal or other advisor to the Company, any information relating to the business, clients, affairs or financial structure, position or results of the Company or its affiliates (including any Affiliate) or any Dispute that shall not be generally known to the public or the securities industry;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Member may disclose any such information (a) to the extent required by any applicable law, rule or regulation in the opinion of counsel or by the order of any securities exchange, banking supervisory authority or other governmental or self-regulatory organization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Member notifies the Company of such requirement prior to making such disclosure and cooperates with the Company in seeking to prevent or minimize such disclosure), (b) to his or its legal counsel and financial advisers (who shall agree to abide by the terms of this Section 10.07), or (c) with the prior written consent of the Company.</w:t>
      </w:r>
    </w:p>
    <w:p>
      <w:pPr>
        <w:spacing w:after="0" w:line="177" w:lineRule="exact"/>
        <w:rPr>
          <w:sz w:val="20"/>
          <w:szCs w:val="20"/>
          <w:color w:val="auto"/>
        </w:rPr>
      </w:pPr>
    </w:p>
    <w:p>
      <w:pPr>
        <w:ind w:firstLine="914"/>
        <w:spacing w:after="0" w:line="252" w:lineRule="auto"/>
        <w:rPr>
          <w:sz w:val="20"/>
          <w:szCs w:val="20"/>
          <w:color w:val="auto"/>
        </w:rPr>
      </w:pPr>
      <w:r>
        <w:rPr>
          <w:rFonts w:ascii="Times New Roman" w:cs="Times New Roman" w:eastAsia="Times New Roman" w:hAnsi="Times New Roman"/>
          <w:sz w:val="17"/>
          <w:szCs w:val="17"/>
          <w:color w:val="auto"/>
        </w:rPr>
        <w:t xml:space="preserve">SECTION 10.08.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Except as provided in Section 3.02(d), all notices and other communications required or permitted by this Agreement shall be made in writing and any such notice or communication shall be deemed delivered when delivered in person, properly transmitted by telecopier or one business day after it has been sent by an internationally recognized overnight courier to the address for notices shown in the Company’s records (or any other address provided to the Company in writing for this purpose) or, if given to the Company, to the principal place of business of the Company in New York, New York. Communications by telecopier also shall be sent concurrently by overnight courier, but shall in any event be effective as stated above. Each Member and Director may from time to time change its address for notices under this Section 10.08 by giving at least five days’ prior written notice of such changed address to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420"/>
          </w:cols>
          <w:pgMar w:left="240" w:top="261" w:right="239" w:bottom="1440" w:gutter="0" w:footer="0" w:header="0"/>
        </w:sectPr>
      </w:pPr>
    </w:p>
    <w:bookmarkStart w:id="125" w:name="page126"/>
    <w:bookmarkEnd w:id="125"/>
    <w:p>
      <w:pPr>
        <w:ind w:right="40" w:firstLine="914"/>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10.09. </w:t>
      </w:r>
      <w:r>
        <w:rPr>
          <w:rFonts w:ascii="Times New Roman" w:cs="Times New Roman" w:eastAsia="Times New Roman" w:hAnsi="Times New Roman"/>
          <w:sz w:val="17"/>
          <w:szCs w:val="17"/>
          <w:u w:val="single" w:color="auto"/>
          <w:color w:val="auto"/>
        </w:rPr>
        <w:t>No Waiver of Rights.</w:t>
      </w:r>
      <w:r>
        <w:rPr>
          <w:rFonts w:ascii="Times New Roman" w:cs="Times New Roman" w:eastAsia="Times New Roman" w:hAnsi="Times New Roman"/>
          <w:sz w:val="17"/>
          <w:szCs w:val="17"/>
          <w:color w:val="auto"/>
        </w:rPr>
        <w:t xml:space="preserve"> No failure or delay on the part of any Member in the exercise of any power or right hereunder shall operate as a waiver thereof, nor shall any single or partial exercise of any such power or right preclude any other or further exercise thereof or of any other right or power. The waiver by any Member or manager of a breach of any provision of this Agreement shall not operate or be construed as a waiver of any other or subsequent breach hereunder. All rights and remedies existing under this Agreement are cumulative and are not exclusive of any rights or remedies otherwise available.</w:t>
      </w:r>
    </w:p>
    <w:p>
      <w:pPr>
        <w:spacing w:after="0" w:line="173" w:lineRule="exact"/>
        <w:rPr>
          <w:sz w:val="20"/>
          <w:szCs w:val="20"/>
          <w:color w:val="auto"/>
        </w:rPr>
      </w:pPr>
    </w:p>
    <w:p>
      <w:pPr>
        <w:ind w:firstLine="914"/>
        <w:spacing w:after="0" w:line="250" w:lineRule="auto"/>
        <w:rPr>
          <w:sz w:val="20"/>
          <w:szCs w:val="20"/>
          <w:color w:val="auto"/>
        </w:rPr>
      </w:pPr>
      <w:r>
        <w:rPr>
          <w:rFonts w:ascii="Times New Roman" w:cs="Times New Roman" w:eastAsia="Times New Roman" w:hAnsi="Times New Roman"/>
          <w:sz w:val="17"/>
          <w:szCs w:val="17"/>
          <w:color w:val="auto"/>
        </w:rPr>
        <w:t xml:space="preserve">SECTION 10.10. </w:t>
      </w:r>
      <w:r>
        <w:rPr>
          <w:rFonts w:ascii="Times New Roman" w:cs="Times New Roman" w:eastAsia="Times New Roman" w:hAnsi="Times New Roman"/>
          <w:sz w:val="17"/>
          <w:szCs w:val="17"/>
          <w:u w:val="single" w:color="auto"/>
          <w:color w:val="auto"/>
        </w:rPr>
        <w:t>Power of Attorney.</w:t>
      </w:r>
      <w:r>
        <w:rPr>
          <w:rFonts w:ascii="Times New Roman" w:cs="Times New Roman" w:eastAsia="Times New Roman" w:hAnsi="Times New Roman"/>
          <w:sz w:val="17"/>
          <w:szCs w:val="17"/>
          <w:color w:val="auto"/>
        </w:rPr>
        <w:t xml:space="preserve"> Each Member agrees that, by its execution of this Agreement, such Member irrevocably constitutes and appoints the Chief Executive Officer and the General Counsel, each acting alone, as its true and lawful attorney-in-fact coupled with an interest, with full power and authority, in its name, place and stead to make, execute, acknowledge and record (a) all certificates, instruments or documents, including fictitious name or assumed name certificates, as may be required by, or may be appropriate under, the laws of any state or jurisdiction in which the Company is doing or intends to do business and (b) all agreements, documents, certificates or other instruments amending this Agreement or the Certificate of Formation that may be necessary or appropriate to reflect or accomplish (i) a change in the name or location of the principal place of business of the Company or a change of name or address of a Member, (ii) the disposal or increase by a Member of his Interest in the Company or any part thereof, (iii) a distribution and reduction of the capital contribution of a Member or any other changes in the capital of the Company, (iv) the dissolution or termination of the Company, (v) the addition or substitution of a person becoming a Member of the Company and (vi) any amendment to this Agreement, in each case only to the extent expressly authorized and conducted in accordance with the preceding sections of this Agreement. The power granted hereby is coupled with an interest and shall survive the subsequent disability or incapacity of the principal.</w:t>
      </w:r>
    </w:p>
    <w:p>
      <w:pPr>
        <w:spacing w:after="0" w:line="179" w:lineRule="exact"/>
        <w:rPr>
          <w:sz w:val="20"/>
          <w:szCs w:val="20"/>
          <w:color w:val="auto"/>
        </w:rPr>
      </w:pPr>
    </w:p>
    <w:p>
      <w:pPr>
        <w:ind w:right="340" w:firstLine="914"/>
        <w:spacing w:after="0" w:line="306" w:lineRule="auto"/>
        <w:rPr>
          <w:sz w:val="20"/>
          <w:szCs w:val="20"/>
          <w:color w:val="auto"/>
        </w:rPr>
      </w:pPr>
      <w:r>
        <w:rPr>
          <w:rFonts w:ascii="Times New Roman" w:cs="Times New Roman" w:eastAsia="Times New Roman" w:hAnsi="Times New Roman"/>
          <w:sz w:val="16"/>
          <w:szCs w:val="16"/>
          <w:color w:val="auto"/>
        </w:rPr>
        <w:t xml:space="preserve">SECTION 10.11.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If any one or more of the provisions contained in this Agreement shall be invalid, illegal or unenforceable in any respect under any applicable law, the validity, legality and enforceability of the remaining provisions contained herein shall not in any way be affected or impaired.</w:t>
      </w:r>
    </w:p>
    <w:p>
      <w:pPr>
        <w:spacing w:after="0" w:line="135" w:lineRule="exact"/>
        <w:rPr>
          <w:sz w:val="20"/>
          <w:szCs w:val="20"/>
          <w:color w:val="auto"/>
        </w:rPr>
      </w:pPr>
    </w:p>
    <w:p>
      <w:pPr>
        <w:ind w:right="280"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xml:space="preserve"> The Article, Section and other headings contained in this Agreement are for reference purposes only and shall not affect the meaning or interpretation of this Agreement.</w:t>
      </w:r>
    </w:p>
    <w:p>
      <w:pPr>
        <w:spacing w:after="0" w:line="158" w:lineRule="exact"/>
        <w:rPr>
          <w:sz w:val="20"/>
          <w:szCs w:val="20"/>
          <w:color w:val="auto"/>
        </w:rPr>
      </w:pPr>
    </w:p>
    <w:p>
      <w:pPr>
        <w:ind w:right="460" w:firstLine="914"/>
        <w:spacing w:after="0" w:line="260" w:lineRule="auto"/>
        <w:rPr>
          <w:sz w:val="20"/>
          <w:szCs w:val="20"/>
          <w:color w:val="auto"/>
        </w:rPr>
      </w:pPr>
      <w:r>
        <w:rPr>
          <w:rFonts w:ascii="Times New Roman" w:cs="Times New Roman" w:eastAsia="Times New Roman" w:hAnsi="Times New Roman"/>
          <w:sz w:val="17"/>
          <w:szCs w:val="17"/>
          <w:color w:val="auto"/>
        </w:rPr>
        <w:t xml:space="preserve">SECTION 10.13.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xml:space="preserve"> This Agreement amends and restates in its entirety the Company’s prior operating agreement. This Agreement, including the exhibits, annexes and schedules hereto and the Acknowledgements, constitutes the entire agreement among the parties hereto and supersedes all prior agreements and understandings, both written and oral, between the parties with respect to the subject matter hereof and thereof.</w:t>
      </w:r>
    </w:p>
    <w:p>
      <w:pPr>
        <w:spacing w:after="0" w:line="170" w:lineRule="exact"/>
        <w:rPr>
          <w:sz w:val="20"/>
          <w:szCs w:val="20"/>
          <w:color w:val="auto"/>
        </w:rPr>
      </w:pPr>
    </w:p>
    <w:p>
      <w:pPr>
        <w:ind w:right="20" w:firstLine="914"/>
        <w:spacing w:after="0" w:line="274" w:lineRule="auto"/>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laws of the State of Delaware, without regard to its conflicts of law principles.</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SECTION 10.15.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Agreement may be executed in one or more counterparts, all of which shall be considered one and the same agreement.</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420"/>
          </w:cols>
          <w:pgMar w:left="240" w:top="262" w:right="239" w:bottom="1440" w:gutter="0" w:footer="0" w:header="0"/>
        </w:sectPr>
      </w:pPr>
    </w:p>
    <w:bookmarkStart w:id="126" w:name="page127"/>
    <w:bookmarkEnd w:id="126"/>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10.16.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This Agreement shall be effective immediately upon execution hereof.</w:t>
      </w:r>
    </w:p>
    <w:p>
      <w:pPr>
        <w:spacing w:after="0" w:line="207" w:lineRule="exact"/>
        <w:rPr>
          <w:sz w:val="20"/>
          <w:szCs w:val="20"/>
          <w:color w:val="auto"/>
        </w:rPr>
      </w:pPr>
    </w:p>
    <w:p>
      <w:pPr>
        <w:ind w:firstLine="914"/>
        <w:spacing w:after="0" w:line="249" w:lineRule="auto"/>
        <w:rPr>
          <w:sz w:val="20"/>
          <w:szCs w:val="20"/>
          <w:color w:val="auto"/>
        </w:rPr>
      </w:pPr>
      <w:r>
        <w:rPr>
          <w:rFonts w:ascii="Times New Roman" w:cs="Times New Roman" w:eastAsia="Times New Roman" w:hAnsi="Times New Roman"/>
          <w:sz w:val="17"/>
          <w:szCs w:val="17"/>
          <w:color w:val="auto"/>
        </w:rPr>
        <w:t xml:space="preserve">SECTION 10.17. </w:t>
      </w:r>
      <w:r>
        <w:rPr>
          <w:rFonts w:ascii="Times New Roman" w:cs="Times New Roman" w:eastAsia="Times New Roman" w:hAnsi="Times New Roman"/>
          <w:sz w:val="17"/>
          <w:szCs w:val="17"/>
          <w:u w:val="single" w:color="auto"/>
          <w:color w:val="auto"/>
        </w:rPr>
        <w:t>Corporate Opportunity; Fiduciary Duty.</w:t>
      </w:r>
      <w:r>
        <w:rPr>
          <w:rFonts w:ascii="Times New Roman" w:cs="Times New Roman" w:eastAsia="Times New Roman" w:hAnsi="Times New Roman"/>
          <w:sz w:val="17"/>
          <w:szCs w:val="17"/>
          <w:color w:val="auto"/>
        </w:rPr>
        <w:t xml:space="preserve"> (a) To the greatest extent permitted by law, none of Lazard Ltd, any Affiliate of Lazard Ltd (each such Affiliate of Lazard Ltd, a “</w:t>
      </w:r>
      <w:r>
        <w:rPr>
          <w:rFonts w:ascii="Times New Roman" w:cs="Times New Roman" w:eastAsia="Times New Roman" w:hAnsi="Times New Roman"/>
          <w:sz w:val="17"/>
          <w:szCs w:val="17"/>
          <w:u w:val="single" w:color="auto"/>
          <w:color w:val="auto"/>
        </w:rPr>
        <w:t>Lazard Ltd Affiliate</w:t>
      </w:r>
      <w:r>
        <w:rPr>
          <w:rFonts w:ascii="Times New Roman" w:cs="Times New Roman" w:eastAsia="Times New Roman" w:hAnsi="Times New Roman"/>
          <w:sz w:val="17"/>
          <w:szCs w:val="17"/>
          <w:color w:val="auto"/>
        </w:rPr>
        <w:t>”) and none of their respective officers, directors, employees or agents shall owe any fiduciary duty to, nor shall any of Lazard Ltd or any Lazard Ltd Affiliate be liable for breach of fiduciary duty to, the Company, any Subsidiary of the Company or any other holder of Interests or Affiliate of such holder (or any of their respective officers, directors, employees or agents). To the greatest extent permitted by law, in taking any action, making any decision or exercising any discretion with respect to the Company, each of Lazard Ltd and each Lazard Ltd Affiliate shall be entitled to consider such interests and factors as it desires, including its own interests and those of other Lazard Ltd Affiliates, and shall have no duty or obligation (i) to give any consideration to the interests of or factors affecting the Company, the holders of Interests or any other person, or (ii) to abstain from participating in any vote or other action of the Company or any Affiliate thereof, the Lazard Board or any committee or similar body of any of the foregoing. Lazard Ltd and any Lazard Ltd Affiliate (and their respective officers, directors, employees or agents) shall not violate a duty or obligation to the Company merely because such person’s conduct furthers such person’s own interest. Such persons may lend money to and transact other business with the Company. The rights and obligations of any such person who lends money to, contracts with, borrows from or transacts business with the Company are the same as those of a person who is not involved with the Company, subject to other applicable law. To the greatest extent permitted by law, no transaction with the Company shall be voidable solely because any such person has a direct or indirect interest in the transaction. Nothing herein contained shall prevent any such person from conducting any other business, including serving as an officer, director, employee, or stockholder of any corporation, a trustee of any trust, an executor or administrator of any estate, or an administrative official of any other business or not-for-profit entity, or from receiving any compensation in connection therewith.</w:t>
      </w:r>
    </w:p>
    <w:p>
      <w:pPr>
        <w:spacing w:after="0" w:line="79" w:lineRule="exact"/>
        <w:rPr>
          <w:sz w:val="20"/>
          <w:szCs w:val="20"/>
          <w:color w:val="auto"/>
        </w:rPr>
      </w:pPr>
    </w:p>
    <w:p>
      <w:pPr>
        <w:ind w:left="460" w:right="400" w:firstLine="436"/>
        <w:spacing w:after="0" w:line="260" w:lineRule="auto"/>
        <w:tabs>
          <w:tab w:leader="none" w:pos="113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alteration, amendment, termination, expiration or repeal of this Section 10.17 nor the adoption of any provision of this Agreement inconsistent with this Section 10.17 shall eliminate or reduce the effect of this Section 10.17 in respect of any matter occurring, or any cause of action, suit or claim that, but for this Section 10.17, would accrue or arise, prior to such alteration, amendment, termination, expiration, repeal or adoption.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420"/>
          </w:cols>
          <w:pgMar w:left="240" w:top="262" w:right="239" w:bottom="1440" w:gutter="0" w:footer="0" w:header="0"/>
        </w:sectPr>
      </w:pPr>
    </w:p>
    <w:bookmarkStart w:id="127" w:name="page128"/>
    <w:bookmarkEnd w:id="127"/>
    <w:p>
      <w:pPr>
        <w:ind w:firstLine="91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IN WITNESS WHEREOF, the undersigned, acting pursuant to the resolutions of the Lazard Board, has duly executed this Agreement to reflect approval by the Lazard Board as of the date first above written.</w:t>
      </w:r>
    </w:p>
    <w:p>
      <w:pPr>
        <w:spacing w:after="0" w:line="183"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Matthieu Bucaille</w:t>
      </w:r>
    </w:p>
    <w:p>
      <w:pPr>
        <w:spacing w:after="0" w:line="2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-123190</wp:posOffset>
            </wp:positionV>
            <wp:extent cx="27247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1" w:lineRule="exact"/>
        <w:rPr>
          <w:sz w:val="20"/>
          <w:szCs w:val="20"/>
          <w:color w:val="auto"/>
        </w:rPr>
      </w:pPr>
    </w:p>
    <w:p>
      <w:pPr>
        <w:ind w:firstLine="914"/>
        <w:spacing w:after="0" w:line="260" w:lineRule="auto"/>
        <w:rPr>
          <w:sz w:val="20"/>
          <w:szCs w:val="20"/>
          <w:color w:val="auto"/>
        </w:rPr>
      </w:pPr>
      <w:r>
        <w:rPr>
          <w:rFonts w:ascii="Times New Roman" w:cs="Times New Roman" w:eastAsia="Times New Roman" w:hAnsi="Times New Roman"/>
          <w:sz w:val="17"/>
          <w:szCs w:val="17"/>
          <w:color w:val="auto"/>
        </w:rPr>
        <w:t>IN WITNESS WHEREOF, the undersigned, acting pursuant to the resolutions of the Lazard Ltd Board and the Lazard Ltd Nominating and Governance Committee, has duly executed this Agreement to reflect approval by the Lazard Ltd Board and the Lazard Ltd Nominating and Governance Committee as of the date first above written.</w:t>
      </w:r>
    </w:p>
    <w:p>
      <w:pPr>
        <w:spacing w:after="0" w:line="195"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Matthieu Bucaille</w:t>
      </w:r>
    </w:p>
    <w:p>
      <w:pPr>
        <w:spacing w:after="0" w:line="2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-123190</wp:posOffset>
            </wp:positionV>
            <wp:extent cx="27247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 WITNESS WHEREOF, the Managing Members have duly executed this Agreement as of the date first above written.</w:t>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LAZARD LTD SUB A</w:t>
      </w:r>
    </w:p>
    <w:p>
      <w:pPr>
        <w:spacing w:after="0" w:line="220"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Matthieu Bucaille</w:t>
      </w:r>
    </w:p>
    <w:p>
      <w:pPr>
        <w:spacing w:after="0" w:line="2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-123190</wp:posOffset>
            </wp:positionV>
            <wp:extent cx="27247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7"/>
          <w:szCs w:val="17"/>
          <w:color w:val="auto"/>
        </w:rPr>
        <w:t>Title:  Manager</w:t>
      </w:r>
    </w:p>
    <w:p>
      <w:pPr>
        <w:spacing w:after="0" w:line="2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LAZARD LTD SUB B</w:t>
      </w:r>
    </w:p>
    <w:p>
      <w:pPr>
        <w:spacing w:after="0" w:line="220"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Scott D. Hoffman</w:t>
      </w:r>
    </w:p>
    <w:p>
      <w:pPr>
        <w:spacing w:after="0" w:line="2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Name: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-123190</wp:posOffset>
            </wp:positionV>
            <wp:extent cx="27247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7"/>
          <w:szCs w:val="17"/>
          <w:color w:val="auto"/>
        </w:rPr>
        <w:t>Title:  Secretary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380"/>
          </w:cols>
          <w:pgMar w:left="240" w:top="261" w:right="279" w:bottom="1440" w:gutter="0" w:footer="0" w:header="0"/>
        </w:sectPr>
      </w:pPr>
    </w:p>
    <w:bookmarkStart w:id="128" w:name="page129"/>
    <w:bookmarkEnd w:id="128"/>
    <w:p>
      <w:pPr>
        <w:ind w:left="10560"/>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211" w:lineRule="exact"/>
        <w:rPr>
          <w:sz w:val="20"/>
          <w:szCs w:val="20"/>
          <w:color w:val="auto"/>
        </w:rPr>
      </w:pPr>
    </w:p>
    <w:p>
      <w:pPr>
        <w:jc w:val="both"/>
        <w:ind w:right="160" w:firstLine="457"/>
        <w:spacing w:after="0" w:line="260" w:lineRule="auto"/>
        <w:rPr>
          <w:sz w:val="20"/>
          <w:szCs w:val="20"/>
          <w:color w:val="auto"/>
        </w:rPr>
      </w:pPr>
      <w:r>
        <w:rPr>
          <w:rFonts w:ascii="Times New Roman" w:cs="Times New Roman" w:eastAsia="Times New Roman" w:hAnsi="Times New Roman"/>
          <w:sz w:val="17"/>
          <w:szCs w:val="17"/>
          <w:color w:val="auto"/>
        </w:rPr>
        <w:t>This SECOND AMENDED AND RESTATED TAX RECEIVABLE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October 26, 2015, by and among Ltd Sub A and Ltd Sub B (each as defined herein), both wholly owned indirect subsidiaries of Lazard Ltd, a Bermuda company (“</w:t>
      </w:r>
      <w:r>
        <w:rPr>
          <w:rFonts w:ascii="Times New Roman" w:cs="Times New Roman" w:eastAsia="Times New Roman" w:hAnsi="Times New Roman"/>
          <w:sz w:val="17"/>
          <w:szCs w:val="17"/>
          <w:u w:val="single" w:color="auto"/>
          <w:color w:val="auto"/>
        </w:rPr>
        <w:t>Lazard</w:t>
      </w:r>
      <w:r>
        <w:rPr>
          <w:rFonts w:ascii="Times New Roman" w:cs="Times New Roman" w:eastAsia="Times New Roman" w:hAnsi="Times New Roman"/>
          <w:sz w:val="17"/>
          <w:szCs w:val="17"/>
          <w:color w:val="auto"/>
        </w:rPr>
        <w:t>”), and LTBP Trust, a Delaware statutory trust (the “</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right="40" w:firstLine="457"/>
        <w:spacing w:after="0" w:line="260" w:lineRule="auto"/>
        <w:rPr>
          <w:sz w:val="20"/>
          <w:szCs w:val="20"/>
          <w:color w:val="auto"/>
        </w:rPr>
      </w:pPr>
      <w:r>
        <w:rPr>
          <w:rFonts w:ascii="Times New Roman" w:cs="Times New Roman" w:eastAsia="Times New Roman" w:hAnsi="Times New Roman"/>
          <w:sz w:val="17"/>
          <w:szCs w:val="17"/>
          <w:color w:val="auto"/>
        </w:rPr>
        <w:t>WHEREAS, on December 16, 2004, Lazard, Lazard LLC, a Delaware limited liability company taxable as a partnership for U.S. Federal income tax purposes that was renamed “Lazard Group LLC” (“</w:t>
      </w:r>
      <w:r>
        <w:rPr>
          <w:rFonts w:ascii="Times New Roman" w:cs="Times New Roman" w:eastAsia="Times New Roman" w:hAnsi="Times New Roman"/>
          <w:sz w:val="17"/>
          <w:szCs w:val="17"/>
          <w:u w:val="single" w:color="auto"/>
          <w:color w:val="auto"/>
        </w:rPr>
        <w:t>Lazard Group</w:t>
      </w:r>
      <w:r>
        <w:rPr>
          <w:rFonts w:ascii="Times New Roman" w:cs="Times New Roman" w:eastAsia="Times New Roman" w:hAnsi="Times New Roman"/>
          <w:sz w:val="17"/>
          <w:szCs w:val="17"/>
          <w:color w:val="auto"/>
        </w:rPr>
        <w:t>”), and LAZ-MD Holdings LLC, a Delaware limited liability company (“</w:t>
      </w:r>
      <w:r>
        <w:rPr>
          <w:rFonts w:ascii="Times New Roman" w:cs="Times New Roman" w:eastAsia="Times New Roman" w:hAnsi="Times New Roman"/>
          <w:sz w:val="17"/>
          <w:szCs w:val="17"/>
          <w:u w:val="single" w:color="auto"/>
          <w:color w:val="auto"/>
        </w:rPr>
        <w:t>LAZ-MD</w:t>
      </w:r>
      <w:r>
        <w:rPr>
          <w:rFonts w:ascii="Times New Roman" w:cs="Times New Roman" w:eastAsia="Times New Roman" w:hAnsi="Times New Roman"/>
          <w:sz w:val="17"/>
          <w:szCs w:val="17"/>
          <w:color w:val="auto"/>
        </w:rPr>
        <w:t>”), entered into that certain Class B-1 and Class C Members Transaction Agreement relating to Lazard Group (the “</w:t>
      </w:r>
      <w:r>
        <w:rPr>
          <w:rFonts w:ascii="Times New Roman" w:cs="Times New Roman" w:eastAsia="Times New Roman" w:hAnsi="Times New Roman"/>
          <w:sz w:val="17"/>
          <w:szCs w:val="17"/>
          <w:u w:val="single" w:color="auto"/>
          <w:color w:val="auto"/>
        </w:rPr>
        <w:t>Buyout Agreement</w:t>
      </w:r>
      <w:r>
        <w:rPr>
          <w:rFonts w:ascii="Times New Roman" w:cs="Times New Roman" w:eastAsia="Times New Roman" w:hAnsi="Times New Roman"/>
          <w:sz w:val="17"/>
          <w:szCs w:val="17"/>
          <w:color w:val="auto"/>
        </w:rPr>
        <w:t>”); and</w:t>
      </w:r>
    </w:p>
    <w:p>
      <w:pPr>
        <w:spacing w:after="0" w:line="170" w:lineRule="exact"/>
        <w:rPr>
          <w:sz w:val="20"/>
          <w:szCs w:val="20"/>
          <w:color w:val="auto"/>
        </w:rPr>
      </w:pPr>
    </w:p>
    <w:p>
      <w:pPr>
        <w:ind w:right="280" w:firstLine="457"/>
        <w:spacing w:after="0" w:line="274" w:lineRule="auto"/>
        <w:rPr>
          <w:sz w:val="20"/>
          <w:szCs w:val="20"/>
          <w:color w:val="auto"/>
        </w:rPr>
      </w:pPr>
      <w:r>
        <w:rPr>
          <w:rFonts w:ascii="Times New Roman" w:cs="Times New Roman" w:eastAsia="Times New Roman" w:hAnsi="Times New Roman"/>
          <w:sz w:val="17"/>
          <w:szCs w:val="17"/>
          <w:color w:val="auto"/>
        </w:rPr>
        <w:t>WHEREAS, pursuant to the Buyout Agreement, certain interests of historical partners of Lazard Group (the “</w:t>
      </w:r>
      <w:r>
        <w:rPr>
          <w:rFonts w:ascii="Times New Roman" w:cs="Times New Roman" w:eastAsia="Times New Roman" w:hAnsi="Times New Roman"/>
          <w:sz w:val="17"/>
          <w:szCs w:val="17"/>
          <w:u w:val="single" w:color="auto"/>
          <w:color w:val="auto"/>
        </w:rPr>
        <w:t>Historical Partners</w:t>
      </w:r>
      <w:r>
        <w:rPr>
          <w:rFonts w:ascii="Times New Roman" w:cs="Times New Roman" w:eastAsia="Times New Roman" w:hAnsi="Times New Roman"/>
          <w:sz w:val="17"/>
          <w:szCs w:val="17"/>
          <w:color w:val="auto"/>
        </w:rPr>
        <w:t>”) were redeemed for cash (the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and</w:t>
      </w:r>
    </w:p>
    <w:p>
      <w:pPr>
        <w:spacing w:after="0" w:line="158" w:lineRule="exact"/>
        <w:rPr>
          <w:sz w:val="20"/>
          <w:szCs w:val="20"/>
          <w:color w:val="auto"/>
        </w:rPr>
      </w:pPr>
    </w:p>
    <w:p>
      <w:pPr>
        <w:ind w:right="200" w:firstLine="457"/>
        <w:spacing w:after="0" w:line="260" w:lineRule="auto"/>
        <w:rPr>
          <w:sz w:val="20"/>
          <w:szCs w:val="20"/>
          <w:color w:val="auto"/>
        </w:rPr>
      </w:pPr>
      <w:r>
        <w:rPr>
          <w:rFonts w:ascii="Times New Roman" w:cs="Times New Roman" w:eastAsia="Times New Roman" w:hAnsi="Times New Roman"/>
          <w:sz w:val="17"/>
          <w:szCs w:val="17"/>
          <w:color w:val="auto"/>
        </w:rPr>
        <w:t>WHEREAS, pursuant to the Buyout Agreement, Lazard Group and the Historical Partners agreed to treat a portion of the consideration paid to the Historical Partners in the Redemption as received in a sale or exchange pursuant to Section 707(a)(2)(B)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the remainder of such consideration as received by the Historical Partners as a distribution; and</w:t>
      </w:r>
    </w:p>
    <w:p>
      <w:pPr>
        <w:spacing w:after="0" w:line="170"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7"/>
          <w:szCs w:val="17"/>
          <w:color w:val="auto"/>
        </w:rPr>
        <w:t>WHEREAS, in connection with transactions contemplated by the Buyout Agreement, certain members of Lazard Group (each, an “</w:t>
      </w:r>
      <w:r>
        <w:rPr>
          <w:rFonts w:ascii="Times New Roman" w:cs="Times New Roman" w:eastAsia="Times New Roman" w:hAnsi="Times New Roman"/>
          <w:sz w:val="17"/>
          <w:szCs w:val="17"/>
          <w:u w:val="single" w:color="auto"/>
          <w:color w:val="auto"/>
        </w:rPr>
        <w:t>Exchangeable Holder</w:t>
      </w:r>
      <w:r>
        <w:rPr>
          <w:rFonts w:ascii="Times New Roman" w:cs="Times New Roman" w:eastAsia="Times New Roman" w:hAnsi="Times New Roman"/>
          <w:sz w:val="17"/>
          <w:szCs w:val="17"/>
          <w:color w:val="auto"/>
        </w:rPr>
        <w:t>”) were issued a class of exchangeable membership interests in LAZ-MD, which exchangeable interests were effectively exchangeable on a one-for-one basis for shares of Lazard (an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and</w:t>
      </w:r>
    </w:p>
    <w:p>
      <w:pPr>
        <w:spacing w:after="0" w:line="170" w:lineRule="exact"/>
        <w:rPr>
          <w:sz w:val="20"/>
          <w:szCs w:val="20"/>
          <w:color w:val="auto"/>
        </w:rPr>
      </w:pPr>
    </w:p>
    <w:p>
      <w:pPr>
        <w:ind w:right="80" w:firstLine="457"/>
        <w:spacing w:after="0" w:line="260" w:lineRule="auto"/>
        <w:rPr>
          <w:sz w:val="20"/>
          <w:szCs w:val="20"/>
          <w:color w:val="auto"/>
        </w:rPr>
      </w:pPr>
      <w:r>
        <w:rPr>
          <w:rFonts w:ascii="Times New Roman" w:cs="Times New Roman" w:eastAsia="Times New Roman" w:hAnsi="Times New Roman"/>
          <w:sz w:val="17"/>
          <w:szCs w:val="17"/>
          <w:color w:val="auto"/>
        </w:rPr>
        <w:t>WHEREAS, the Exchanges were effected via an Exchangeable Holder’s transfer of Lazard Group interests directly to Ltd Sub A and Ltd Sub B (each, an “</w:t>
      </w:r>
      <w:r>
        <w:rPr>
          <w:rFonts w:ascii="Times New Roman" w:cs="Times New Roman" w:eastAsia="Times New Roman" w:hAnsi="Times New Roman"/>
          <w:sz w:val="17"/>
          <w:szCs w:val="17"/>
          <w:u w:val="single" w:color="auto"/>
          <w:color w:val="auto"/>
        </w:rPr>
        <w:t>Ltd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Exchanging Subsidiary</w:t>
      </w:r>
      <w:r>
        <w:rPr>
          <w:rFonts w:ascii="Times New Roman" w:cs="Times New Roman" w:eastAsia="Times New Roman" w:hAnsi="Times New Roman"/>
          <w:sz w:val="17"/>
          <w:szCs w:val="17"/>
          <w:color w:val="auto"/>
        </w:rPr>
        <w:t>”) in transactions that were intended to result in an Exchangeable Holder’s recognition of gain or loss for U.S. Federal income tax purposes (each, a “</w:t>
      </w:r>
      <w:r>
        <w:rPr>
          <w:rFonts w:ascii="Times New Roman" w:cs="Times New Roman" w:eastAsia="Times New Roman" w:hAnsi="Times New Roman"/>
          <w:sz w:val="17"/>
          <w:szCs w:val="17"/>
          <w:u w:val="single" w:color="auto"/>
          <w:color w:val="auto"/>
        </w:rPr>
        <w:t>Taxable Exchange</w:t>
      </w:r>
      <w:r>
        <w:rPr>
          <w:rFonts w:ascii="Times New Roman" w:cs="Times New Roman" w:eastAsia="Times New Roman" w:hAnsi="Times New Roman"/>
          <w:sz w:val="17"/>
          <w:szCs w:val="17"/>
          <w:color w:val="auto"/>
        </w:rPr>
        <w:t>”), as described herein; and</w:t>
      </w:r>
    </w:p>
    <w:p>
      <w:pPr>
        <w:spacing w:after="0" w:line="170" w:lineRule="exact"/>
        <w:rPr>
          <w:sz w:val="20"/>
          <w:szCs w:val="20"/>
          <w:color w:val="auto"/>
        </w:rPr>
      </w:pPr>
    </w:p>
    <w:p>
      <w:pPr>
        <w:ind w:right="40" w:firstLine="457"/>
        <w:spacing w:after="0" w:line="256" w:lineRule="auto"/>
        <w:rPr>
          <w:sz w:val="20"/>
          <w:szCs w:val="20"/>
          <w:color w:val="auto"/>
        </w:rPr>
      </w:pPr>
      <w:r>
        <w:rPr>
          <w:rFonts w:ascii="Times New Roman" w:cs="Times New Roman" w:eastAsia="Times New Roman" w:hAnsi="Times New Roman"/>
          <w:sz w:val="17"/>
          <w:szCs w:val="17"/>
          <w:color w:val="auto"/>
        </w:rPr>
        <w:t>WHEREAS, Lazard Group had in effect an election under Section 754 of the Code for the Taxable Year (as defined herein) in which the Redemption occurred, which election resulted in an adjustment to the Ltd Exchanging Subsidiaries’ share of the tax basis of the assets owned by Lazard Group as of the Redemption Date (such assets and any asset whose tax basis is determined, in whole or in part, by reference to the adjusted basis of any such asset, the “</w:t>
      </w:r>
      <w:r>
        <w:rPr>
          <w:rFonts w:ascii="Times New Roman" w:cs="Times New Roman" w:eastAsia="Times New Roman" w:hAnsi="Times New Roman"/>
          <w:sz w:val="17"/>
          <w:szCs w:val="17"/>
          <w:u w:val="single" w:color="auto"/>
          <w:color w:val="auto"/>
        </w:rPr>
        <w:t>Original Assets</w:t>
      </w:r>
      <w:r>
        <w:rPr>
          <w:rFonts w:ascii="Times New Roman" w:cs="Times New Roman" w:eastAsia="Times New Roman" w:hAnsi="Times New Roman"/>
          <w:sz w:val="17"/>
          <w:szCs w:val="17"/>
          <w:color w:val="auto"/>
        </w:rPr>
        <w:t>”) by reason of the Redemption; and</w:t>
      </w:r>
    </w:p>
    <w:p>
      <w:pPr>
        <w:spacing w:after="0" w:line="173" w:lineRule="exact"/>
        <w:rPr>
          <w:sz w:val="20"/>
          <w:szCs w:val="20"/>
          <w:color w:val="auto"/>
        </w:rPr>
      </w:pPr>
    </w:p>
    <w:p>
      <w:pPr>
        <w:ind w:right="400" w:firstLine="457"/>
        <w:spacing w:after="0" w:line="260" w:lineRule="auto"/>
        <w:rPr>
          <w:sz w:val="20"/>
          <w:szCs w:val="20"/>
          <w:color w:val="auto"/>
        </w:rPr>
      </w:pPr>
      <w:r>
        <w:rPr>
          <w:rFonts w:ascii="Times New Roman" w:cs="Times New Roman" w:eastAsia="Times New Roman" w:hAnsi="Times New Roman"/>
          <w:sz w:val="17"/>
          <w:szCs w:val="17"/>
          <w:color w:val="auto"/>
        </w:rPr>
        <w:t>WHEREAS, Lazard Group had in effect an election under Section 754 of the Code for each Taxable Year in which any Taxable Exchanges occurred, which election resulted in an adjustment to the Ltd Exchanging Subsidiaries’ share of the tax basis of the assets owned by Lazard Group as of the date of any such Taxable Exchange; and</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WHEREAS, Lazard, through the Ltd Exchanging Subsidiaries, owns Lazard Group and the common membership interests in Lazard Group; and</w:t>
      </w:r>
    </w:p>
    <w:p>
      <w:pPr>
        <w:sectPr>
          <w:pgSz w:w="11900" w:h="16838" w:orient="portrait"/>
          <w:cols w:equalWidth="0" w:num="1">
            <w:col w:w="11420"/>
          </w:cols>
          <w:pgMar w:left="240" w:top="119" w:right="239" w:bottom="1440" w:gutter="0" w:footer="0" w:header="0"/>
        </w:sectPr>
      </w:pPr>
    </w:p>
    <w:bookmarkStart w:id="129" w:name="page130"/>
    <w:bookmarkEnd w:id="129"/>
    <w:p>
      <w:pPr>
        <w:ind w:right="140" w:firstLine="457"/>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WHEREAS, the income, gain, loss, expense and other Tax items of Lazard Group and the Relevant Lazard Ltd Taxpayers (as defined herein) may be affected by the Basis Adjustment (as defined herein) and the Imputed Interest (as defined herein); and</w:t>
      </w:r>
    </w:p>
    <w:p>
      <w:pPr>
        <w:spacing w:after="0" w:line="158"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7"/>
          <w:szCs w:val="17"/>
          <w:color w:val="auto"/>
        </w:rPr>
        <w:t>WHEREAS, Lazard and LMDC Holdings LLC, a Delaware limited liability company formerly known as LFCM Holdings LLC (“</w:t>
      </w:r>
      <w:r>
        <w:rPr>
          <w:rFonts w:ascii="Times New Roman" w:cs="Times New Roman" w:eastAsia="Times New Roman" w:hAnsi="Times New Roman"/>
          <w:sz w:val="17"/>
          <w:szCs w:val="17"/>
          <w:u w:val="single" w:color="auto"/>
          <w:color w:val="auto"/>
        </w:rPr>
        <w:t>LMDC</w:t>
      </w:r>
      <w:r>
        <w:rPr>
          <w:rFonts w:ascii="Times New Roman" w:cs="Times New Roman" w:eastAsia="Times New Roman" w:hAnsi="Times New Roman"/>
          <w:sz w:val="17"/>
          <w:szCs w:val="17"/>
          <w:color w:val="auto"/>
        </w:rPr>
        <w:t>”), previously entered into that certain Tax Receivable Agreement (the “</w:t>
      </w:r>
      <w:r>
        <w:rPr>
          <w:rFonts w:ascii="Times New Roman" w:cs="Times New Roman" w:eastAsia="Times New Roman" w:hAnsi="Times New Roman"/>
          <w:sz w:val="17"/>
          <w:szCs w:val="17"/>
          <w:u w:val="single" w:color="auto"/>
          <w:color w:val="auto"/>
        </w:rPr>
        <w:t>Original Agreement</w:t>
      </w:r>
      <w:r>
        <w:rPr>
          <w:rFonts w:ascii="Times New Roman" w:cs="Times New Roman" w:eastAsia="Times New Roman" w:hAnsi="Times New Roman"/>
          <w:sz w:val="17"/>
          <w:szCs w:val="17"/>
          <w:color w:val="auto"/>
        </w:rPr>
        <w:t>”), dated May 10, 2005, in order to make certain arrangements with respect to the effect of the Basis Adjustment and Imputed Interest on the actual liability for Covered Taxes of the Relevant Lazard Ltd Taxpayers (as defined herein); and</w:t>
      </w:r>
    </w:p>
    <w:p>
      <w:pPr>
        <w:spacing w:after="0" w:line="170" w:lineRule="exact"/>
        <w:rPr>
          <w:sz w:val="20"/>
          <w:szCs w:val="20"/>
          <w:color w:val="auto"/>
        </w:rPr>
      </w:pPr>
    </w:p>
    <w:p>
      <w:pPr>
        <w:jc w:val="both"/>
        <w:ind w:right="60" w:firstLine="457"/>
        <w:spacing w:after="0" w:line="260" w:lineRule="auto"/>
        <w:rPr>
          <w:sz w:val="20"/>
          <w:szCs w:val="20"/>
          <w:color w:val="auto"/>
        </w:rPr>
      </w:pPr>
      <w:r>
        <w:rPr>
          <w:rFonts w:ascii="Times New Roman" w:cs="Times New Roman" w:eastAsia="Times New Roman" w:hAnsi="Times New Roman"/>
          <w:sz w:val="17"/>
          <w:szCs w:val="17"/>
          <w:color w:val="auto"/>
        </w:rPr>
        <w:t>WHEREAS, Lazard and LMDC amended the Original Agreement by that certain Amendment No. 1 to the Tax Receivable Agreement (as so amended, the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Amended Agreement</w:t>
      </w:r>
      <w:r>
        <w:rPr>
          <w:rFonts w:ascii="Times New Roman" w:cs="Times New Roman" w:eastAsia="Times New Roman" w:hAnsi="Times New Roman"/>
          <w:sz w:val="17"/>
          <w:szCs w:val="17"/>
          <w:color w:val="auto"/>
        </w:rPr>
        <w:t>”), dated as of April 24, 2015, to replace Schedule D to the Original Agreement with a revised Schedule D and to permit certain future amendments to Schedule D; and</w:t>
      </w:r>
    </w:p>
    <w:p>
      <w:pPr>
        <w:spacing w:after="0" w:line="170" w:lineRule="exact"/>
        <w:rPr>
          <w:sz w:val="20"/>
          <w:szCs w:val="20"/>
          <w:color w:val="auto"/>
        </w:rPr>
      </w:pPr>
    </w:p>
    <w:p>
      <w:pPr>
        <w:ind w:right="60" w:firstLine="457"/>
        <w:spacing w:after="0" w:line="252" w:lineRule="auto"/>
        <w:rPr>
          <w:sz w:val="20"/>
          <w:szCs w:val="20"/>
          <w:color w:val="auto"/>
        </w:rPr>
      </w:pPr>
      <w:r>
        <w:rPr>
          <w:rFonts w:ascii="Times New Roman" w:cs="Times New Roman" w:eastAsia="Times New Roman" w:hAnsi="Times New Roman"/>
          <w:sz w:val="17"/>
          <w:szCs w:val="17"/>
          <w:color w:val="auto"/>
        </w:rPr>
        <w:t>WHEREAS, Lazard, LMDC and the Trust previously entered into that certain Amended and Restated Tax Receivable Agreement (the “</w:t>
      </w:r>
      <w:r>
        <w:rPr>
          <w:rFonts w:ascii="Times New Roman" w:cs="Times New Roman" w:eastAsia="Times New Roman" w:hAnsi="Times New Roman"/>
          <w:sz w:val="17"/>
          <w:szCs w:val="17"/>
          <w:u w:val="single" w:color="auto"/>
          <w:color w:val="auto"/>
        </w:rPr>
        <w:t>First Amended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Restated Tax Receivable Agreement</w:t>
      </w:r>
      <w:r>
        <w:rPr>
          <w:rFonts w:ascii="Times New Roman" w:cs="Times New Roman" w:eastAsia="Times New Roman" w:hAnsi="Times New Roman"/>
          <w:sz w:val="17"/>
          <w:szCs w:val="17"/>
          <w:color w:val="auto"/>
        </w:rPr>
        <w:t>”), dated as of June 16, 2015, (i) to provide for LMDC to contribute and assign all of its rights and obligations under the First Amended and Restated Tax Receivable Agreement to the Trust and to provide for the Trust to assume all of LMDC’s rights and obligations under the First Amended and Restated Tax Receivable Agreement, (ii) to provide for the distribution of the beneficial interests in the Trust (the “</w:t>
      </w:r>
      <w:r>
        <w:rPr>
          <w:rFonts w:ascii="Times New Roman" w:cs="Times New Roman" w:eastAsia="Times New Roman" w:hAnsi="Times New Roman"/>
          <w:sz w:val="17"/>
          <w:szCs w:val="17"/>
          <w:u w:val="single" w:color="auto"/>
          <w:color w:val="auto"/>
        </w:rPr>
        <w:t>Trust Interests</w:t>
      </w:r>
      <w:r>
        <w:rPr>
          <w:rFonts w:ascii="Times New Roman" w:cs="Times New Roman" w:eastAsia="Times New Roman" w:hAnsi="Times New Roman"/>
          <w:sz w:val="17"/>
          <w:szCs w:val="17"/>
          <w:color w:val="auto"/>
        </w:rPr>
        <w:t>”) by LMDC to the Schedule D Persons in accordance with the percentages listed on Schedule D as set forth in the First Amended and Restated Tax Receivable Agreement as of June 16, 2015 (the “</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Interest Distribution</w:t>
      </w:r>
      <w:r>
        <w:rPr>
          <w:rFonts w:ascii="Times New Roman" w:cs="Times New Roman" w:eastAsia="Times New Roman" w:hAnsi="Times New Roman"/>
          <w:sz w:val="17"/>
          <w:szCs w:val="17"/>
          <w:color w:val="auto"/>
        </w:rPr>
        <w:t>”) and (iii) to provide for certain additional terms and conditions set forth therein; and</w:t>
      </w:r>
    </w:p>
    <w:p>
      <w:pPr>
        <w:spacing w:after="0" w:line="178" w:lineRule="exact"/>
        <w:rPr>
          <w:sz w:val="20"/>
          <w:szCs w:val="20"/>
          <w:color w:val="auto"/>
        </w:rPr>
      </w:pPr>
    </w:p>
    <w:p>
      <w:pPr>
        <w:ind w:right="20" w:firstLine="457"/>
        <w:spacing w:after="0" w:line="274" w:lineRule="auto"/>
        <w:rPr>
          <w:sz w:val="20"/>
          <w:szCs w:val="20"/>
          <w:color w:val="auto"/>
        </w:rPr>
      </w:pPr>
      <w:r>
        <w:rPr>
          <w:rFonts w:ascii="Times New Roman" w:cs="Times New Roman" w:eastAsia="Times New Roman" w:hAnsi="Times New Roman"/>
          <w:sz w:val="17"/>
          <w:szCs w:val="17"/>
          <w:color w:val="auto"/>
        </w:rPr>
        <w:t>WHEREAS, the parties to this Agreement desire to amend and restate the First Amended and Restated Tax Receivable Agreement to provide for certain terms and conditions set forth herein.</w:t>
      </w:r>
    </w:p>
    <w:p>
      <w:pPr>
        <w:spacing w:after="0" w:line="158" w:lineRule="exact"/>
        <w:rPr>
          <w:sz w:val="20"/>
          <w:szCs w:val="20"/>
          <w:color w:val="auto"/>
        </w:rPr>
      </w:pPr>
    </w:p>
    <w:p>
      <w:pPr>
        <w:ind w:firstLine="457"/>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covenants and agreements set forth herein, and intending to be legally bound hereby, the parties hereto agree to amend and restate the First Amended and Restated Tax Receivable Agreement in its entirety as follows: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211" w:lineRule="exact"/>
        <w:rPr>
          <w:sz w:val="20"/>
          <w:szCs w:val="20"/>
          <w:color w:val="auto"/>
        </w:rPr>
      </w:pPr>
    </w:p>
    <w:p>
      <w:pPr>
        <w:ind w:right="140" w:firstLine="457"/>
        <w:spacing w:after="0" w:line="274" w:lineRule="auto"/>
        <w:rPr>
          <w:sz w:val="20"/>
          <w:szCs w:val="20"/>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terms set forth in this Article I shall have the following meanings (such meanings to be equally applicable to both the singular and plural forms of the terms defined).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Advisory Firm</w:t>
      </w:r>
      <w:r>
        <w:rPr>
          <w:rFonts w:ascii="Times New Roman" w:cs="Times New Roman" w:eastAsia="Times New Roman" w:hAnsi="Times New Roman"/>
          <w:sz w:val="17"/>
          <w:szCs w:val="17"/>
          <w:color w:val="auto"/>
        </w:rPr>
        <w:t>” means an accounting or law firm that is nationally recognized as being expert in Covered Tax matters, as determined by the Audit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shall select the Advisory Firm.</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00"/>
          </w:cols>
          <w:pgMar w:left="240" w:top="262" w:right="259" w:bottom="1440" w:gutter="0" w:footer="0" w:header="0"/>
        </w:sectPr>
      </w:pPr>
    </w:p>
    <w:bookmarkStart w:id="130" w:name="page131"/>
    <w:bookmarkEnd w:id="130"/>
    <w:p>
      <w:pPr>
        <w:ind w:right="100" w:firstLine="457"/>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Advisory Firm Letter</w:t>
      </w:r>
      <w:r>
        <w:rPr>
          <w:rFonts w:ascii="Times New Roman" w:cs="Times New Roman" w:eastAsia="Times New Roman" w:hAnsi="Times New Roman"/>
          <w:sz w:val="17"/>
          <w:szCs w:val="17"/>
          <w:color w:val="auto"/>
        </w:rPr>
        <w:t>” shall mean a letter from the Advisory Firm stating that the relevant schedule, notice or other information to be provided by the Ltd Exchanging Subsidiaries to the Trust and all supporting schedules and work papers were prepared in a manner consistent with the terms of this Agreement and, to the extent not expressly provided in this Agreement, on a reasonable basis in light of the facts and law in existence on the date such schedule, notice or other information is delivered to the Trust.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Agreed Rate</w:t>
      </w:r>
      <w:r>
        <w:rPr>
          <w:rFonts w:ascii="Times New Roman" w:cs="Times New Roman" w:eastAsia="Times New Roman" w:hAnsi="Times New Roman"/>
          <w:sz w:val="17"/>
          <w:szCs w:val="17"/>
          <w:color w:val="auto"/>
        </w:rPr>
        <w:t>” means LIBOR plus 200 basis points.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defined in the preamble.</w:t>
      </w:r>
    </w:p>
    <w:p>
      <w:pPr>
        <w:spacing w:after="0" w:line="207" w:lineRule="exact"/>
        <w:rPr>
          <w:sz w:val="20"/>
          <w:szCs w:val="20"/>
          <w:color w:val="auto"/>
        </w:rPr>
      </w:pPr>
    </w:p>
    <w:p>
      <w:pPr>
        <w:ind w:right="64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Purchased Percentage</w:t>
      </w:r>
      <w:r>
        <w:rPr>
          <w:rFonts w:ascii="Times New Roman" w:cs="Times New Roman" w:eastAsia="Times New Roman" w:hAnsi="Times New Roman"/>
          <w:sz w:val="17"/>
          <w:szCs w:val="17"/>
          <w:color w:val="auto"/>
        </w:rPr>
        <w:t>” means the fraction, expressed as a percentage, the numerator of which is 85% minus the Payment Percentage and the denominator of which is 85%.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Amended Tax Benefit Schedule</w:t>
      </w:r>
      <w:r>
        <w:rPr>
          <w:rFonts w:ascii="Times New Roman" w:cs="Times New Roman" w:eastAsia="Times New Roman" w:hAnsi="Times New Roman"/>
          <w:sz w:val="17"/>
          <w:szCs w:val="17"/>
          <w:color w:val="auto"/>
        </w:rPr>
        <w:t>” is defined in Section 2.05(b) of this Agreement.</w:t>
      </w:r>
    </w:p>
    <w:p>
      <w:pPr>
        <w:spacing w:after="0" w:line="207" w:lineRule="exact"/>
        <w:rPr>
          <w:sz w:val="20"/>
          <w:szCs w:val="20"/>
          <w:color w:val="auto"/>
        </w:rPr>
      </w:pPr>
    </w:p>
    <w:p>
      <w:pPr>
        <w:ind w:right="500" w:firstLine="457"/>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Treasury Rate</w:t>
      </w:r>
      <w:r>
        <w:rPr>
          <w:rFonts w:ascii="Times New Roman" w:cs="Times New Roman" w:eastAsia="Times New Roman" w:hAnsi="Times New Roman"/>
          <w:sz w:val="16"/>
          <w:szCs w:val="16"/>
          <w:color w:val="auto"/>
        </w:rPr>
        <w:t>” means a rate equal to the yield to maturity as of the date an Early Termination Notice is delivered (the “delivery date”) of U.S. Treasury securities with a constant maturity (the “</w:t>
      </w:r>
      <w:r>
        <w:rPr>
          <w:rFonts w:ascii="Times New Roman" w:cs="Times New Roman" w:eastAsia="Times New Roman" w:hAnsi="Times New Roman"/>
          <w:sz w:val="16"/>
          <w:szCs w:val="16"/>
          <w:u w:val="single" w:color="auto"/>
          <w:color w:val="auto"/>
        </w:rPr>
        <w:t>Applicable Maturity</w:t>
      </w:r>
      <w:r>
        <w:rPr>
          <w:rFonts w:ascii="Times New Roman" w:cs="Times New Roman" w:eastAsia="Times New Roman" w:hAnsi="Times New Roman"/>
          <w:sz w:val="16"/>
          <w:szCs w:val="16"/>
          <w:color w:val="auto"/>
        </w:rPr>
        <w:t>”) (as compiled and published in the most recent Federal Reserve Statistical Release H 15</w:t>
      </w:r>
    </w:p>
    <w:p>
      <w:pPr>
        <w:ind w:right="60"/>
        <w:spacing w:after="0" w:line="249" w:lineRule="auto"/>
        <w:rPr>
          <w:sz w:val="20"/>
          <w:szCs w:val="20"/>
          <w:color w:val="auto"/>
        </w:rPr>
      </w:pPr>
      <w:r>
        <w:rPr>
          <w:rFonts w:ascii="Times New Roman" w:cs="Times New Roman" w:eastAsia="Times New Roman" w:hAnsi="Times New Roman"/>
          <w:sz w:val="17"/>
          <w:szCs w:val="17"/>
          <w:color w:val="auto"/>
        </w:rPr>
        <w:t>(519)) equal to (a) if the delivery date is on or after the fifth anniversary of the Redemption Date but prior to the fifteenth anniversary of the Redemption Date, the number of years from the delivery date through the fifteenth anniversary of the Redemption Date, or (b) if the delivery date is on or after the fifteenth anniversary of the Redemption Date, two years after the delivery date. If there are no U.S. Treasury securities with a constant maturity equal to the Applicable Maturity, the yield to maturity shall be interpolated from the U.S. Treasury securities with constant maturities that are most nearly longer than and shorter than the Applicable Maturity.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means the audit committee of the board of directors of Lazard Ltd.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w:t>
      </w:r>
      <w:r>
        <w:rPr>
          <w:rFonts w:ascii="Times New Roman" w:cs="Times New Roman" w:eastAsia="Times New Roman" w:hAnsi="Times New Roman"/>
          <w:sz w:val="17"/>
          <w:szCs w:val="17"/>
          <w:color w:val="auto"/>
        </w:rPr>
        <w:t>” is defined in Section 7.12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Basis Adjustment</w:t>
      </w:r>
      <w:r>
        <w:rPr>
          <w:rFonts w:ascii="Times New Roman" w:cs="Times New Roman" w:eastAsia="Times New Roman" w:hAnsi="Times New Roman"/>
          <w:sz w:val="17"/>
          <w:szCs w:val="17"/>
          <w:color w:val="auto"/>
        </w:rPr>
        <w:t>” means the increase or decrease to the tax basis of, or any Relevant Lazard Ltd Taxpayer’s share of the tax basis of, Lazard Group’s assets</w:t>
      </w:r>
    </w:p>
    <w:p>
      <w:pPr>
        <w:spacing w:after="0" w:line="22" w:lineRule="exact"/>
        <w:rPr>
          <w:sz w:val="20"/>
          <w:szCs w:val="20"/>
          <w:color w:val="auto"/>
        </w:rPr>
      </w:pPr>
    </w:p>
    <w:p>
      <w:pPr>
        <w:ind w:left="200" w:hanging="199"/>
        <w:spacing w:after="0"/>
        <w:tabs>
          <w:tab w:leader="none" w:pos="2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Sections 734(b), 743(b) and 754 of the Code and the comparable sections of U.S. state and local income and franchise Tax law as a result of the Redemption,</w:t>
      </w:r>
    </w:p>
    <w:p>
      <w:pPr>
        <w:spacing w:after="0" w:line="5"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Section 743(b) and 754 of the Code and the comparable sections of U.S. state and local income and franchise Tax law as a result of the Taxable Exchanges and</w:t>
      </w:r>
    </w:p>
    <w:p>
      <w:pPr>
        <w:spacing w:after="0" w:line="17" w:lineRule="exact"/>
        <w:rPr>
          <w:rFonts w:ascii="Times New Roman" w:cs="Times New Roman" w:eastAsia="Times New Roman" w:hAnsi="Times New Roman"/>
          <w:sz w:val="16"/>
          <w:szCs w:val="16"/>
          <w:color w:val="auto"/>
        </w:rPr>
      </w:pPr>
    </w:p>
    <w:p>
      <w:pPr>
        <w:ind w:right="20" w:firstLine="1"/>
        <w:spacing w:after="0" w:line="254" w:lineRule="auto"/>
        <w:tabs>
          <w:tab w:leader="none" w:pos="29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Sections 743(b) and 754 as a result of any payments under this Agreement. For the avoidance of doubt, payments under this Agreement shall not be treated as resulting in a Basis Adjustment to the extent such payments relate to the Redemption or are treated as Imputed Interest.</w:t>
      </w:r>
    </w:p>
    <w:p>
      <w:pPr>
        <w:spacing w:after="0" w:line="174" w:lineRule="exact"/>
        <w:rPr>
          <w:sz w:val="20"/>
          <w:szCs w:val="20"/>
          <w:color w:val="auto"/>
        </w:rPr>
      </w:pPr>
    </w:p>
    <w:p>
      <w:pPr>
        <w:ind w:right="2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calendar day that is not a Saturday, Sunday or other calendar day on which banks are required or authorized to be closed in the City of New York in the State of New York or the City of Wilmington in the State of Delaware.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Buyout Agreement</w:t>
      </w:r>
      <w:r>
        <w:rPr>
          <w:rFonts w:ascii="Times New Roman" w:cs="Times New Roman" w:eastAsia="Times New Roman" w:hAnsi="Times New Roman"/>
          <w:sz w:val="17"/>
          <w:szCs w:val="17"/>
          <w:color w:val="auto"/>
        </w:rPr>
        <w:t>” is defined in the recitals.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240" w:top="261" w:right="319" w:bottom="1440" w:gutter="0" w:footer="0" w:header="0"/>
        </w:sectPr>
      </w:pPr>
    </w:p>
    <w:bookmarkStart w:id="131" w:name="page132"/>
    <w:bookmarkEnd w:id="131"/>
    <w:p>
      <w:pPr>
        <w:ind w:left="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Change of Control Event</w:t>
      </w:r>
      <w:r>
        <w:rPr>
          <w:rFonts w:ascii="Times New Roman" w:cs="Times New Roman" w:eastAsia="Times New Roman" w:hAnsi="Times New Roman"/>
          <w:sz w:val="17"/>
          <w:szCs w:val="17"/>
          <w:color w:val="auto"/>
        </w:rPr>
        <w:t>” means the occurrence of any of the following events:</w:t>
      </w:r>
    </w:p>
    <w:p>
      <w:pPr>
        <w:spacing w:after="0" w:line="107" w:lineRule="exact"/>
        <w:rPr>
          <w:sz w:val="20"/>
          <w:szCs w:val="20"/>
          <w:color w:val="auto"/>
        </w:rPr>
      </w:pPr>
    </w:p>
    <w:p>
      <w:pPr>
        <w:ind w:left="2" w:firstLine="436"/>
        <w:spacing w:after="0" w:line="249" w:lineRule="auto"/>
        <w:tabs>
          <w:tab w:leader="none" w:pos="641"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through one or more related transactions, of (A) a merger, amalgamation, consolidation, statutory share exchange or similar form of corporate transaction involving Lazard or Lazard Group (a “</w:t>
      </w:r>
      <w:r>
        <w:rPr>
          <w:rFonts w:ascii="Times New Roman" w:cs="Times New Roman" w:eastAsia="Times New Roman" w:hAnsi="Times New Roman"/>
          <w:sz w:val="17"/>
          <w:szCs w:val="17"/>
          <w:u w:val="single" w:color="auto"/>
          <w:color w:val="auto"/>
        </w:rPr>
        <w:t>Reorganization</w:t>
      </w:r>
      <w:r>
        <w:rPr>
          <w:rFonts w:ascii="Times New Roman" w:cs="Times New Roman" w:eastAsia="Times New Roman" w:hAnsi="Times New Roman"/>
          <w:sz w:val="17"/>
          <w:szCs w:val="17"/>
          <w:color w:val="auto"/>
        </w:rPr>
        <w:t>”) or (B) the sale or other disposition of all or substantially all the assets of Lazard or Lazard Group to an entity that is not a controlled subsidiary of Lazard (a “</w:t>
      </w:r>
      <w:r>
        <w:rPr>
          <w:rFonts w:ascii="Times New Roman" w:cs="Times New Roman" w:eastAsia="Times New Roman" w:hAnsi="Times New Roman"/>
          <w:sz w:val="17"/>
          <w:szCs w:val="17"/>
          <w:u w:val="single" w:color="auto"/>
          <w:color w:val="auto"/>
        </w:rPr>
        <w:t>Sale</w:t>
      </w:r>
      <w:r>
        <w:rPr>
          <w:rFonts w:ascii="Times New Roman" w:cs="Times New Roman" w:eastAsia="Times New Roman" w:hAnsi="Times New Roman"/>
          <w:sz w:val="17"/>
          <w:szCs w:val="17"/>
          <w:color w:val="auto"/>
        </w:rPr>
        <w:t>”) if such Reorganization or Sale requires the approval of Lazard’s stockholders under the law of Bermuda (whether such approval is required for such Reorganization or Sale or for the issuance of securities of Lazard in such Reorganization or Sale or the rules and regulations of the principal trading exchange for Lazard’s Class A common shares), unless, immediately following such Reorganization or Sale, (1) all or substantially all the individuals and entities who were the “beneficial owners” (as such term is defined in Rule 13d-3 under the Exchange Act (or a successor rule thereto)) of the shares of Lazard, or such other securities of Lazard into which such shares shall be changed by reason of a Reorganization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or other securities eligible to vote for the election of the Board (together, “</w:t>
      </w:r>
      <w:r>
        <w:rPr>
          <w:rFonts w:ascii="Times New Roman" w:cs="Times New Roman" w:eastAsia="Times New Roman" w:hAnsi="Times New Roman"/>
          <w:sz w:val="17"/>
          <w:szCs w:val="17"/>
          <w:u w:val="single" w:color="auto"/>
          <w:color w:val="auto"/>
        </w:rPr>
        <w:t>Lazard Voting Securities</w:t>
      </w:r>
      <w:r>
        <w:rPr>
          <w:rFonts w:ascii="Times New Roman" w:cs="Times New Roman" w:eastAsia="Times New Roman" w:hAnsi="Times New Roman"/>
          <w:sz w:val="17"/>
          <w:szCs w:val="17"/>
          <w:color w:val="auto"/>
        </w:rPr>
        <w:t>”) outstanding immediately prior to the consummation of such Reorganization or Sale beneficially own, directly or indirectly, more than 50% of the combined voting power of the then outstanding voting securities of the corporation resulting from such Reorganization or Sale (including, without limitation, a corporation that as a result of such transaction owns Lazard or all or substantially all Lazard’s assets either directly or through one or more subsidiaries) (the “</w:t>
      </w:r>
      <w:r>
        <w:rPr>
          <w:rFonts w:ascii="Times New Roman" w:cs="Times New Roman" w:eastAsia="Times New Roman" w:hAnsi="Times New Roman"/>
          <w:sz w:val="17"/>
          <w:szCs w:val="17"/>
          <w:u w:val="single" w:color="auto"/>
          <w:color w:val="auto"/>
        </w:rPr>
        <w:t>Continuing Corporation</w:t>
      </w:r>
      <w:r>
        <w:rPr>
          <w:rFonts w:ascii="Times New Roman" w:cs="Times New Roman" w:eastAsia="Times New Roman" w:hAnsi="Times New Roman"/>
          <w:sz w:val="17"/>
          <w:szCs w:val="17"/>
          <w:color w:val="auto"/>
        </w:rPr>
        <w:t>”) in substantially the same proportions as their ownership, immediately prior to the consummation of such Reorganization or Sale, of the outstanding Lazard Voting Securities (excluding any outstanding voting securities of the Continuing Corporation that such beneficial owners hold immediately following the consummation of the Reorganization or Sale as a result of their ownership prior to such consummation of voting securities of any company or other entity involved in or forming part of such Reorganization or Sale other than Lazard);</w:t>
      </w:r>
    </w:p>
    <w:p>
      <w:pPr>
        <w:spacing w:after="0" w:line="78" w:lineRule="exact"/>
        <w:rPr>
          <w:rFonts w:ascii="Times New Roman" w:cs="Times New Roman" w:eastAsia="Times New Roman" w:hAnsi="Times New Roman"/>
          <w:sz w:val="17"/>
          <w:szCs w:val="17"/>
          <w:color w:val="auto"/>
        </w:rPr>
      </w:pPr>
    </w:p>
    <w:p>
      <w:pPr>
        <w:ind w:left="682" w:hanging="244"/>
        <w:spacing w:after="0"/>
        <w:tabs>
          <w:tab w:leader="none" w:pos="682"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Lazard approve a plan of complete liquidation or dissolution of Lazard; or</w:t>
      </w:r>
    </w:p>
    <w:p>
      <w:pPr>
        <w:spacing w:after="0" w:line="106" w:lineRule="exact"/>
        <w:rPr>
          <w:rFonts w:ascii="Times New Roman" w:cs="Times New Roman" w:eastAsia="Times New Roman" w:hAnsi="Times New Roman"/>
          <w:sz w:val="17"/>
          <w:szCs w:val="17"/>
          <w:color w:val="auto"/>
        </w:rPr>
      </w:pPr>
    </w:p>
    <w:p>
      <w:pPr>
        <w:jc w:val="both"/>
        <w:ind w:left="2" w:right="340" w:firstLine="436"/>
        <w:spacing w:after="0" w:line="273" w:lineRule="auto"/>
        <w:tabs>
          <w:tab w:leader="none" w:pos="735"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such term is used in Section 13(d) of the Exchange Act), corporation or other entity or “group” (as used in Section 14(d)(2) of the Exchange Act) (other than (A) Lazard, (B) any trustee or other fiduciary holding securities under an employee benefit plan of Lazard or an affiliate of Lazard,</w:t>
      </w:r>
    </w:p>
    <w:p>
      <w:pPr>
        <w:ind w:left="2" w:hanging="2"/>
        <w:spacing w:after="0" w:line="249" w:lineRule="auto"/>
        <w:tabs>
          <w:tab w:leader="none" w:pos="26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person controlled by all or substantially all of the then-current managing directors of Lazard (provided no individual person controls more than 5% of any such person) or (D) any company owned, directly or indirectly, by the stockholders of Lazard in substantially the same proportions as their ownership of the voting power of the Lazard Voting Securities) becomes the beneficial owner, directly or indirectly, of securities of Lazard representing 20% or more of the combined voting power of the Lazard Voting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subparagraph (iii) any acquisition by any employee benefit plan (or related trust) sponsored or maintained by Lazard or an affiliate of Lazard shall not constitute a Change of Control Event.</w:t>
      </w:r>
    </w:p>
    <w:p>
      <w:pPr>
        <w:spacing w:after="0" w:line="115" w:lineRule="exact"/>
        <w:rPr>
          <w:sz w:val="20"/>
          <w:szCs w:val="20"/>
          <w:color w:val="auto"/>
        </w:rPr>
      </w:pPr>
    </w:p>
    <w:p>
      <w:pPr>
        <w:jc w:val="center"/>
        <w:ind w:right="418"/>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942"/>
          </w:cols>
          <w:pgMar w:left="698" w:top="261" w:right="259"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Change of Control Termination Payment</w:t>
      </w:r>
      <w:r>
        <w:rPr>
          <w:rFonts w:ascii="Times New Roman" w:cs="Times New Roman" w:eastAsia="Times New Roman" w:hAnsi="Times New Roman"/>
          <w:sz w:val="17"/>
          <w:szCs w:val="17"/>
          <w:color w:val="auto"/>
        </w:rPr>
        <w:t>” is defined in Section 4.03(c)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Notice</w:t>
      </w:r>
      <w:r>
        <w:rPr>
          <w:rFonts w:ascii="Times New Roman" w:cs="Times New Roman" w:eastAsia="Times New Roman" w:hAnsi="Times New Roman"/>
          <w:sz w:val="17"/>
          <w:szCs w:val="17"/>
          <w:color w:val="auto"/>
        </w:rPr>
        <w:t>” is defined in Section 3.03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Taxable Year</w:t>
      </w:r>
      <w:r>
        <w:rPr>
          <w:rFonts w:ascii="Times New Roman" w:cs="Times New Roman" w:eastAsia="Times New Roman" w:hAnsi="Times New Roman"/>
          <w:sz w:val="17"/>
          <w:szCs w:val="17"/>
          <w:color w:val="auto"/>
        </w:rPr>
        <w:t>” means any Taxable Year of the Relevant Lazard Ltd Taxpayers ending after the Redemption Date and on or before the end of the Taxable Year including the date which is the twentieth-fourth (24th) anniversary of the Redemption Date.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Taxes</w:t>
      </w:r>
      <w:r>
        <w:rPr>
          <w:rFonts w:ascii="Times New Roman" w:cs="Times New Roman" w:eastAsia="Times New Roman" w:hAnsi="Times New Roman"/>
          <w:sz w:val="17"/>
          <w:szCs w:val="17"/>
          <w:color w:val="auto"/>
        </w:rPr>
        <w:t>” means U.S. Federal Income Taxes and U.S. state and local income and franchise Taxes.</w:t>
      </w:r>
    </w:p>
    <w:p>
      <w:pPr>
        <w:spacing w:after="0" w:line="207" w:lineRule="exact"/>
        <w:rPr>
          <w:sz w:val="20"/>
          <w:szCs w:val="20"/>
          <w:color w:val="auto"/>
        </w:rPr>
      </w:pPr>
    </w:p>
    <w:p>
      <w:pPr>
        <w:ind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Determination</w:t>
      </w:r>
      <w:r>
        <w:rPr>
          <w:rFonts w:ascii="Times New Roman" w:cs="Times New Roman" w:eastAsia="Times New Roman" w:hAnsi="Times New Roman"/>
          <w:sz w:val="17"/>
          <w:szCs w:val="17"/>
          <w:color w:val="auto"/>
        </w:rPr>
        <w:t>” shall have the meaning ascribed to such term in Section 1313(a) of the Code or similar provision of state or local income or franchise Tax law, as applicable.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is defined in Section 2.01 of the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Notice</w:t>
      </w:r>
      <w:r>
        <w:rPr>
          <w:rFonts w:ascii="Times New Roman" w:cs="Times New Roman" w:eastAsia="Times New Roman" w:hAnsi="Times New Roman"/>
          <w:sz w:val="17"/>
          <w:szCs w:val="17"/>
          <w:color w:val="auto"/>
        </w:rPr>
        <w:t>” is defined in Section 4.02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Payment</w:t>
      </w:r>
      <w:r>
        <w:rPr>
          <w:rFonts w:ascii="Times New Roman" w:cs="Times New Roman" w:eastAsia="Times New Roman" w:hAnsi="Times New Roman"/>
          <w:sz w:val="17"/>
          <w:szCs w:val="17"/>
          <w:color w:val="auto"/>
        </w:rPr>
        <w:t>” is defined in Section 4.03(b)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Rate</w:t>
      </w:r>
      <w:r>
        <w:rPr>
          <w:rFonts w:ascii="Times New Roman" w:cs="Times New Roman" w:eastAsia="Times New Roman" w:hAnsi="Times New Roman"/>
          <w:sz w:val="17"/>
          <w:szCs w:val="17"/>
          <w:color w:val="auto"/>
        </w:rPr>
        <w:t>” means the Applicable Treasury Rate plus 300 basis points.</w:t>
      </w:r>
    </w:p>
    <w:p>
      <w:pPr>
        <w:spacing w:after="0" w:line="207" w:lineRule="exact"/>
        <w:rPr>
          <w:sz w:val="20"/>
          <w:szCs w:val="20"/>
          <w:color w:val="auto"/>
        </w:rPr>
      </w:pPr>
    </w:p>
    <w:p>
      <w:pPr>
        <w:ind w:right="2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Account</w:t>
      </w:r>
      <w:r>
        <w:rPr>
          <w:rFonts w:ascii="Times New Roman" w:cs="Times New Roman" w:eastAsia="Times New Roman" w:hAnsi="Times New Roman"/>
          <w:sz w:val="17"/>
          <w:szCs w:val="17"/>
          <w:color w:val="auto"/>
        </w:rPr>
        <w:t>” means the account or accounts established by the Escrow Agent to hold any Tax Benefit Payments then held in escrow, along with any interest earned on such funds, in accordance with the Escrow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Agent</w:t>
      </w:r>
      <w:r>
        <w:rPr>
          <w:rFonts w:ascii="Times New Roman" w:cs="Times New Roman" w:eastAsia="Times New Roman" w:hAnsi="Times New Roman"/>
          <w:sz w:val="17"/>
          <w:szCs w:val="17"/>
          <w:color w:val="auto"/>
        </w:rPr>
        <w:t>” is defined in Section 3.01(a) of the Agreement.</w:t>
      </w:r>
    </w:p>
    <w:p>
      <w:pPr>
        <w:spacing w:after="0" w:line="207"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Agreement</w:t>
      </w:r>
      <w:r>
        <w:rPr>
          <w:rFonts w:ascii="Times New Roman" w:cs="Times New Roman" w:eastAsia="Times New Roman" w:hAnsi="Times New Roman"/>
          <w:sz w:val="17"/>
          <w:szCs w:val="17"/>
          <w:color w:val="auto"/>
        </w:rPr>
        <w:t>” means the escrow agreement dated August 23, 2007, by and among the Ltd Exchanging Subsidiaries, LMDC and The Bank of New York Mellon, as Escrow Agent, as amended by the first amendment to the escrow agreement dated June 16, 2015, by and among the Ltd Exchanging Subsidiaries, LMDC, the Trust and The Bank of New York Mellon, as Escrow Agent.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or any successor statute thereto.</w:t>
      </w:r>
    </w:p>
    <w:p>
      <w:pPr>
        <w:spacing w:after="0" w:line="207" w:lineRule="exact"/>
        <w:rPr>
          <w:sz w:val="20"/>
          <w:szCs w:val="20"/>
          <w:color w:val="auto"/>
        </w:rPr>
      </w:pPr>
    </w:p>
    <w:p>
      <w:pPr>
        <w:ind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Assets</w:t>
      </w:r>
      <w:r>
        <w:rPr>
          <w:rFonts w:ascii="Times New Roman" w:cs="Times New Roman" w:eastAsia="Times New Roman" w:hAnsi="Times New Roman"/>
          <w:sz w:val="17"/>
          <w:szCs w:val="17"/>
          <w:color w:val="auto"/>
        </w:rPr>
        <w:t>” means the assets owned by Lazard Group as of an applicable Exchange Date (and any asset whose tax basis is determined, in whole or in part, by reference to the adjusted basis of any such asset).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Basis Schedule</w:t>
      </w:r>
      <w:r>
        <w:rPr>
          <w:rFonts w:ascii="Times New Roman" w:cs="Times New Roman" w:eastAsia="Times New Roman" w:hAnsi="Times New Roman"/>
          <w:sz w:val="17"/>
          <w:szCs w:val="17"/>
          <w:color w:val="auto"/>
        </w:rPr>
        <w:t>” is defined in Section 2.04(a)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Date</w:t>
      </w:r>
      <w:r>
        <w:rPr>
          <w:rFonts w:ascii="Times New Roman" w:cs="Times New Roman" w:eastAsia="Times New Roman" w:hAnsi="Times New Roman"/>
          <w:sz w:val="17"/>
          <w:szCs w:val="17"/>
          <w:color w:val="auto"/>
        </w:rPr>
        <w:t>” means the date on which a Taxable Exchange is effected.</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340"/>
          </w:cols>
          <w:pgMar w:left="240" w:top="261" w:right="319"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Exchangeable Holder</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right="140" w:firstLine="457"/>
        <w:spacing w:after="0" w:line="30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Federal Income Tax</w:t>
      </w:r>
      <w:r>
        <w:rPr>
          <w:rFonts w:ascii="Times New Roman" w:cs="Times New Roman" w:eastAsia="Times New Roman" w:hAnsi="Times New Roman"/>
          <w:sz w:val="16"/>
          <w:szCs w:val="16"/>
          <w:color w:val="auto"/>
        </w:rPr>
        <w:t>” means any tax imposed under Subtitle A of the Code or any other provision of U.S. Federal income tax law (including, without limitation, the taxes imposed by Sections 11, 55, 59A, 881, 882, 884 and 1201(a) of the Code), and any interest, additions to tax or penalties applicable or related to such tax.</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Amended Agreement</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Amended and Restated Tax Receivable Agreement</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right="68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federal, state, local, provincial or foreign government or any court of competent jurisdiction, administrative agency or commission or other governmental authority or instrumentality, whether domestic or foreign.</w:t>
      </w:r>
    </w:p>
    <w:p>
      <w:pPr>
        <w:spacing w:after="0" w:line="158"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Hypothetical Pro Rata Escrow Amount</w:t>
      </w:r>
      <w:r>
        <w:rPr>
          <w:rFonts w:ascii="Times New Roman" w:cs="Times New Roman" w:eastAsia="Times New Roman" w:hAnsi="Times New Roman"/>
          <w:sz w:val="16"/>
          <w:szCs w:val="16"/>
          <w:color w:val="auto"/>
        </w:rPr>
        <w:t>” means, at any time of determination and with respect to any Schedule D Person and assuming the additional assumptions set forth in the second sentence of this definition were to apply, the amount that would be distributed to such Schedule D Person assuming the aggregate amount then in the Escrow Account were distributed to the Schedule D Persons pro rata in accordance with their respective percentages set forth on Schedule D. For the purposes of the foregoing, it shall additionally be assumed that: (i) in connection with any Lazard Purchases occurring prior to such time, such Trust Interests are not canceled or retired and Lazard Purchaser continues to hold such Trust Interests; (ii) the Trust Interests set forth on Schedule D were not reduced in connection with any Lazard Purchase occurring prior to such time and instead, Schedule D reflects the transfer to Lazard Purchaser of any Trust Interests sold, transferred or otherwise disposed in a Lazard Purchase occurring prior to such time; and (iii) the amount of any Tax Benefit Payment and any interest accrued thereon that would have otherwise been distributed from the Escrow Account in connection with any Lazard Escrow Release occurring prior to such time was not distributed and remains in the Escrow Account, except to the extent that the distribution of such Tax Benefit Payment and any interest accrued thereon would not constitute a Lazard Escrow Release.</w:t>
      </w:r>
    </w:p>
    <w:p>
      <w:pPr>
        <w:spacing w:after="0" w:line="164" w:lineRule="exact"/>
        <w:rPr>
          <w:sz w:val="20"/>
          <w:szCs w:val="20"/>
          <w:color w:val="auto"/>
        </w:rPr>
      </w:pPr>
    </w:p>
    <w:p>
      <w:pPr>
        <w:ind w:right="2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Hypothetical Tax Basis</w:t>
      </w:r>
      <w:r>
        <w:rPr>
          <w:rFonts w:ascii="Times New Roman" w:cs="Times New Roman" w:eastAsia="Times New Roman" w:hAnsi="Times New Roman"/>
          <w:sz w:val="17"/>
          <w:szCs w:val="17"/>
          <w:color w:val="auto"/>
        </w:rPr>
        <w:t>” means, with respect to any asset at any time, the tax basis that such asset would have at such time if no Basis Adjustment had been made as a result of the Redemption or an applicable Taxable Exchange, as the case may be.</w:t>
      </w:r>
    </w:p>
    <w:p>
      <w:pPr>
        <w:spacing w:after="0" w:line="158" w:lineRule="exact"/>
        <w:rPr>
          <w:sz w:val="20"/>
          <w:szCs w:val="20"/>
          <w:color w:val="auto"/>
        </w:rPr>
      </w:pPr>
    </w:p>
    <w:p>
      <w:pPr>
        <w:ind w:right="100"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Hypothetical Tax Liability</w:t>
      </w:r>
      <w:r>
        <w:rPr>
          <w:rFonts w:ascii="Times New Roman" w:cs="Times New Roman" w:eastAsia="Times New Roman" w:hAnsi="Times New Roman"/>
          <w:sz w:val="17"/>
          <w:szCs w:val="17"/>
          <w:color w:val="auto"/>
        </w:rPr>
        <w:t>” means, with respect to any Covered Taxable Year, the liability for Covered Taxes of the Relevant Lazard Ltd Taxpayers using the same methods, elections, conventions and similar practices used on the actual Tax Returns of such Relevant Lazard Ltd Taxpayers, but using the Hypothetical Tax Basis instead of the actual tax basis of each relevant asset and excluding any deduction attributable to the Imputed Interest.</w:t>
      </w:r>
    </w:p>
    <w:p>
      <w:pPr>
        <w:spacing w:after="0" w:line="170" w:lineRule="exact"/>
        <w:rPr>
          <w:sz w:val="20"/>
          <w:szCs w:val="20"/>
          <w:color w:val="auto"/>
        </w:rPr>
      </w:pPr>
    </w:p>
    <w:p>
      <w:pPr>
        <w:jc w:val="both"/>
        <w:ind w:right="280"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Imputed Interest</w:t>
      </w:r>
      <w:r>
        <w:rPr>
          <w:rFonts w:ascii="Times New Roman" w:cs="Times New Roman" w:eastAsia="Times New Roman" w:hAnsi="Times New Roman"/>
          <w:sz w:val="17"/>
          <w:szCs w:val="17"/>
          <w:color w:val="auto"/>
        </w:rPr>
        <w:t>” shall mean any interest imputed under Section 1272, 1274 or 483 or other provision of the Code (or any successor U.S. Federal income tax statute) and the similar section of the applicable U.S. state or local income or franchise Tax law with respect to the Ltd Exchanging Subsidiaries’ payment obligations under this Agreement.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400"/>
          </w:cols>
          <w:pgMar w:left="240" w:top="261" w:right="259" w:bottom="1440" w:gutter="0" w:footer="0" w:header="0"/>
        </w:sectPr>
      </w:pPr>
    </w:p>
    <w:bookmarkStart w:id="134" w:name="page135"/>
    <w:bookmarkEnd w:id="134"/>
    <w:p>
      <w:pPr>
        <w:ind w:right="180" w:firstLine="457"/>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IPO Proceeds</w:t>
      </w:r>
      <w:r>
        <w:rPr>
          <w:rFonts w:ascii="Times New Roman" w:cs="Times New Roman" w:eastAsia="Times New Roman" w:hAnsi="Times New Roman"/>
          <w:sz w:val="17"/>
          <w:szCs w:val="17"/>
          <w:color w:val="auto"/>
        </w:rPr>
        <w:t>” means the aggregate proceeds from the sale of Lazard shares in Lazard’s initial public offering, net of underwriters’ discounts and commissions and directly allocated expenses.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U.S. Internal Revenue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LAZ-MD</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w:t>
      </w:r>
      <w:r>
        <w:rPr>
          <w:rFonts w:ascii="Times New Roman" w:cs="Times New Roman" w:eastAsia="Times New Roman" w:hAnsi="Times New Roman"/>
          <w:sz w:val="17"/>
          <w:szCs w:val="17"/>
          <w:color w:val="auto"/>
        </w:rPr>
        <w:t>” is defined in the preamble.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Escrow Release</w:t>
      </w:r>
      <w:r>
        <w:rPr>
          <w:rFonts w:ascii="Times New Roman" w:cs="Times New Roman" w:eastAsia="Times New Roman" w:hAnsi="Times New Roman"/>
          <w:sz w:val="17"/>
          <w:szCs w:val="17"/>
          <w:color w:val="auto"/>
        </w:rPr>
        <w:t>” is defined in Section 3.04(d) of this Agreement.</w:t>
      </w:r>
    </w:p>
    <w:p>
      <w:pPr>
        <w:spacing w:after="0" w:line="207" w:lineRule="exact"/>
        <w:rPr>
          <w:sz w:val="20"/>
          <w:szCs w:val="20"/>
          <w:color w:val="auto"/>
        </w:rPr>
      </w:pPr>
    </w:p>
    <w:p>
      <w:pPr>
        <w:ind w:right="62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Purchase</w:t>
      </w:r>
      <w:r>
        <w:rPr>
          <w:rFonts w:ascii="Times New Roman" w:cs="Times New Roman" w:eastAsia="Times New Roman" w:hAnsi="Times New Roman"/>
          <w:sz w:val="17"/>
          <w:szCs w:val="17"/>
          <w:color w:val="auto"/>
        </w:rPr>
        <w:t>” means any sale, transfer or other direct or indirect disposition of any Trust Interests to Lazard Purchaser, whether through a negotiated transaction, offer to purchase or otherwise.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Lazard Purchaser</w:t>
      </w:r>
      <w:r>
        <w:rPr>
          <w:rFonts w:ascii="Times New Roman" w:cs="Times New Roman" w:eastAsia="Times New Roman" w:hAnsi="Times New Roman"/>
          <w:sz w:val="17"/>
          <w:szCs w:val="17"/>
          <w:color w:val="auto"/>
        </w:rPr>
        <w:t>” has the meaning ascribed to the term “Lazard” in the Trust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LMDC</w:t>
      </w:r>
      <w:r>
        <w:rPr>
          <w:rFonts w:ascii="Times New Roman" w:cs="Times New Roman" w:eastAsia="Times New Roman" w:hAnsi="Times New Roman"/>
          <w:sz w:val="17"/>
          <w:szCs w:val="17"/>
          <w:color w:val="auto"/>
        </w:rPr>
        <w:t>” is defined in the preamble.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LMDC Operating Agreement</w:t>
      </w:r>
      <w:r>
        <w:rPr>
          <w:rFonts w:ascii="Times New Roman" w:cs="Times New Roman" w:eastAsia="Times New Roman" w:hAnsi="Times New Roman"/>
          <w:sz w:val="17"/>
          <w:szCs w:val="17"/>
          <w:color w:val="auto"/>
        </w:rPr>
        <w:t>” means the Operating Agreement of LMDC dated as of May 10, 2005, as amended from time to time.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Ltd Exchanging Subsidiary</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Ltd Exchanging Subsidiary Payment</w:t>
      </w:r>
      <w:r>
        <w:rPr>
          <w:rFonts w:ascii="Times New Roman" w:cs="Times New Roman" w:eastAsia="Times New Roman" w:hAnsi="Times New Roman"/>
          <w:sz w:val="17"/>
          <w:szCs w:val="17"/>
          <w:color w:val="auto"/>
        </w:rPr>
        <w:t>” is defined in Section 5.01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Ltd Sub A</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Ltd Sub B</w:t>
      </w:r>
      <w:r>
        <w:rPr>
          <w:rFonts w:ascii="Times New Roman" w:cs="Times New Roman" w:eastAsia="Times New Roman" w:hAnsi="Times New Roman"/>
          <w:sz w:val="17"/>
          <w:szCs w:val="17"/>
          <w:color w:val="auto"/>
        </w:rPr>
        <w:t>” are defined in Schedule A to this Agreement.</w:t>
      </w:r>
    </w:p>
    <w:p>
      <w:pPr>
        <w:spacing w:after="0" w:line="207"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LIBOR</w:t>
      </w:r>
      <w:r>
        <w:rPr>
          <w:rFonts w:ascii="Times New Roman" w:cs="Times New Roman" w:eastAsia="Times New Roman" w:hAnsi="Times New Roman"/>
          <w:sz w:val="17"/>
          <w:szCs w:val="17"/>
          <w:color w:val="auto"/>
        </w:rPr>
        <w:t>” means, for each month (or portion thereof) during any period, an interest rate per annum equal to the rate per annum reported, on the date two days prior to the first day of such month, on the Telerate Page 3750 (or if such screen shall cease to be publicly available, as reported on Reuters Screen page “LIBO” or by any other publicly available source of such market rate) for London interbank offered rates for U.S. dollar deposits for such month (or portion thereof).</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Ordinary Course Trust Expenses</w:t>
      </w:r>
      <w:r>
        <w:rPr>
          <w:rFonts w:ascii="Times New Roman" w:cs="Times New Roman" w:eastAsia="Times New Roman" w:hAnsi="Times New Roman"/>
          <w:sz w:val="17"/>
          <w:szCs w:val="17"/>
          <w:color w:val="auto"/>
        </w:rPr>
        <w:t>” has the meaning ascribed to such term in the Trust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Original Agreement</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Payment Percentage</w:t>
      </w:r>
      <w:r>
        <w:rPr>
          <w:rFonts w:ascii="Times New Roman" w:cs="Times New Roman" w:eastAsia="Times New Roman" w:hAnsi="Times New Roman"/>
          <w:sz w:val="17"/>
          <w:szCs w:val="17"/>
          <w:color w:val="auto"/>
        </w:rPr>
        <w:t>” means the percentage set forth on Schedule F to this Agreement, as updated from time to time in accordance with Section 3.04.</w:t>
      </w:r>
    </w:p>
    <w:p>
      <w:pPr>
        <w:spacing w:after="0" w:line="207" w:lineRule="exact"/>
        <w:rPr>
          <w:sz w:val="20"/>
          <w:szCs w:val="20"/>
          <w:color w:val="auto"/>
        </w:rPr>
      </w:pPr>
    </w:p>
    <w:p>
      <w:pPr>
        <w:ind w:right="280" w:firstLine="457"/>
        <w:spacing w:after="0" w:line="30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and includes any individual, firm, corporation, partnership (including, without limitation, any limited, general or limited liability partnership), company, limited liability company, trust, joint venture, association, joint stock company, unincorporated organization or similar entity or Governmental Entity.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380"/>
          </w:cols>
          <w:pgMar w:left="240" w:top="261" w:right="279"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Potential Reduction</w:t>
      </w:r>
      <w:r>
        <w:rPr>
          <w:rFonts w:ascii="Times New Roman" w:cs="Times New Roman" w:eastAsia="Times New Roman" w:hAnsi="Times New Roman"/>
          <w:sz w:val="17"/>
          <w:szCs w:val="17"/>
          <w:color w:val="auto"/>
        </w:rPr>
        <w:t>” is defined in Section 3.03(a) of this Agreement.</w:t>
      </w:r>
    </w:p>
    <w:p>
      <w:pPr>
        <w:spacing w:after="0" w:line="207" w:lineRule="exact"/>
        <w:rPr>
          <w:sz w:val="20"/>
          <w:szCs w:val="20"/>
          <w:color w:val="auto"/>
        </w:rPr>
      </w:pPr>
    </w:p>
    <w:p>
      <w:pPr>
        <w:jc w:val="both"/>
        <w:ind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Rata Escrow Amount</w:t>
      </w:r>
      <w:r>
        <w:rPr>
          <w:rFonts w:ascii="Times New Roman" w:cs="Times New Roman" w:eastAsia="Times New Roman" w:hAnsi="Times New Roman"/>
          <w:sz w:val="17"/>
          <w:szCs w:val="17"/>
          <w:color w:val="auto"/>
        </w:rPr>
        <w:t>” means, at any time of determination and with respect to any Schedule D Person, the amount that would be distributed to such Schedule D Person assuming the aggregate amount then in the Escrow Account were distributed to the Schedule D Persons pro rata in accordance with their respective percentages set forth on Schedule D.</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is defined in Section 7.08 of this Agreement.</w:t>
      </w:r>
    </w:p>
    <w:p>
      <w:pPr>
        <w:spacing w:after="0" w:line="207" w:lineRule="exact"/>
        <w:rPr>
          <w:sz w:val="20"/>
          <w:szCs w:val="20"/>
          <w:color w:val="auto"/>
        </w:rPr>
      </w:pPr>
    </w:p>
    <w:p>
      <w:pPr>
        <w:ind w:right="140" w:firstLine="4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Purchased Percentage</w:t>
      </w:r>
      <w:r>
        <w:rPr>
          <w:rFonts w:ascii="Times New Roman" w:cs="Times New Roman" w:eastAsia="Times New Roman" w:hAnsi="Times New Roman"/>
          <w:sz w:val="17"/>
          <w:szCs w:val="17"/>
          <w:color w:val="auto"/>
        </w:rPr>
        <w:t>” means, with respect to any Lazard Purchase, the fraction, expressed as a percentage, the numerator of which is the aggregate percentage, determined immediately prior to such Lazard Purchase, of all Trust Interests sold, transferred or otherwise disposed in such Lazard Purchase and the denominator of which is 100%.</w:t>
      </w:r>
    </w:p>
    <w:p>
      <w:pPr>
        <w:spacing w:after="0" w:line="170" w:lineRule="exact"/>
        <w:rPr>
          <w:sz w:val="20"/>
          <w:szCs w:val="20"/>
          <w:color w:val="auto"/>
        </w:rPr>
      </w:pPr>
    </w:p>
    <w:p>
      <w:pPr>
        <w:ind w:right="100" w:firstLine="457"/>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means, for a Covered Taxable Year, the excess, if any, of the Hypothetical Tax Liability over the actual liability for Covered Taxes of the Relevant Lazard Ltd Taxpayers for such Covered Taxable Year, less the fees, charges and expenses of the Advisory Firm and the expert described in Section 7.09 related to this Agreement paid by the Relevant Lazard Ltd Taxpayers in the relevant Covered Taxable Year. For the avoidance of doubt, the “Realized Tax Benefit” shall take into account the difference, if any, in the ability of Ltd Sub B to use foreign tax credits to offset its U.S. Federal income tax liability in calculating its Hypothetical Tax Liability and its actual liability for Covered Taxes in the Covered Taxable Year. If all or a portion of the actual tax liability for Covered Taxes for the Covered Taxable Year arises as a result of an audit by a Taxing Authority of any Covered Taxable Year, such liability shall not be included in determining the Realized Tax Benefit or the Realized Tax Detriment unless and until there has been a Determination.</w:t>
      </w:r>
    </w:p>
    <w:p>
      <w:pPr>
        <w:spacing w:after="0" w:line="180" w:lineRule="exact"/>
        <w:rPr>
          <w:sz w:val="20"/>
          <w:szCs w:val="20"/>
          <w:color w:val="auto"/>
        </w:rPr>
      </w:pPr>
    </w:p>
    <w:p>
      <w:pPr>
        <w:ind w:right="240" w:firstLine="457"/>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means, for a Covered Taxable Year, the excess, if any, of the actual liability for Covered Taxes of the Relevant Lazard Ltd Taxpayers over the Hypothetical Tax Liability for such Covered Taxable Year, plus the fees, charges and expenses of the Advisory Firm and the expert described in Section 7.09 related to this Agreement paid by the Relevant Lazard Ltd Taxpayers in the relevant Covered Taxable Year. For the avoidance of doubt, the “Realized Tax Detriment” shall take into account the difference, if any, in the ability of Ltd Sub B to use foreign tax credits to offset its U.S. Federal income tax liability in calculating its Hypothetical Tax Liability and its actual liability for Covered Taxes in the Covered Taxable Year. If all or a portion of the actual tax liability for Covered Taxes for the Covered Taxable Year arises as a result of an audit by a Taxing Authority of any Covered Taxable Year, such liability shall not be included in determining the Realized Tax Benefit or Realized Tax Detriment unless and until there has been a Determination.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Reconciliation Procedures</w:t>
      </w:r>
      <w:r>
        <w:rPr>
          <w:rFonts w:ascii="Times New Roman" w:cs="Times New Roman" w:eastAsia="Times New Roman" w:hAnsi="Times New Roman"/>
          <w:sz w:val="17"/>
          <w:szCs w:val="17"/>
          <w:color w:val="auto"/>
        </w:rPr>
        <w:t>” shall mean those procedures set forth in Section 7.09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Basis Schedule</w:t>
      </w:r>
      <w:r>
        <w:rPr>
          <w:rFonts w:ascii="Times New Roman" w:cs="Times New Roman" w:eastAsia="Times New Roman" w:hAnsi="Times New Roman"/>
          <w:sz w:val="17"/>
          <w:szCs w:val="17"/>
          <w:color w:val="auto"/>
        </w:rPr>
        <w:t>” is defined in Section 2.02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Date</w:t>
      </w:r>
      <w:r>
        <w:rPr>
          <w:rFonts w:ascii="Times New Roman" w:cs="Times New Roman" w:eastAsia="Times New Roman" w:hAnsi="Times New Roman"/>
          <w:sz w:val="17"/>
          <w:szCs w:val="17"/>
          <w:color w:val="auto"/>
        </w:rPr>
        <w:t>” means the date on which the Redemption is effected.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420"/>
          </w:cols>
          <w:pgMar w:left="240" w:top="261" w:right="239" w:bottom="1440" w:gutter="0" w:footer="0" w:header="0"/>
        </w:sectPr>
      </w:pPr>
    </w:p>
    <w:bookmarkStart w:id="136" w:name="page137"/>
    <w:bookmarkEnd w:id="136"/>
    <w:p>
      <w:pPr>
        <w:ind w:right="280" w:firstLine="457"/>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Relevant Lazard Ltd Taxpayer</w:t>
      </w:r>
      <w:r>
        <w:rPr>
          <w:rFonts w:ascii="Times New Roman" w:cs="Times New Roman" w:eastAsia="Times New Roman" w:hAnsi="Times New Roman"/>
          <w:sz w:val="17"/>
          <w:szCs w:val="17"/>
          <w:color w:val="auto"/>
        </w:rPr>
        <w:t>” means (i) Ltd Sub A (or its successors and assigns) or (ii) Ltd Sub B (or its successors and assigns) and (iii) any consolidated, combined or unitary group containing either Ltd Sub A or Ltd Sub B, as the case may be, or any of their respective successors and/or assigns.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w:t>
      </w:r>
      <w:r>
        <w:rPr>
          <w:rFonts w:ascii="Times New Roman" w:cs="Times New Roman" w:eastAsia="Times New Roman" w:hAnsi="Times New Roman"/>
          <w:sz w:val="17"/>
          <w:szCs w:val="17"/>
          <w:color w:val="auto"/>
        </w:rPr>
        <w:t>” is defined in Section 2.01 of the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 D Person</w:t>
      </w:r>
      <w:r>
        <w:rPr>
          <w:rFonts w:ascii="Times New Roman" w:cs="Times New Roman" w:eastAsia="Times New Roman" w:hAnsi="Times New Roman"/>
          <w:sz w:val="17"/>
          <w:szCs w:val="17"/>
          <w:color w:val="auto"/>
        </w:rPr>
        <w:t>” means any Person listed on Schedule D, as amended from time to time.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Termination Date</w:t>
      </w:r>
      <w:r>
        <w:rPr>
          <w:rFonts w:ascii="Times New Roman" w:cs="Times New Roman" w:eastAsia="Times New Roman" w:hAnsi="Times New Roman"/>
          <w:sz w:val="17"/>
          <w:szCs w:val="17"/>
          <w:color w:val="auto"/>
        </w:rPr>
        <w:t>” shall mean the date on which this Agreement would terminate in the absence of an Early Termination Notice.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Obligations</w:t>
      </w:r>
      <w:r>
        <w:rPr>
          <w:rFonts w:ascii="Times New Roman" w:cs="Times New Roman" w:eastAsia="Times New Roman" w:hAnsi="Times New Roman"/>
          <w:sz w:val="17"/>
          <w:szCs w:val="17"/>
          <w:color w:val="auto"/>
        </w:rPr>
        <w:t>” is defined in Section 5.01 of this Agreement.</w:t>
      </w:r>
    </w:p>
    <w:p>
      <w:pPr>
        <w:spacing w:after="0" w:line="207" w:lineRule="exact"/>
        <w:rPr>
          <w:sz w:val="20"/>
          <w:szCs w:val="20"/>
          <w:color w:val="auto"/>
        </w:rPr>
      </w:pPr>
    </w:p>
    <w:p>
      <w:pPr>
        <w:ind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entity in which Lazard, directly or indirectly, possesses fifty percent (50%) or more of the total combined voting power of all classes of its stock, other than Lazard Group, Lazard Group Finance, LLC and their respective subsidiaries.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Benefit Payment</w:t>
      </w:r>
      <w:r>
        <w:rPr>
          <w:rFonts w:ascii="Times New Roman" w:cs="Times New Roman" w:eastAsia="Times New Roman" w:hAnsi="Times New Roman"/>
          <w:sz w:val="17"/>
          <w:szCs w:val="17"/>
          <w:color w:val="auto"/>
        </w:rPr>
        <w:t>” is defined in Section 3.01(b)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is defined in Section 2.05(a) of this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Taxable Exchange</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right="60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Taxable Year</w:t>
      </w:r>
      <w:r>
        <w:rPr>
          <w:rFonts w:ascii="Times New Roman" w:cs="Times New Roman" w:eastAsia="Times New Roman" w:hAnsi="Times New Roman"/>
          <w:sz w:val="17"/>
          <w:szCs w:val="17"/>
          <w:color w:val="auto"/>
        </w:rPr>
        <w:t>” means a taxable year as defined in Section 441(b) of the Code or comparable section of U.S. state or local income or franchise Tax law, as applicable, (and, therefore, for the avoidance of doubt, may include a period of less than 12 months for which a Tax Return is made).</w:t>
      </w:r>
    </w:p>
    <w:p>
      <w:pPr>
        <w:spacing w:after="0" w:line="158" w:lineRule="exact"/>
        <w:rPr>
          <w:sz w:val="20"/>
          <w:szCs w:val="20"/>
          <w:color w:val="auto"/>
        </w:rPr>
      </w:pPr>
    </w:p>
    <w:p>
      <w:pPr>
        <w:ind w:right="80" w:firstLine="457"/>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(i) all forms of taxation or duties imposed, or required to be collected or withheld, including, without limitation, charges, together with any related interest, penalties or other additional amounts, (ii) liability for the payment of any amount of the type described in the preceding clause (i) as a result of being a member of an affiliated, consolidated, combined or unitary group, and (iii) liability for the payment of any amounts as a result of being party to any tax sharing agreement (other than this Agreement) or as a result of any express or implied obligation to indemnify any other person with respect to the payment of any amount described in the immediately preceding clauses (i) or (ii) (other than an obligation to indemnify under this Agreement).</w:t>
      </w:r>
    </w:p>
    <w:p>
      <w:pPr>
        <w:spacing w:after="0" w:line="178" w:lineRule="exact"/>
        <w:rPr>
          <w:sz w:val="20"/>
          <w:szCs w:val="20"/>
          <w:color w:val="auto"/>
        </w:rPr>
      </w:pPr>
    </w:p>
    <w:p>
      <w:pPr>
        <w:ind w:right="8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filing, report, questionnaire, information statement or other document required to be filed, including, without limitation, amended returns that may be filed, for any taxable period with any Taxing Authority (whether or not a payment is required to be made with respect to such filing).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Taxing Authority</w:t>
      </w:r>
      <w:r>
        <w:rPr>
          <w:rFonts w:ascii="Times New Roman" w:cs="Times New Roman" w:eastAsia="Times New Roman" w:hAnsi="Times New Roman"/>
          <w:sz w:val="17"/>
          <w:szCs w:val="17"/>
          <w:color w:val="auto"/>
        </w:rPr>
        <w:t>” means the IRS and any other state, local, foreign or other Governmental Entity responsible for the administration of Taxes.</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400"/>
          </w:cols>
          <w:pgMar w:left="240" w:top="262" w:right="259" w:bottom="1440" w:gutter="0" w:footer="0" w:header="0"/>
        </w:sectPr>
      </w:pPr>
    </w:p>
    <w:bookmarkStart w:id="137" w:name="page138"/>
    <w:bookmarkEnd w:id="137"/>
    <w:p>
      <w:pPr>
        <w:ind w:right="520" w:firstLine="457"/>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final, temporary and proposed regulations under the Code promulgated from time to time (including, without limitation, corresponding provisions of succeeding provisions) as in effect for the relevant taxable period.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 Agreement</w:t>
      </w:r>
      <w:r>
        <w:rPr>
          <w:rFonts w:ascii="Times New Roman" w:cs="Times New Roman" w:eastAsia="Times New Roman" w:hAnsi="Times New Roman"/>
          <w:sz w:val="17"/>
          <w:szCs w:val="17"/>
          <w:color w:val="auto"/>
        </w:rPr>
        <w:t>” means the Trust Agreement of LTBP Trust dated as of June 16, 2015, as amended from time to time.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 Interest Distribution</w:t>
      </w:r>
      <w:r>
        <w:rPr>
          <w:rFonts w:ascii="Times New Roman" w:cs="Times New Roman" w:eastAsia="Times New Roman" w:hAnsi="Times New Roman"/>
          <w:sz w:val="17"/>
          <w:szCs w:val="17"/>
          <w:color w:val="auto"/>
        </w:rPr>
        <w:t>” is defined in the recitals.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Interests</w:t>
      </w:r>
      <w:r>
        <w:rPr>
          <w:rFonts w:ascii="Times New Roman" w:cs="Times New Roman" w:eastAsia="Times New Roman" w:hAnsi="Times New Roman"/>
          <w:sz w:val="16"/>
          <w:szCs w:val="16"/>
          <w:color w:val="auto"/>
        </w:rPr>
        <w:t>” is defined in the recitals. Each Trust Interest shall be expressed as a percentage, and all Trust Interests outstanding at any time shall aggregate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means the trustee or trustees, as applicable, of the Trust.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Valuation Assumptions</w:t>
      </w:r>
      <w:r>
        <w:rPr>
          <w:rFonts w:ascii="Times New Roman" w:cs="Times New Roman" w:eastAsia="Times New Roman" w:hAnsi="Times New Roman"/>
          <w:sz w:val="17"/>
          <w:szCs w:val="17"/>
          <w:color w:val="auto"/>
        </w:rPr>
        <w:t>” shall mean, as of any Valuation Date, the assumptions described in Schedule B to this Agreement.</w:t>
      </w:r>
    </w:p>
    <w:p>
      <w:pPr>
        <w:spacing w:after="0" w:line="207" w:lineRule="exact"/>
        <w:rPr>
          <w:sz w:val="20"/>
          <w:szCs w:val="20"/>
          <w:color w:val="auto"/>
        </w:rPr>
      </w:pPr>
    </w:p>
    <w:p>
      <w:pPr>
        <w:ind w:right="240" w:firstLine="45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Valuation Date</w:t>
      </w:r>
      <w:r>
        <w:rPr>
          <w:rFonts w:ascii="Times New Roman" w:cs="Times New Roman" w:eastAsia="Times New Roman" w:hAnsi="Times New Roman"/>
          <w:sz w:val="17"/>
          <w:szCs w:val="17"/>
          <w:color w:val="auto"/>
        </w:rPr>
        <w:t>” means the date of an Early Termination Notice for purposes of determining an Early Termination Payment or Change of Control Termination Payment.</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Determination of Realized Tax Benefit or Realized Tax Detriment</w:t>
      </w:r>
    </w:p>
    <w:p>
      <w:pPr>
        <w:spacing w:after="0" w:line="211"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Redemption Date Basis Adjustment</w:t>
      </w:r>
      <w:r>
        <w:rPr>
          <w:rFonts w:ascii="Times New Roman" w:cs="Times New Roman" w:eastAsia="Times New Roman" w:hAnsi="Times New Roman"/>
          <w:sz w:val="17"/>
          <w:szCs w:val="17"/>
          <w:color w:val="auto"/>
        </w:rPr>
        <w:t>. Pursuant to the Buyout Agreement, Lazard Group and the Historical Partners agreed to treat the consideration paid to the Historical Partners in the Redemption (i) as a sale or exchange pursuant to Section 707(a)(2)(B) of the Code (the “</w:t>
      </w:r>
      <w:r>
        <w:rPr>
          <w:rFonts w:ascii="Times New Roman" w:cs="Times New Roman" w:eastAsia="Times New Roman" w:hAnsi="Times New Roman"/>
          <w:sz w:val="17"/>
          <w:szCs w:val="17"/>
          <w:u w:val="single" w:color="auto"/>
          <w:color w:val="auto"/>
        </w:rPr>
        <w:t>Sale</w:t>
      </w:r>
      <w:r>
        <w:rPr>
          <w:rFonts w:ascii="Times New Roman" w:cs="Times New Roman" w:eastAsia="Times New Roman" w:hAnsi="Times New Roman"/>
          <w:sz w:val="17"/>
          <w:szCs w:val="17"/>
          <w:color w:val="auto"/>
        </w:rPr>
        <w:t>”) to the extent such consideration originated from IPO Proceeds and (ii) as a distribution pursuant to Section 736(b)(1) and Section 731(b) of the Code (the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to the extent the total Redemption consideration exceeded the IPO Proceeds. The Historical Partners of Lazard Group redeemed for cash in the Redemption recognized gain on the Redemption Date under Sections 741 and 731 of the Code, each Ltd Exchanging Subsidiary’s share of the basis in the Original Assets was increased by the excess of the Sale proceeds over the Ltd Exchanging Subsidiary’s proportionate share of the basis of the Original Assets on the Redemption Date and the basis in the Original Assets was increased by the amount of gain recognized by the Historical Partners of Lazard Group with respect to the Distribution. Such gain and Basis Adjustment shall be treated as occurring entirely on the Redemption Date unless there is a Determination to the contrary. For purposes of this Agreement, (i) the fair market value of the right to receive payments under this Agreement shall not be taken into account in determining the amount of Sale proceeds or the amount of gain recognized by the Historical Partners on the Redemption Date and (ii) any payments made under this Agreement with respect to the Redemption shall not be treated as resulting in a Basis Adjustment.</w:t>
      </w:r>
    </w:p>
    <w:p>
      <w:pPr>
        <w:spacing w:after="0" w:line="185" w:lineRule="exact"/>
        <w:rPr>
          <w:sz w:val="20"/>
          <w:szCs w:val="20"/>
          <w:color w:val="auto"/>
        </w:rPr>
      </w:pPr>
    </w:p>
    <w:p>
      <w:pPr>
        <w:ind w:right="140" w:firstLine="457"/>
        <w:spacing w:after="0" w:line="273" w:lineRule="auto"/>
        <w:rPr>
          <w:sz w:val="20"/>
          <w:szCs w:val="20"/>
          <w:color w:val="auto"/>
        </w:rPr>
      </w:pPr>
      <w:r>
        <w:rPr>
          <w:rFonts w:ascii="Times New Roman" w:cs="Times New Roman" w:eastAsia="Times New Roman" w:hAnsi="Times New Roman"/>
          <w:sz w:val="16"/>
          <w:szCs w:val="16"/>
          <w:color w:val="auto"/>
        </w:rPr>
        <w:t xml:space="preserve">SECTION 2.02. (a) </w:t>
      </w:r>
      <w:r>
        <w:rPr>
          <w:rFonts w:ascii="Times New Roman" w:cs="Times New Roman" w:eastAsia="Times New Roman" w:hAnsi="Times New Roman"/>
          <w:sz w:val="16"/>
          <w:szCs w:val="16"/>
          <w:u w:val="single" w:color="auto"/>
          <w:color w:val="auto"/>
        </w:rPr>
        <w:t>Redemption Basis Schedule</w:t>
      </w:r>
      <w:r>
        <w:rPr>
          <w:rFonts w:ascii="Times New Roman" w:cs="Times New Roman" w:eastAsia="Times New Roman" w:hAnsi="Times New Roman"/>
          <w:sz w:val="16"/>
          <w:szCs w:val="16"/>
          <w:color w:val="auto"/>
        </w:rPr>
        <w:t>. The Ltd Exchanging Subsidiaries delivered to LMDC a schedule (the “</w:t>
      </w:r>
      <w:r>
        <w:rPr>
          <w:rFonts w:ascii="Times New Roman" w:cs="Times New Roman" w:eastAsia="Times New Roman" w:hAnsi="Times New Roman"/>
          <w:sz w:val="16"/>
          <w:szCs w:val="16"/>
          <w:u w:val="single" w:color="auto"/>
          <w:color w:val="auto"/>
        </w:rPr>
        <w:t>Redemption Basis Schedule</w:t>
      </w:r>
      <w:r>
        <w:rPr>
          <w:rFonts w:ascii="Times New Roman" w:cs="Times New Roman" w:eastAsia="Times New Roman" w:hAnsi="Times New Roman"/>
          <w:sz w:val="16"/>
          <w:szCs w:val="16"/>
          <w:color w:val="auto"/>
        </w:rPr>
        <w:t>”) approved by the Audit Committee that showed, in reasonable detail, for purposes of Covered Taxes, (i) the actual tax basis as of the Redemption Date of the Original Assets,</w:t>
      </w:r>
    </w:p>
    <w:p>
      <w:pPr>
        <w:ind w:right="320" w:firstLine="1"/>
        <w:spacing w:after="0" w:line="254" w:lineRule="auto"/>
        <w:tabs>
          <w:tab w:leader="none" w:pos="24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Basis Adjustment with respect to the Original Assets as a result of the Sale and the Distribution and (iii) the period or periods, if any, over which the Original Assets are amortizable or depreciable for purposes of Covered Taxes. The Redemption Basis Schedule has become final and binding on the parties.</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360"/>
          </w:cols>
          <w:pgMar w:left="240" w:top="262" w:right="299" w:bottom="1440" w:gutter="0" w:footer="0" w:header="0"/>
        </w:sectPr>
      </w:pPr>
    </w:p>
    <w:bookmarkStart w:id="138" w:name="page139"/>
    <w:bookmarkEnd w:id="138"/>
    <w:p>
      <w:pPr>
        <w:ind w:firstLine="458"/>
        <w:spacing w:after="0" w:line="267" w:lineRule="auto"/>
        <w:tabs>
          <w:tab w:leader="none" w:pos="69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Amended Redemption Basis Schedule</w:t>
      </w:r>
      <w:r>
        <w:rPr>
          <w:rFonts w:ascii="Times New Roman" w:cs="Times New Roman" w:eastAsia="Times New Roman" w:hAnsi="Times New Roman"/>
          <w:sz w:val="16"/>
          <w:szCs w:val="16"/>
          <w:color w:val="auto"/>
        </w:rPr>
        <w:t>. The Redemption Basis Schedule may be amended from time to time by the Ltd Exchanging Subsidiaries with the consent of the Audit Committee (i) in connection with a Determination or (ii) to correct inaccuracies to the original Redemption Basis Schedule identified after the Redemption Date as a result of the receipt of additional information relating to facts or circumstances on or prior to the Redemption Date. At the time the Ltd Exchanging Subsidiaries deliver such amended Redemption Basis Schedule to the Trust, they shall (x) deliver to the Trust schedules and work papers providing reasonable detail regarding the preparation of the amended Redemption Basis Schedule and an Advisory Firm Letter supporting such amended Redemption Basis Schedule and (y) allow the Trust reasonable access to the appropriate representatives at Lazard and its Subsidiaries, Lazard Group and the Advisory Firm in connection with its review of such schedule. The amended Redemption Basis Schedule shall become final and binding on the parties unless the Trust, within 60 calendar days after receiving such amended Redemption Basis Schedule, provides the Ltd Exchanging Subsidiaries with notice of a material objection to such amended Redemption Basis Schedule made in good faith. If the parties, negotiating in good faith, are unable to successfully resolve the issues raised in such notice within 120 calendar days after such amended Redemption Basis Schedule was delivered to the Trust, the Ltd Exchanging Subsidiaries and the Trust shall employ the Reconciliation Procedures.</w:t>
      </w:r>
    </w:p>
    <w:p>
      <w:pPr>
        <w:spacing w:after="0" w:line="168"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Basis Adjustment Attributable to a Taxable Exchange</w:t>
      </w:r>
      <w:r>
        <w:rPr>
          <w:rFonts w:ascii="Times New Roman" w:cs="Times New Roman" w:eastAsia="Times New Roman" w:hAnsi="Times New Roman"/>
          <w:sz w:val="17"/>
          <w:szCs w:val="17"/>
          <w:color w:val="auto"/>
        </w:rPr>
        <w:t>. Pursuant to a Taxable Exchange, (i) to the extent an Exchangeable Holder effected a Taxable Exchange and held its Lazard Group interests through LAZ-MD, LAZ-MD distributed to such Exchangeable Holder all or a portion of LAZ-MD’s Lazard Group interests attributable to such Exchangeable Holder in redemption of all or a portion of the exchangeable interests of such Exchangeable Holder in LAZ-MD and (ii) the Exchangeable Holder transferred its interests in Lazard Group to the Ltd Exchanging Subsidiaries in exchange for shares of Lazard. The number of Lazard shares transferred by each Ltd Exchanging Subsidiary to an Exchangeable Holder pursuant to a Taxable Exchange was determined in proportion to each such subsidiary’s respective interests in Lazard Group on the applicable Exchange Date. An Exchangeable Holder that effected a Taxable Exchange recognized gain, if any, for U.S. Federal income tax purposes on the Exchange Date under Section 741 of the Code in an amount equal to the excess of (i) the fair market value of the Lazard shares received in the Taxable Exchange over (ii) the Exchangeable Holder’s basis in its Lazard Group interests transferred to the Ltd Exchanging Subsidiaries pursuant to the Taxable Exchange. For purposes of this Agreement, the fair market value of the Lazard shares received in the Taxable Exchange was the trading value of such shares at the close of business on the Exchange Date. With respect to each Taxable Exchange, each Ltd Exchanging Subsidiary’s share of the basis in the Exchange Assets was increased by the excess, if any, of (i) the fair market value of the Lazard shares transferred to the Exchangeable Holder pursuant to the Taxable Exchange over (ii) the Ltd Exchanging Subsidiary’s proportionate share of the basis of the Exchange Assets immediately after the Taxable Exchange attributable to the Lazard Group interests exchanged. The Ltd Exchanging Subsidiaries and the Exchangeable Holders, pursuant to the LMDC Operating Agreement, shall treat such gain and Basis Adjustment as occurring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400"/>
          </w:cols>
          <w:pgMar w:left="240" w:top="262" w:right="259" w:bottom="1440" w:gutter="0" w:footer="0" w:header="0"/>
        </w:sectPr>
      </w:pPr>
    </w:p>
    <w:bookmarkStart w:id="139" w:name="page140"/>
    <w:bookmarkEnd w:id="139"/>
    <w:p>
      <w:pPr>
        <w:ind w:right="4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entirely on the Exchange Date unless there is a Determination to the contrary. The Ltd Exchanging Subsidiaries and the Exchangeable Holders, pursuant to the LMDC Operating Agreement, agreed that, for U.S. Federal income tax purposes, this Agreement is treated as additional consideration paid to the Exchangeable Holders in the Exchange (and immediately assigned by the Exchangeable Holders to LMDC). By assigning this Agreement to LMDC, the Exchangeable Holders relinquished all rights, title and interest under this Agreement. Notwithstanding any other provision of this Agreement, (i) the fair market value of the right to receive payments under this Agreement shall not be taken into account in determining the Basis Adjustment resulting on any Exchange Date and (ii) the payments of principal under this Agreement related to any Taxable Exchange shall not be treated as resulting in a Basis Adjustment until such payments are made.</w:t>
      </w:r>
    </w:p>
    <w:p>
      <w:pPr>
        <w:spacing w:after="0" w:line="178" w:lineRule="exact"/>
        <w:rPr>
          <w:sz w:val="20"/>
          <w:szCs w:val="20"/>
          <w:color w:val="auto"/>
        </w:rPr>
      </w:pPr>
    </w:p>
    <w:p>
      <w:pPr>
        <w:ind w:right="60" w:firstLine="457"/>
        <w:spacing w:after="0" w:line="253" w:lineRule="auto"/>
        <w:rPr>
          <w:sz w:val="20"/>
          <w:szCs w:val="20"/>
          <w:color w:val="auto"/>
        </w:rPr>
      </w:pPr>
      <w:r>
        <w:rPr>
          <w:rFonts w:ascii="Times New Roman" w:cs="Times New Roman" w:eastAsia="Times New Roman" w:hAnsi="Times New Roman"/>
          <w:sz w:val="17"/>
          <w:szCs w:val="17"/>
          <w:color w:val="auto"/>
        </w:rPr>
        <w:t xml:space="preserve">SECTION 2.04. (a) </w:t>
      </w:r>
      <w:r>
        <w:rPr>
          <w:rFonts w:ascii="Times New Roman" w:cs="Times New Roman" w:eastAsia="Times New Roman" w:hAnsi="Times New Roman"/>
          <w:sz w:val="17"/>
          <w:szCs w:val="17"/>
          <w:u w:val="single" w:color="auto"/>
          <w:color w:val="auto"/>
        </w:rPr>
        <w:t>Exchange Basis Schedule</w:t>
      </w:r>
      <w:r>
        <w:rPr>
          <w:rFonts w:ascii="Times New Roman" w:cs="Times New Roman" w:eastAsia="Times New Roman" w:hAnsi="Times New Roman"/>
          <w:sz w:val="17"/>
          <w:szCs w:val="17"/>
          <w:color w:val="auto"/>
        </w:rPr>
        <w:t>. The Ltd Exchanging Subsidiaries delivered to LMDC a schedule (the “</w:t>
      </w:r>
      <w:r>
        <w:rPr>
          <w:rFonts w:ascii="Times New Roman" w:cs="Times New Roman" w:eastAsia="Times New Roman" w:hAnsi="Times New Roman"/>
          <w:sz w:val="17"/>
          <w:szCs w:val="17"/>
          <w:u w:val="single" w:color="auto"/>
          <w:color w:val="auto"/>
        </w:rPr>
        <w:t>Exchange Basis Schedule</w:t>
      </w:r>
      <w:r>
        <w:rPr>
          <w:rFonts w:ascii="Times New Roman" w:cs="Times New Roman" w:eastAsia="Times New Roman" w:hAnsi="Times New Roman"/>
          <w:sz w:val="17"/>
          <w:szCs w:val="17"/>
          <w:color w:val="auto"/>
        </w:rPr>
        <w:t>”) approved by the Audit Committee that showed, in reasonable detail, for purposes of Covered Taxes, (i) the actual tax basis as of the first applicable Exchange Date in such Covered Taxable Year of the Exchange Assets, (ii) the Basis Adjustment with respect to the Exchange Assets as a result of the Taxable Exchanges effected in such Covered Taxable Year, calculated in the aggregate, and (iii) the period or periods, if any, over which the Exchange Assets were amortizable or depreciable. The Exchange Basis Schedule has become final and binding on the parties.</w:t>
      </w:r>
    </w:p>
    <w:p>
      <w:pPr>
        <w:spacing w:after="0" w:line="77" w:lineRule="exact"/>
        <w:rPr>
          <w:sz w:val="20"/>
          <w:szCs w:val="20"/>
          <w:color w:val="auto"/>
        </w:rPr>
      </w:pPr>
    </w:p>
    <w:p>
      <w:pPr>
        <w:ind w:firstLine="458"/>
        <w:spacing w:after="0" w:line="250" w:lineRule="auto"/>
        <w:tabs>
          <w:tab w:leader="none" w:pos="69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Amended Exchange Basis Schedule</w:t>
      </w:r>
      <w:r>
        <w:rPr>
          <w:rFonts w:ascii="Times New Roman" w:cs="Times New Roman" w:eastAsia="Times New Roman" w:hAnsi="Times New Roman"/>
          <w:sz w:val="17"/>
          <w:szCs w:val="17"/>
          <w:color w:val="auto"/>
        </w:rPr>
        <w:t>. The Exchange Basis Schedule may be amended from time to time by the Ltd Exchanging Subsidiaries with the consent of the Audit Committee (i) in connection with a Determination or (ii) to correct inaccuracies to the original Exchange Basis Schedule identified after the date of the Taxable Exchange as a result of the receipt of additional information. At the time the Ltd Exchanging Subsidiaries deliver such amended Exchange Basis Schedule to the Trust, they shall (x) deliver to the Trust schedules and work papers providing reasonable detail regarding the preparation of the amended Exchange Basis Schedule and an Advisory Firm Letter supporting such amended Exchange Basis Schedule and (y) allow the Trust reasonable access to the appropriate representatives at Lazard and its Subsidiaries, Lazard Group and the Advisory Firm in connection with its review of such schedule. The amended Exchange Basis Schedule shall become final and binding on the parties unless the Trust, within 60 calendar days after receiving such amended Exchange Basis Schedule, provides the Ltd Exchanging Subsidiaries with notice of a material objection to such amended Exchange Basis Schedule made in good faith. If the parties, negotiating in good faith, are unable to successfully resolve the issues raised in such notice within 120 calendar days after such amended Exchange Basis Schedule was delivered to the Trust, the Ltd Exchanging Subsidiaries and the Trust shall employ the Reconciliation Procedures.</w:t>
      </w:r>
    </w:p>
    <w:p>
      <w:pPr>
        <w:spacing w:after="0" w:line="179"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7"/>
          <w:szCs w:val="17"/>
          <w:color w:val="auto"/>
        </w:rPr>
        <w:t xml:space="preserve">SECTION 2.05. (a) </w:t>
      </w: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Within 10 calendar days after filing the U.S. Federal Income Tax Return of the Relevant Lazard Ltd Taxpayers for the relevant Covered Taxable Year, each Ltd Exchanging Subsidiary shall provide to the Trust a schedule approved by the Audit Committee showing, in reasonable detail, the calculation of each Relevant Lazard Ltd Taxpayer’s Realized Tax Benefit or Realized Tax Detriment for such Covered Taxable Year (the “</w:t>
      </w: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At the time the Ltd Exchanging Subsidiaries deliver the Tax Benefit Schedules to the Trust, they shall (i) deliver to the Trust schedules and work papers providing reasonable detail regarding the preparation of the Tax Benefit Schedules (including, without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20"/>
          </w:cols>
          <w:pgMar w:left="240" w:top="261" w:right="239" w:bottom="1440" w:gutter="0" w:footer="0" w:header="0"/>
        </w:sectPr>
      </w:pPr>
    </w:p>
    <w:bookmarkStart w:id="140" w:name="page141"/>
    <w:bookmarkEnd w:id="140"/>
    <w:p>
      <w:pPr>
        <w:ind w:right="2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limitation, information related to the amount of Ltd Sub A’s “effectively connected income” with respect to the applicable Covered Taxable Year as determined for U.S. Federal income tax purposes) and an Advisory Firm Letter supporting such Tax Benefit Schedules and (ii) allow the Trust reasonable access to the appropriate representatives at Lazard and its Subsidiaries, Lazard Group and the Advisory Firm in connection with its review of such schedules. The Tax Benefit Schedules shall become final and binding on the parties unless the Trust, within 60 calendar days after receiving such Tax Benefit Schedules, provides the Ltd Exchanging Subsidiaries with notice of a material objection to such Tax Benefit Schedules made in good faith. If the parties, negotiating in good faith, are unable to successfully resolve the issues raised in such notice within 120 calendar days after such Tax Benefit Schedules were delivered to the Trust, the Ltd Exchanging Subsidiaries and the Trust shall employ the Reconciliation Procedures.</w:t>
      </w:r>
    </w:p>
    <w:p>
      <w:pPr>
        <w:spacing w:after="0" w:line="79" w:lineRule="exact"/>
        <w:rPr>
          <w:sz w:val="20"/>
          <w:szCs w:val="20"/>
          <w:color w:val="auto"/>
        </w:rPr>
      </w:pPr>
    </w:p>
    <w:p>
      <w:pPr>
        <w:ind w:firstLine="458"/>
        <w:spacing w:after="0" w:line="264" w:lineRule="auto"/>
        <w:tabs>
          <w:tab w:leader="none" w:pos="694"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Amended Tax Benefit Schedule</w:t>
      </w:r>
      <w:r>
        <w:rPr>
          <w:rFonts w:ascii="Times New Roman" w:cs="Times New Roman" w:eastAsia="Times New Roman" w:hAnsi="Times New Roman"/>
          <w:sz w:val="16"/>
          <w:szCs w:val="16"/>
          <w:color w:val="auto"/>
        </w:rPr>
        <w:t>. A Tax Benefit Schedule for any Covered Taxable Year may be amended from time to time by the applicable Ltd Exchanging Subsidiary with the consent of the Audit Committee (i) in connection with a Determination affecting such Tax Benefit Schedule, (ii) to correct inaccuracies in the original Tax Benefit Schedule identified as a result of the receipt of additional factual information relating to a Covered Taxable Year after the date the Tax Benefit Schedule was provided to the Trustee, (iii) to reflect a change in the Realized Tax Benefit or Realized Tax Detriment for such Covered Taxable Year attributable to a carryback or carryforward of a loss or other tax item to such Covered Taxable Year, (iv) to reflect a change in the Realized Tax Benefit or Realized Tax Detriment for such Covered Taxable Year attributable to an amended tax return filed for such Covered Taxable Year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a change attributable to an audit of a Tax Return by an applicable Taxing Authority shall not be taken into account on an Amended Tax Benefit Schedule unless and until there has been a Determination with respect to such change) or (v) to comply with the expert’s determination under the Reconciliation Procedures. At the time a Ltd Exchanging Subsidiary delivers such an amended Tax Benefit Schedule pursuant to this Section 2.05(b) (an “</w:t>
      </w:r>
      <w:r>
        <w:rPr>
          <w:rFonts w:ascii="Times New Roman" w:cs="Times New Roman" w:eastAsia="Times New Roman" w:hAnsi="Times New Roman"/>
          <w:sz w:val="16"/>
          <w:szCs w:val="16"/>
          <w:u w:val="single" w:color="auto"/>
          <w:color w:val="auto"/>
        </w:rPr>
        <w:t>Amended Tax Benefit Schedule</w:t>
      </w:r>
      <w:r>
        <w:rPr>
          <w:rFonts w:ascii="Times New Roman" w:cs="Times New Roman" w:eastAsia="Times New Roman" w:hAnsi="Times New Roman"/>
          <w:sz w:val="16"/>
          <w:szCs w:val="16"/>
          <w:color w:val="auto"/>
        </w:rPr>
        <w:t>”) to the Trust, it shall (x) deliver to the Trust schedules and work papers providing reasonable detail regarding the preparation of the Amended Tax Benefit Schedule and an Advisory Firm Letter supporting such Amended Tax Benefit Schedule and</w:t>
      </w:r>
    </w:p>
    <w:p>
      <w:pPr>
        <w:spacing w:after="0" w:line="5" w:lineRule="exact"/>
        <w:rPr>
          <w:rFonts w:ascii="Times New Roman" w:cs="Times New Roman" w:eastAsia="Times New Roman" w:hAnsi="Times New Roman"/>
          <w:sz w:val="16"/>
          <w:szCs w:val="16"/>
          <w:color w:val="auto"/>
        </w:rPr>
      </w:pPr>
    </w:p>
    <w:p>
      <w:pPr>
        <w:ind w:right="60" w:firstLine="1"/>
        <w:spacing w:after="0" w:line="249" w:lineRule="auto"/>
        <w:tabs>
          <w:tab w:leader="none" w:pos="23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Trust reasonable access to the appropriate representatives at Lazard and its Subsidiaries, Lazard Group and the Advisory Firm in connection with its review of such schedule. Such Amended Tax Benefit Schedule shall become final and binding on the parties unless the Trust, within 60 calendar days after receiving such Amended Tax Benefit Schedule, provides the applicable Ltd Exchanging Subsidiary with notice of a material objection to such Amended Tax Benefit Schedule made in good faith. If the parties, negotiating in good faith, are unable to successfully resolve the issues raised in such notice within 120 calendar days after such Amended Tax Benefit Schedule was delivered to the Trust, the Ltd Exchanging Subsidiary and the Trust shall employ the Reconciliation Procedures.</w:t>
      </w:r>
    </w:p>
    <w:p>
      <w:pPr>
        <w:spacing w:after="0" w:line="77" w:lineRule="exact"/>
        <w:rPr>
          <w:rFonts w:ascii="Times New Roman" w:cs="Times New Roman" w:eastAsia="Times New Roman" w:hAnsi="Times New Roman"/>
          <w:sz w:val="17"/>
          <w:szCs w:val="17"/>
          <w:color w:val="auto"/>
        </w:rPr>
      </w:pPr>
    </w:p>
    <w:p>
      <w:pPr>
        <w:ind w:right="160" w:firstLine="458"/>
        <w:spacing w:after="0" w:line="277" w:lineRule="auto"/>
        <w:tabs>
          <w:tab w:leader="none" w:pos="685"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Applicable Principles</w:t>
      </w:r>
      <w:r>
        <w:rPr>
          <w:rFonts w:ascii="Times New Roman" w:cs="Times New Roman" w:eastAsia="Times New Roman" w:hAnsi="Times New Roman"/>
          <w:sz w:val="16"/>
          <w:szCs w:val="16"/>
          <w:color w:val="auto"/>
        </w:rPr>
        <w:t>. The Realized Tax Benefit or Realized Tax Detriment for each Covered Taxable Year is intended to measure the decrease or increase in the actual Covered Tax liability of the Relevant Lazard Ltd Taxpayers for such Covered Taxable Year attributable to the Basis Adjustment and Imputed Interest, determined using a “with and without” methodology. Carryovers or carrybacks of any tax item attributable to the Basis Adjustment and Imputed Interest (determined using such “with and without” methodology) shall be considered to be subject to the rules of the Code (or any successor U.S. Federal income tax statute) and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400"/>
          </w:cols>
          <w:pgMar w:left="240" w:top="261" w:right="259" w:bottom="1440" w:gutter="0" w:footer="0" w:header="0"/>
        </w:sectPr>
      </w:pPr>
    </w:p>
    <w:bookmarkStart w:id="141" w:name="page142"/>
    <w:bookmarkEnd w:id="141"/>
    <w:p>
      <w:pPr>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and another portion that is not, such portions shall be considered to be used in the order determined using such “with and without” methodology. Schedule C to this Agreement provides illustrative examples of the applicable principles described in this Section 2.05(c) of this Agreement.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Tax Benefit Payments</w:t>
      </w:r>
    </w:p>
    <w:p>
      <w:pPr>
        <w:spacing w:after="0" w:line="211" w:lineRule="exact"/>
        <w:rPr>
          <w:sz w:val="20"/>
          <w:szCs w:val="20"/>
          <w:color w:val="auto"/>
        </w:rPr>
      </w:pPr>
    </w:p>
    <w:p>
      <w:pPr>
        <w:ind w:firstLine="457"/>
        <w:spacing w:after="0" w:line="267"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(a) Except as provided in Section 3.03, within 3 calendar days of the delivery of the Tax Benefit Schedule to the Trust for any Covered Taxable Year the Ltd Exchanging Subsidiaries shall pay (i) to the Trust an amount equal to 80% of the Tax Benefit Payment (as defined below) for such Covered Taxable Year and (ii) to The Bank of New York Mellon, or its successors or assigns, or any other Person mutually agreeable to the Ltd Exchanging Subsidiaries, the Audit Committee and the Trust (the “</w:t>
      </w:r>
      <w:r>
        <w:rPr>
          <w:rFonts w:ascii="Times New Roman" w:cs="Times New Roman" w:eastAsia="Times New Roman" w:hAnsi="Times New Roman"/>
          <w:sz w:val="16"/>
          <w:szCs w:val="16"/>
          <w:u w:val="single" w:color="auto"/>
          <w:color w:val="auto"/>
        </w:rPr>
        <w:t>Escrow Agent</w:t>
      </w:r>
      <w:r>
        <w:rPr>
          <w:rFonts w:ascii="Times New Roman" w:cs="Times New Roman" w:eastAsia="Times New Roman" w:hAnsi="Times New Roman"/>
          <w:sz w:val="16"/>
          <w:szCs w:val="16"/>
          <w:color w:val="auto"/>
        </w:rPr>
        <w:t>”), an amount equal to 20% of the Tax Benefit Payment (as defined below) for such Covered Taxable Year. The Escrow Agent shall hold each Tax Benefit Payment it receives in escrow pursuant to the Escrow Agreement until the expiration of the applicable statute of limitations attributable to the Covered Taxable Year to which such Tax Benefit Payment relates, and upon expiration of the applicable statute of limitations attributable to the Covered Taxable Year to which such Tax Benefit Payment relates, such Tax Benefit Payment remaining in escrow, and any interest accrued thereon, shall be distributed to the Trust, and the Ltd Exchanging Subsidiaries shall provide written instructions to the Escrow Agent in accordance with the Escrow Agreement that are necessary to cause the Escrow Agent to so distribute such Tax Benefit Payment, and any interest accrued thereon, to the Trust. Each Tax Benefit Payment shall be made by wire transfer of immediately available funds to the bank accounts of the Trust and the Escrow Agent previously designated by such parties to the Ltd Exchanging Subsidiaries. For the avoidance of doubt, no Tax Benefit Payment shall be made in respect of estimated tax payments, including, without limitation, estimated Federal Income Tax payments.</w:t>
      </w:r>
    </w:p>
    <w:p>
      <w:pPr>
        <w:spacing w:after="0" w:line="64" w:lineRule="exact"/>
        <w:rPr>
          <w:sz w:val="20"/>
          <w:szCs w:val="20"/>
          <w:color w:val="auto"/>
        </w:rPr>
      </w:pPr>
    </w:p>
    <w:p>
      <w:pPr>
        <w:ind w:right="80" w:firstLine="458"/>
        <w:spacing w:after="0" w:line="274" w:lineRule="auto"/>
        <w:tabs>
          <w:tab w:leader="none" w:pos="69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Tax Benefit Payment</w:t>
      </w:r>
      <w:r>
        <w:rPr>
          <w:rFonts w:ascii="Times New Roman" w:cs="Times New Roman" w:eastAsia="Times New Roman" w:hAnsi="Times New Roman"/>
          <w:sz w:val="17"/>
          <w:szCs w:val="17"/>
          <w:color w:val="auto"/>
        </w:rPr>
        <w:t>” shall equal, with respect to each Ltd Exchanging Subsidiary, the Payment Percentage of the applicable Ltd Exchanging Subsidiary’s Realized Tax Benefit, if any, for a Covered Taxable Year,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u w:val="single" w:color="auto"/>
          <w:color w:val="auto"/>
        </w:rPr>
        <w:t>increased</w:t>
      </w:r>
      <w:r>
        <w:rPr>
          <w:rFonts w:ascii="Times New Roman" w:cs="Times New Roman" w:eastAsia="Times New Roman" w:hAnsi="Times New Roman"/>
          <w:sz w:val="17"/>
          <w:szCs w:val="17"/>
          <w:color w:val="auto"/>
        </w:rPr>
        <w:t xml:space="preserve"> by:</w:t>
      </w:r>
    </w:p>
    <w:p>
      <w:pPr>
        <w:spacing w:after="0" w:line="107" w:lineRule="exact"/>
        <w:rPr>
          <w:sz w:val="20"/>
          <w:szCs w:val="20"/>
          <w:color w:val="auto"/>
        </w:rPr>
      </w:pPr>
    </w:p>
    <w:p>
      <w:pPr>
        <w:ind w:left="920" w:right="340" w:firstLine="415"/>
        <w:spacing w:after="0" w:line="274" w:lineRule="auto"/>
        <w:tabs>
          <w:tab w:leader="none" w:pos="157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calculated at the Agreed Rate from the due date (without extensions) for filing the Tax Return with respect to Covered Taxes for such Covered Taxable Year);</w:t>
      </w:r>
    </w:p>
    <w:p>
      <w:pPr>
        <w:spacing w:after="0" w:line="57" w:lineRule="exact"/>
        <w:rPr>
          <w:rFonts w:ascii="Times New Roman" w:cs="Times New Roman" w:eastAsia="Times New Roman" w:hAnsi="Times New Roman"/>
          <w:sz w:val="17"/>
          <w:szCs w:val="17"/>
          <w:color w:val="auto"/>
        </w:rPr>
      </w:pPr>
    </w:p>
    <w:p>
      <w:pPr>
        <w:ind w:left="920" w:right="400" w:firstLine="415"/>
        <w:spacing w:after="0" w:line="274" w:lineRule="auto"/>
        <w:tabs>
          <w:tab w:leader="none" w:pos="157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Realized Tax Benefit reflected on an Amended Tax Benefit Schedule for a previous Covered Taxable Year over the Realized Tax Benefit (or Realized Tax Detriment) reflected on the Tax Benefit Schedule for such previous Covered Taxable Year; and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00"/>
          </w:cols>
          <w:pgMar w:left="240" w:top="261" w:right="259" w:bottom="1440" w:gutter="0" w:footer="0" w:header="0"/>
        </w:sectPr>
      </w:pPr>
    </w:p>
    <w:bookmarkStart w:id="142" w:name="page143"/>
    <w:bookmarkEnd w:id="142"/>
    <w:p>
      <w:pPr>
        <w:ind w:left="920" w:firstLine="415"/>
        <w:spacing w:after="0" w:line="253" w:lineRule="auto"/>
        <w:tabs>
          <w:tab w:leader="none" w:pos="157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an amount, if any, equal to the excess of (i) the aggregate amount that the holders of Trust Interests would have been entitled to receive pursuant to Section 3.01(a) for a Covered Taxable Year assuming that no Lazard Purchases had been consummated over (ii) the aggregate amount that holders of the Trust Interests are entitled to receive pursuant to Section 3.01(a) for such Covered Taxable Year, in each case calculated without regard to this clause (3) and assuming that the holders of Trust Interests would be entitled to receive their pro rata portion of all amounts paid to the Escrow Agent pursuant to Section 3.01(a) for such Covered Taxable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decreased</w:t>
      </w:r>
      <w:r>
        <w:rPr>
          <w:rFonts w:ascii="Times New Roman" w:cs="Times New Roman" w:eastAsia="Times New Roman" w:hAnsi="Times New Roman"/>
          <w:sz w:val="17"/>
          <w:szCs w:val="17"/>
          <w:color w:val="auto"/>
        </w:rPr>
        <w:t xml:space="preserve"> by:</w:t>
      </w:r>
    </w:p>
    <w:p>
      <w:pPr>
        <w:spacing w:after="0" w:line="107" w:lineRule="exact"/>
        <w:rPr>
          <w:sz w:val="20"/>
          <w:szCs w:val="20"/>
          <w:color w:val="auto"/>
        </w:rPr>
      </w:pPr>
    </w:p>
    <w:p>
      <w:pPr>
        <w:ind w:left="1580" w:hanging="245"/>
        <w:spacing w:after="0"/>
        <w:tabs>
          <w:tab w:leader="none" w:pos="15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Ltd Exchanging Subsidiary’s Realized Tax Detriment (if any) for any previous Covered Taxable Year;</w:t>
      </w:r>
    </w:p>
    <w:p>
      <w:pPr>
        <w:spacing w:after="0" w:line="106" w:lineRule="exact"/>
        <w:rPr>
          <w:rFonts w:ascii="Times New Roman" w:cs="Times New Roman" w:eastAsia="Times New Roman" w:hAnsi="Times New Roman"/>
          <w:sz w:val="17"/>
          <w:szCs w:val="17"/>
          <w:color w:val="auto"/>
        </w:rPr>
      </w:pPr>
    </w:p>
    <w:p>
      <w:pPr>
        <w:ind w:left="920" w:right="160" w:firstLine="415"/>
        <w:spacing w:after="0" w:line="274" w:lineRule="auto"/>
        <w:tabs>
          <w:tab w:leader="none" w:pos="157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Realized Tax Benefit reflected on the Tax Benefit Schedule for a previous Covered Taxable Year over the Realized Tax Benefit (or Realized Tax Detriment) reflected on the Amended Tax Benefit Schedule for such previous Covered Taxable Year;</w:t>
      </w:r>
    </w:p>
    <w:p>
      <w:pPr>
        <w:spacing w:after="0" w:line="15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the amounts described in Sections 3.01(b)(2), (4) and (5) shall not be taken into account in determining a Tax Benefit Payment attributable to any Covered Taxable Year to the extent of such amounts taken into account in determining any Tax Benefit Payment in a preceding Covered Taxable Year. The amount described in Section 3.01(b)(3) shall be calculated and determined by the Ltd Exchanging Subsidiary using such assumptions, methodologies and procedures (including any such assumptions, methodologies and procedures that are adopted for administrative ease) that the Ltd Exchanging Subsidiary determines, in its sole discretion, are appropriate for such calculation, and the determination of any such amount by the Ltd Exchanging Subsidiary shall be conclusive on all parties hereto and shall not be subject to challenge, except in the case of bad faith, willful misconduct or fraud on the part of the Ltd Exchanging Subsidiary.</w:t>
      </w:r>
    </w:p>
    <w:p>
      <w:pPr>
        <w:spacing w:after="0" w:line="77" w:lineRule="exact"/>
        <w:rPr>
          <w:sz w:val="20"/>
          <w:szCs w:val="20"/>
          <w:color w:val="auto"/>
        </w:rPr>
      </w:pPr>
    </w:p>
    <w:p>
      <w:pPr>
        <w:ind w:right="780" w:firstLine="458"/>
        <w:spacing w:after="0" w:line="274" w:lineRule="auto"/>
        <w:tabs>
          <w:tab w:leader="none" w:pos="68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3 days of receiving any Tax Benefit Payment, the Trust shall distribute such Tax Benefit Payment in accordance with Section 3.1 of the Trust Agreement and subject to the terms of Section 3.4 and 3.5 of the Trust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SECTION 3.02. </w:t>
      </w:r>
      <w:r>
        <w:rPr>
          <w:rFonts w:ascii="Times New Roman" w:cs="Times New Roman" w:eastAsia="Times New Roman" w:hAnsi="Times New Roman"/>
          <w:sz w:val="16"/>
          <w:szCs w:val="16"/>
          <w:u w:val="single" w:color="auto"/>
          <w:color w:val="auto"/>
        </w:rPr>
        <w:t>No Duplicative Payments</w:t>
      </w:r>
      <w:r>
        <w:rPr>
          <w:rFonts w:ascii="Times New Roman" w:cs="Times New Roman" w:eastAsia="Times New Roman" w:hAnsi="Times New Roman"/>
          <w:sz w:val="16"/>
          <w:szCs w:val="16"/>
          <w:color w:val="auto"/>
        </w:rPr>
        <w:t>. No duplicative payment of any amount (including, without limitation, interest) will be required under this Agreement.</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Suspension of Tax Benefit Payments Following Change Notice</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ind w:right="140" w:firstLine="458"/>
        <w:spacing w:after="0" w:line="252" w:lineRule="auto"/>
        <w:tabs>
          <w:tab w:leader="none" w:pos="6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Lazard, its Subsidiaries or Lazard Group receives a 30-day letter, a final audit report, a statutory notice of deficiency or similar written notice from any Taxing Authority with respect to the Tax treatment of the Redemption or any Taxable Exchange (a “</w:t>
      </w:r>
      <w:r>
        <w:rPr>
          <w:rFonts w:ascii="Times New Roman" w:cs="Times New Roman" w:eastAsia="Times New Roman" w:hAnsi="Times New Roman"/>
          <w:sz w:val="17"/>
          <w:szCs w:val="17"/>
          <w:u w:val="single" w:color="auto"/>
          <w:color w:val="auto"/>
        </w:rPr>
        <w:t>Change Notice</w:t>
      </w:r>
      <w:r>
        <w:rPr>
          <w:rFonts w:ascii="Times New Roman" w:cs="Times New Roman" w:eastAsia="Times New Roman" w:hAnsi="Times New Roman"/>
          <w:sz w:val="17"/>
          <w:szCs w:val="17"/>
          <w:color w:val="auto"/>
        </w:rPr>
        <w:t>”), which, if sustained, would result in (i) a reduction in the amount of Realized Tax Benefit (or the increase in the amount of Realized Tax Detriment) with respect to a Covered Taxable Year preceding the taxable year in which the Change Notice is received or (ii) a reduction in the amount of Tax Benefit Payments the Ltd Exchanging Subsidiaries will be required to pay to the Trust with respect to Covered Taxable Years after and including the taxable year in which the Change Notice is received (collectively, the “</w:t>
      </w:r>
      <w:r>
        <w:rPr>
          <w:rFonts w:ascii="Times New Roman" w:cs="Times New Roman" w:eastAsia="Times New Roman" w:hAnsi="Times New Roman"/>
          <w:sz w:val="17"/>
          <w:szCs w:val="17"/>
          <w:u w:val="single" w:color="auto"/>
          <w:color w:val="auto"/>
        </w:rPr>
        <w:t>Potential Reduction</w:t>
      </w:r>
      <w:r>
        <w:rPr>
          <w:rFonts w:ascii="Times New Roman" w:cs="Times New Roman" w:eastAsia="Times New Roman" w:hAnsi="Times New Roman"/>
          <w:sz w:val="17"/>
          <w:szCs w:val="17"/>
          <w:color w:val="auto"/>
        </w:rPr>
        <w:t>”), prompt written notice shall be given to the Trust.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20"/>
          </w:cols>
          <w:pgMar w:left="240" w:top="262" w:right="239" w:bottom="1440" w:gutter="0" w:footer="0" w:header="0"/>
        </w:sectPr>
      </w:pPr>
    </w:p>
    <w:bookmarkStart w:id="143" w:name="page144"/>
    <w:bookmarkEnd w:id="143"/>
    <w:p>
      <w:pPr>
        <w:ind w:left="-140" w:firstLine="458"/>
        <w:spacing w:after="0" w:line="256" w:lineRule="auto"/>
        <w:tabs>
          <w:tab w:leader="none" w:pos="55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From and after the date such Change Notice is received until there is a final Determination with respect to the adjustments proposed therein, 100% of any Tax Benefit Payments required to be made by the Ltd Exchanging Subsidiaries shall be paid by the Ltd Exchanging Subsidiaries to the Escrow Agent until such time as the amounts paid to the Escrow Agent under Section 3.01(a)(ii) with respect to the Covered Taxable Year at issue in the Change Notice and this Section 3.03(b), in the aggregate, equal the amount of the Potential Reduction (or, if earlier, until a final Determination is received with respect to the Change Notice).</w:t>
      </w:r>
    </w:p>
    <w:p>
      <w:pPr>
        <w:spacing w:after="0" w:line="72" w:lineRule="exact"/>
        <w:rPr>
          <w:rFonts w:ascii="Times New Roman" w:cs="Times New Roman" w:eastAsia="Times New Roman" w:hAnsi="Times New Roman"/>
          <w:sz w:val="17"/>
          <w:szCs w:val="17"/>
          <w:color w:val="auto"/>
        </w:rPr>
      </w:pPr>
    </w:p>
    <w:p>
      <w:pPr>
        <w:ind w:left="-140" w:right="80" w:firstLine="458"/>
        <w:spacing w:after="0" w:line="253" w:lineRule="auto"/>
        <w:tabs>
          <w:tab w:leader="none" w:pos="54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final Determination with respect to the Change Notice results in no adjustment to any Tax Benefit Payment, then 80% of the amounts paid to the Escrow Agent pursuant to this Section 3.03 (along with interest earned on such funds) shall be distributed to the Trust in accordance with this Agreement and the Escrow Agreement. If the final Determination results in an adjustment to any Tax Benefit Payment, then the lesser of (i) the amounts paid to the Escrow Agent pursuant to this Section 3.03 and (ii) the amount of the adjustment to the Tax Benefit Payment, in each case, along with interest earned on such funds, shall be distributed to the Ltd Exchanging Subsidiaries in accordance with this Agreement and the Escrow Agreement.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Lazard Purchases; Adjustments to the Payment Percentage</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ind w:left="-140" w:firstLine="458"/>
        <w:spacing w:after="0" w:line="253" w:lineRule="auto"/>
        <w:tabs>
          <w:tab w:leader="none" w:pos="54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following the consummation of the Trust Interest Distribution, Lazard Purchaser may, but shall have no obligation to, effect one or more Lazard Purchases, and the Ltd Exchanging Subsidiaries and the Trust each agree to perform such further administrative acts as may be reasonably required to effect any such Lazard Purchase. Any Trust Interests purchased by Lazard Purchaser shall, without any action on the part of the Trust, the holder of such Trust Interests, Lazard Purchaser, be canceled, retired and shall cease to exist. For the avoidance of doubt, except for a Transferor Owner (as defined in the Trust Agreement) pursuant to Section 7.4 of the Trust Agreement, no owner of the Trust Interests will be required to enter into a Lazard Purchase.</w:t>
      </w:r>
    </w:p>
    <w:p>
      <w:pPr>
        <w:spacing w:after="0" w:line="77" w:lineRule="exact"/>
        <w:rPr>
          <w:rFonts w:ascii="Times New Roman" w:cs="Times New Roman" w:eastAsia="Times New Roman" w:hAnsi="Times New Roman"/>
          <w:sz w:val="17"/>
          <w:szCs w:val="17"/>
          <w:color w:val="auto"/>
        </w:rPr>
      </w:pPr>
    </w:p>
    <w:p>
      <w:pPr>
        <w:ind w:left="-140" w:right="100" w:firstLine="458"/>
        <w:spacing w:after="0" w:line="277" w:lineRule="auto"/>
        <w:tabs>
          <w:tab w:leader="none" w:pos="55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consummation of any Lazard Purchase, the percentage set forth on Schedule F shall automatically be reduced by the percentage equal to the product of (i) the percentage set forth on Schedule F immediately prior to such Lazard Purchase and (ii) the Purchased Percentage. Any reduction to the percentage set forth on Schedule F in accordance with this Section 3.04 and any changes made to Schedule F to reflect such reduction shall not be deemed an amendment to this Agreement. Any reference in this Agreement to Schedule F shall be deemed to be a reference to Schedule F, as amended or revised and in effect from time to time.</w:t>
      </w:r>
    </w:p>
    <w:p>
      <w:pPr>
        <w:spacing w:after="0" w:line="56" w:lineRule="exact"/>
        <w:rPr>
          <w:rFonts w:ascii="Times New Roman" w:cs="Times New Roman" w:eastAsia="Times New Roman" w:hAnsi="Times New Roman"/>
          <w:sz w:val="16"/>
          <w:szCs w:val="16"/>
          <w:color w:val="auto"/>
        </w:rPr>
      </w:pPr>
    </w:p>
    <w:p>
      <w:pPr>
        <w:ind w:left="-140" w:right="460" w:firstLine="458"/>
        <w:spacing w:after="0" w:line="274" w:lineRule="auto"/>
        <w:tabs>
          <w:tab w:leader="none" w:pos="54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consummation of any Lazard Purchase, the Ltd Exchanging Subsidiaries shall deliver to the Trust a schedule providing reasonable detail regarding the calculation of the automatic reduction to the percentage set forth on Schedule 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140"/>
          </w:cols>
          <w:pgMar w:left="380" w:top="261" w:right="379" w:bottom="1440" w:gutter="0" w:footer="0" w:header="0"/>
        </w:sectPr>
      </w:pPr>
    </w:p>
    <w:bookmarkStart w:id="144" w:name="page145"/>
    <w:bookmarkEnd w:id="144"/>
    <w:p>
      <w:pPr>
        <w:ind w:firstLine="458"/>
        <w:spacing w:after="0" w:line="249" w:lineRule="auto"/>
        <w:tabs>
          <w:tab w:leader="none" w:pos="69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Following the consummation of any Lazard Purchase, an amount equal to the product of (i) the Purchased Percentage and (ii) all Tax Benefit Payments then held in the Escrow Account at the time of the relevant Lazard Purchase, along with interest earned on such funds (a “</w:t>
      </w:r>
      <w:r>
        <w:rPr>
          <w:rFonts w:ascii="Times New Roman" w:cs="Times New Roman" w:eastAsia="Times New Roman" w:hAnsi="Times New Roman"/>
          <w:sz w:val="17"/>
          <w:szCs w:val="17"/>
          <w:u w:val="single" w:color="auto"/>
          <w:color w:val="auto"/>
        </w:rPr>
        <w:t>Lazard Escrow Release</w:t>
      </w:r>
      <w:r>
        <w:rPr>
          <w:rFonts w:ascii="Times New Roman" w:cs="Times New Roman" w:eastAsia="Times New Roman" w:hAnsi="Times New Roman"/>
          <w:sz w:val="17"/>
          <w:szCs w:val="17"/>
          <w:color w:val="auto"/>
        </w:rPr>
        <w:t xml:space="preserve">”), shall be distributed to the Ltd Exchanging Subsidiaries in accordance with this Agreement and the Escrow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any quantified Ordinary Course Trust Expenses that are accrued but unpaid are then owed by the Trust to the Trustees, a portion of such Lazard Escrow Release shall be withheld from the distribution to the Ltd Exchanging Subsidiaries in an amount equal to the lesser of the following: (x) the amount of the Lazard Escrow Release and (y) Lazard’s portion of such Ordinary Course Trust Expenses (as determined and calculated in accordance with Section 4.6 of the Trust Agreement). Following the consummation of any Lazard Purchase, any amounts of a related Lazard Escrow Release withheld from the Ltd Exchanging Subsidiaries pursuant to the immediately preceding sentence shall be distributed to the Trust in accordance with this Agreement and the Escrow Agreement, and, for the purposes of this Agreement, any such amount withheld shall be deemed a Lazard Escrow Release for the purposes of Section 3.04(e) and the definition of Hypothetical Pro Rata Escrow Amount. In the event the amount set forth in clause (x) above is less than the amount calculated pursuant to clause (y) above, the Ltd Exchanging Subsidiaries shall pay the difference to the Trust concurrently with the consummation of the related Lazard Purchase. In connection with the consummation of any Lazard Purchase, the Ltd Exchanging Subsidiaries shall deliver to the Trust a schedule providing reasonable detail regarding the calculation of the amounts described in this Section 3.04(d).</w:t>
      </w:r>
    </w:p>
    <w:p>
      <w:pPr>
        <w:spacing w:after="0" w:line="83" w:lineRule="exact"/>
        <w:rPr>
          <w:rFonts w:ascii="Times New Roman" w:cs="Times New Roman" w:eastAsia="Times New Roman" w:hAnsi="Times New Roman"/>
          <w:sz w:val="17"/>
          <w:szCs w:val="17"/>
          <w:color w:val="auto"/>
        </w:rPr>
      </w:pPr>
    </w:p>
    <w:p>
      <w:pPr>
        <w:ind w:firstLine="458"/>
        <w:spacing w:after="0" w:line="252" w:lineRule="auto"/>
        <w:tabs>
          <w:tab w:leader="none" w:pos="68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at any time following the first occurrence of any Lazard Purchase and related Lazard Escrow Release, there is required to be distributed to the Ltd Exchanging Subsidiaries any amount from the Escrow Account (other than in respect of a Lazard Escrow Release), then the amount to be distributed to the Ltd Exchanging Subsidiaries shall be reduced so that, immediately following such distribution and with respect to each Schedule D Person, the Pro Rata Escrow Amount of such Schedule D Person is equal to the Hypothetical Pro Rata Escrow Amount of such Schedule D Person. In connection with any required distribution in respect of an adjustment pursuant to this Section 3.04(e), the Ltd Exchanging Subsidiaries shall deliver to the Trust a schedule providing reasonable detail regarding the calculation of the amounts described in this Section 3.04(e).</w:t>
      </w:r>
    </w:p>
    <w:p>
      <w:pPr>
        <w:spacing w:after="0" w:line="178" w:lineRule="exact"/>
        <w:rPr>
          <w:sz w:val="20"/>
          <w:szCs w:val="20"/>
          <w:color w:val="auto"/>
        </w:rPr>
      </w:pPr>
    </w:p>
    <w:p>
      <w:pPr>
        <w:ind w:right="60" w:firstLine="457"/>
        <w:spacing w:after="0" w:line="252"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Potential Modifications to Schedule D of this Agreement</w:t>
      </w:r>
      <w:r>
        <w:rPr>
          <w:rFonts w:ascii="Times New Roman" w:cs="Times New Roman" w:eastAsia="Times New Roman" w:hAnsi="Times New Roman"/>
          <w:sz w:val="17"/>
          <w:szCs w:val="17"/>
          <w:color w:val="auto"/>
        </w:rPr>
        <w:t>. Notwithstanding anything to the contrary in this Agreement, the names, addresses and Trust Interests set forth on Schedule D shall be automatically amended from time to time to reflect the consummation of any Transfers in accordance with Article VII of the Trust Agreement. In the event of any Lazard Purchase, (i) first, each Trust Interest set forth on Schedule D automatically shall be reduced to the extent such Trust Interest is sold, transferred or otherwise disposed in such Lazard Purchase (</w:t>
      </w:r>
      <w:r>
        <w:rPr>
          <w:rFonts w:ascii="Times New Roman" w:cs="Times New Roman" w:eastAsia="Times New Roman" w:hAnsi="Times New Roman"/>
          <w:sz w:val="17"/>
          <w:szCs w:val="17"/>
          <w:u w:val="single" w:color="auto"/>
          <w:color w:val="auto"/>
        </w:rPr>
        <w:t>e.g.</w:t>
      </w:r>
      <w:r>
        <w:rPr>
          <w:rFonts w:ascii="Times New Roman" w:cs="Times New Roman" w:eastAsia="Times New Roman" w:hAnsi="Times New Roman"/>
          <w:sz w:val="17"/>
          <w:szCs w:val="17"/>
          <w:color w:val="auto"/>
        </w:rPr>
        <w:t>, a sale of 45% of a Trust Interest shall reduce the percentage associated with such Trust Interest by 45%) and (ii) second, each Trust Interest (after giving effect to the adjustments specified in clause (i) above) shall be increased by a factor equal to (A) one plus (B) the quotient obtained by dividing (x) the Purchased Percentage by (y) one minus the Purchased Percentage.</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360"/>
          </w:cols>
          <w:pgMar w:left="240" w:top="262" w:right="29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ARTICLE IV</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Termination</w:t>
      </w:r>
    </w:p>
    <w:p>
      <w:pPr>
        <w:spacing w:after="0" w:line="211" w:lineRule="exact"/>
        <w:rPr>
          <w:sz w:val="20"/>
          <w:szCs w:val="20"/>
          <w:color w:val="auto"/>
        </w:rPr>
      </w:pPr>
    </w:p>
    <w:p>
      <w:pPr>
        <w:ind w:right="20"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Early Termination of Agreement</w:t>
      </w:r>
      <w:r>
        <w:rPr>
          <w:rFonts w:ascii="Times New Roman" w:cs="Times New Roman" w:eastAsia="Times New Roman" w:hAnsi="Times New Roman"/>
          <w:sz w:val="17"/>
          <w:szCs w:val="17"/>
          <w:color w:val="auto"/>
        </w:rPr>
        <w:t>. At any time, the Ltd Exchanging Subsidiaries may terminate this Agreement with the consent of the Audit Committee by paying to the Trust the Early Termination Payment as of the date of the Early Termination Notice (as defined below). The Ltd Exchanging Subsidiaries may terminate this Agreement upon the occurrence of a Change of Control Event by paying to the Trust the Change of Control Termination Payment as of the date of the Early Termination Notice. Upon payment of the Early Termination Payment or the Change of Control Termination Payment by the Ltd Exchanging Subsidiaries, the Ltd Exchanging Subsidiaries shall have no further payment obligations under this Agreement, other than for any (a) Tax Benefit Payment agreed to by the Ltd Exchanging Subsidiaries and the Trust as due and payable but unpaid as of the Early Termination Notice and (b) any Tax Benefit Payment due for the Covered Taxable Year ending with or including the date of the Early Termination Notice (except to the extent that the amount described in clause (a) or (b) is included in the Early Termination Payment or the Change of Control Termination Payment, as the case may be).</w:t>
      </w:r>
    </w:p>
    <w:p>
      <w:pPr>
        <w:spacing w:after="0" w:line="177"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Early Termination Notice</w:t>
      </w:r>
      <w:r>
        <w:rPr>
          <w:rFonts w:ascii="Times New Roman" w:cs="Times New Roman" w:eastAsia="Times New Roman" w:hAnsi="Times New Roman"/>
          <w:sz w:val="17"/>
          <w:szCs w:val="17"/>
          <w:color w:val="auto"/>
        </w:rPr>
        <w:t>. If the Ltd Exchanging Subsidiaries choose to exercise their right of early termination under Section 4.01 above, the Ltd Exchanging Subsidiaries shall deliver to the Trust a notice (the “</w:t>
      </w:r>
      <w:r>
        <w:rPr>
          <w:rFonts w:ascii="Times New Roman" w:cs="Times New Roman" w:eastAsia="Times New Roman" w:hAnsi="Times New Roman"/>
          <w:sz w:val="17"/>
          <w:szCs w:val="17"/>
          <w:u w:val="single" w:color="auto"/>
          <w:color w:val="auto"/>
        </w:rPr>
        <w:t>Early Termination Notice</w:t>
      </w:r>
      <w:r>
        <w:rPr>
          <w:rFonts w:ascii="Times New Roman" w:cs="Times New Roman" w:eastAsia="Times New Roman" w:hAnsi="Times New Roman"/>
          <w:sz w:val="17"/>
          <w:szCs w:val="17"/>
          <w:color w:val="auto"/>
        </w:rPr>
        <w:t>”) specifying the Ltd Exchanging Subsidiaries’ intention to exercise such right and showing in reasonable detail the calculation of the Early Termination Payment or the Change of Control Termination Payment, as the case may be. At the time the Ltd Exchanging Subsidiaries deliver the Early Termination Notice to the Trust, the Ltd Exchanging Subsidiaries shall (i) deliver to the Trust schedules and work papers providing reasonable detail regarding the calculation of the Early Termination Payment or the Change of Control Termination Payment, as the case may be, in a manner consistent with the guidelines set forth in Section 4.03 of this Agreement and an Advisory Firm Letter supporting such calculation and (ii) allow the Trust reasonable access to the appropriate representatives at Lazard and its Subsidiaries, Lazard Group and the Advisory Firm in connection with its review of such calculation. The calculation contained in such Early Termination Notice shall become final and binding on the parties unless the Trust, within 60 calendar days after receiving such calculation, provides the Ltd Exchanging Subsidiaries with notice of a material objection to such calculation made in good faith. If the parties, negotiating in good faith, are unable to successfully resolve the issues raised in such calculation within 120 calendar days after such calculation was delivered to the Trust, the Ltd Exchanging Subsidiaries and the Trust shall employ the Reconciliation Procedures.</w:t>
      </w:r>
    </w:p>
    <w:p>
      <w:pPr>
        <w:spacing w:after="0" w:line="185"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Payment upon Early Termination</w:t>
      </w:r>
      <w:r>
        <w:rPr>
          <w:rFonts w:ascii="Times New Roman" w:cs="Times New Roman" w:eastAsia="Times New Roman" w:hAnsi="Times New Roman"/>
          <w:sz w:val="17"/>
          <w:szCs w:val="17"/>
          <w:color w:val="auto"/>
        </w:rPr>
        <w:t>. (a) Within 3 calendar days of the delivery to the Trust of the Early Termination Notice or any amendment to the Early Termination Notice, the Ltd Exchanging Subsidiaries shall pay to the Trust an amount equal to the Early Termination Payment or the Change of Control Termination Payment, as the case may be. Such payment shall be made by wire transfer of immediately available funds to a bank account designated by the Trust.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380"/>
          </w:cols>
          <w:pgMar w:left="240" w:top="257" w:right="279" w:bottom="1440" w:gutter="0" w:footer="0" w:header="0"/>
        </w:sectPr>
      </w:pPr>
    </w:p>
    <w:bookmarkStart w:id="146" w:name="page147"/>
    <w:bookmarkEnd w:id="146"/>
    <w:p>
      <w:pPr>
        <w:ind w:right="100" w:firstLine="458"/>
        <w:spacing w:after="0" w:line="260" w:lineRule="auto"/>
        <w:tabs>
          <w:tab w:leader="none" w:pos="69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Early Termination Payment as of the Valuation Date shall equal the present value, discounted at the Early Termination Rate, of all Tax Benefit Payments that would be required to be paid by the Ltd Exchanging Subsidiaries to the Trust during the period from the date of the Early Termination Notice through the Scheduled Termination Date assuming the Valuation Assumptions are applied.</w:t>
      </w:r>
    </w:p>
    <w:p>
      <w:pPr>
        <w:spacing w:after="0" w:line="69" w:lineRule="exact"/>
        <w:rPr>
          <w:rFonts w:ascii="Times New Roman" w:cs="Times New Roman" w:eastAsia="Times New Roman" w:hAnsi="Times New Roman"/>
          <w:sz w:val="17"/>
          <w:szCs w:val="17"/>
          <w:color w:val="auto"/>
        </w:rPr>
      </w:pPr>
    </w:p>
    <w:p>
      <w:pPr>
        <w:ind w:left="680" w:hanging="222"/>
        <w:spacing w:after="0"/>
        <w:tabs>
          <w:tab w:leader="none" w:pos="6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of Control Termination Payment as of the Valuation Date shall equal the Early Termination Payment as of such date multiplied by 80%.</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u w:val="single" w:color="auto"/>
          <w:color w:val="auto"/>
        </w:rPr>
        <w:t>No Other Right of Early Termination</w:t>
      </w:r>
      <w:r>
        <w:rPr>
          <w:rFonts w:ascii="Times New Roman" w:cs="Times New Roman" w:eastAsia="Times New Roman" w:hAnsi="Times New Roman"/>
          <w:sz w:val="16"/>
          <w:szCs w:val="16"/>
          <w:color w:val="auto"/>
        </w:rPr>
        <w:t>. For the avoidance of doubt, the Trust shall not be entitled to cause an early termination of this Agreement.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Subordination and Late Payments</w:t>
      </w:r>
    </w:p>
    <w:p>
      <w:pPr>
        <w:spacing w:after="0" w:line="211" w:lineRule="exact"/>
        <w:rPr>
          <w:sz w:val="20"/>
          <w:szCs w:val="20"/>
          <w:color w:val="auto"/>
        </w:rPr>
      </w:pPr>
    </w:p>
    <w:p>
      <w:pPr>
        <w:ind w:right="100" w:firstLine="457"/>
        <w:spacing w:after="0" w:line="253"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Notwithstanding any other provision of this Agreement to the contrary, any Tax Benefit Payment, Early Termination Payment or Change of Control Termination Payment required to be made by the Ltd Exchanging Subsidiaries to the Trust under this Agreement (a “</w:t>
      </w:r>
      <w:r>
        <w:rPr>
          <w:rFonts w:ascii="Times New Roman" w:cs="Times New Roman" w:eastAsia="Times New Roman" w:hAnsi="Times New Roman"/>
          <w:sz w:val="17"/>
          <w:szCs w:val="17"/>
          <w:u w:val="single" w:color="auto"/>
          <w:color w:val="auto"/>
        </w:rPr>
        <w:t>Ltd Exchanging Subsidiary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shall rank subordinate and junior in right of payment to any principal, interest or other amounts due and payable in respect of any debt of the Ltd Exchanging Subsidiaries (“</w:t>
      </w:r>
      <w:r>
        <w:rPr>
          <w:rFonts w:ascii="Times New Roman" w:cs="Times New Roman" w:eastAsia="Times New Roman" w:hAnsi="Times New Roman"/>
          <w:sz w:val="17"/>
          <w:szCs w:val="17"/>
          <w:u w:val="single" w:color="auto"/>
          <w:color w:val="auto"/>
        </w:rPr>
        <w:t>Senior Obligations</w:t>
      </w:r>
      <w:r>
        <w:rPr>
          <w:rFonts w:ascii="Times New Roman" w:cs="Times New Roman" w:eastAsia="Times New Roman" w:hAnsi="Times New Roman"/>
          <w:sz w:val="17"/>
          <w:szCs w:val="17"/>
          <w:color w:val="auto"/>
        </w:rPr>
        <w:t>”) and shall rank pari passu with all current or future unsecured obligations of the Ltd Exchanging Subsidiaries that are not Senior Obligations.</w:t>
      </w:r>
    </w:p>
    <w:p>
      <w:pPr>
        <w:spacing w:after="0" w:line="178" w:lineRule="exact"/>
        <w:rPr>
          <w:sz w:val="20"/>
          <w:szCs w:val="20"/>
          <w:color w:val="auto"/>
        </w:rPr>
      </w:pPr>
    </w:p>
    <w:p>
      <w:pPr>
        <w:jc w:val="both"/>
        <w:ind w:right="240" w:firstLine="457"/>
        <w:spacing w:after="0" w:line="260"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Late Payments by the Ltd Exchanging Subsidiaries</w:t>
      </w:r>
      <w:r>
        <w:rPr>
          <w:rFonts w:ascii="Times New Roman" w:cs="Times New Roman" w:eastAsia="Times New Roman" w:hAnsi="Times New Roman"/>
          <w:sz w:val="17"/>
          <w:szCs w:val="17"/>
          <w:color w:val="auto"/>
        </w:rPr>
        <w:t>. The amount of all or any portion of a Ltd Exchanging Subsidiary Payment not made to the Trust when due under the terms of this Agreement shall be payable together with any interest thereon, computed at the Agreed Rate and commencing from the date on which such Ltd Exchanging Subsidiary Payment was due and payable.</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 Disputes; Consistency; Cooperation; Assignment; Distribution; Tax Treatment</w:t>
      </w:r>
    </w:p>
    <w:p>
      <w:pPr>
        <w:spacing w:after="0" w:line="211"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The Trust Participation In Ltd Exchanging Subsidiary Tax Matters</w:t>
      </w:r>
      <w:r>
        <w:rPr>
          <w:rFonts w:ascii="Times New Roman" w:cs="Times New Roman" w:eastAsia="Times New Roman" w:hAnsi="Times New Roman"/>
          <w:sz w:val="17"/>
          <w:szCs w:val="17"/>
          <w:color w:val="auto"/>
        </w:rPr>
        <w:t>. Except as otherwise provided herein, the Ltd Exchanging Subsidiaries shall have full responsibility for, and sole discretion over, all Tax matters concerning any Relevant Lazard Ltd Taxpayer, including, without limitation, the preparation, filing or amending of any Tax Return and defending, contesting or settling any issue pertaining to Taxes. Notwithstanding the foregoing, the Ltd Exchanging Subsidiaries shall notify the Trust of, and keep the Trust reasonably informed with respect to, and the Trust shall have the right to participate in and monitor (but, for the avoidance of doubt, not to control) the portion of any audit of the Relevant Lazard Ltd Taxpayers by a Taxing Authority the outcome of which is reasonably expected to affect the Trust’s rights under this Agreement. The Ltd Exchanging Subsidiaries shall provide to the Trust reasonable opportunity to provide information and other input to the Ltd Exchanging Subsidiaries and its advisors concerning the conduct of any such portion of such audits. No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420"/>
          </w:cols>
          <w:pgMar w:left="240" w:top="261" w:right="239" w:bottom="1440" w:gutter="0" w:footer="0" w:header="0"/>
        </w:sectPr>
      </w:pPr>
    </w:p>
    <w:bookmarkStart w:id="147" w:name="page148"/>
    <w:bookmarkEnd w:id="147"/>
    <w:p>
      <w:pPr>
        <w:ind w:right="2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Relevant Lazard Ltd Taxpayer shall settle or otherwise resolve any audit or other challenge by a Taxing Authority relating to the Basis Adjustment or the deduction of Imputed Interest without the consent of the Audit Committee and the Trust, which consent the Trust shall not unreasonably withhold, condition or delay.</w:t>
      </w:r>
    </w:p>
    <w:p>
      <w:pPr>
        <w:spacing w:after="0" w:line="158"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Consistency</w:t>
      </w:r>
      <w:r>
        <w:rPr>
          <w:rFonts w:ascii="Times New Roman" w:cs="Times New Roman" w:eastAsia="Times New Roman" w:hAnsi="Times New Roman"/>
          <w:sz w:val="17"/>
          <w:szCs w:val="17"/>
          <w:color w:val="auto"/>
        </w:rPr>
        <w:t>. Unless there is a Determination to the contrary, the Relevant Lazard Ltd Taxpayers, the Trust and the Exchangeable Holders, on their own behalf and on behalf of each of their affiliates, agree to report and cause to be reported for all U.S. purposes, including, without limitation, U.S. Federal, state and local income and franchise Tax purposes and U.S. financial reporting purposes, all Tax-related items relating to this Agreement (including, without limitation, the Basis Adjustment and each Tax Benefit Payment) in a manner consistent with that specified by the Ltd Exchanging Subsidiaries in any schedule, letter or certificate required to be provided by or on behalf of the Ltd Exchanging Subsidiaries under this Agreement. In the event that an Advisory Firm is replaced with another firm acceptable to the Audit Committee, such replacement Advisory Firm shall be required to perform its services under this Agreement using procedures and methodologies consistent with the previous Advisory Firm, unless otherwise required by law or the Ltd Exchanging Subsidiaries, the Audit Committee and the Trust agree to the use of other procedures and methodologies.</w:t>
      </w:r>
    </w:p>
    <w:p>
      <w:pPr>
        <w:spacing w:after="0" w:line="177" w:lineRule="exact"/>
        <w:rPr>
          <w:sz w:val="20"/>
          <w:szCs w:val="20"/>
          <w:color w:val="auto"/>
        </w:rPr>
      </w:pPr>
    </w:p>
    <w:p>
      <w:pPr>
        <w:ind w:right="80" w:firstLine="457"/>
        <w:spacing w:after="0" w:line="252"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The Trust shall (a) furnish to the Ltd Exchanging Subsidiaries in a timely manner such information, documents and other materials as the Ltd Exchanging Subsidiaries may reasonably request for purposes of making any determination or computation necessary or appropriate under this Agreement, preparing any Tax Return or contesting or defending any audit, examination or controversy with any Taxing Authority, (b) make its employees available to the Ltd Exchanging Subsidiaries and its representatives to provide explanations of documents and materials and such other information as the Ltd Exchanging Subsidiaries or its representative may reasonably request in connection with any of the matters described in clause (a) above, and (c) reasonably cooperate in connection with any such matter.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SECTION 6.04. [RESERVED]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SECTION 6.05. [RESERVED]</w:t>
      </w:r>
    </w:p>
    <w:p>
      <w:pPr>
        <w:spacing w:after="0" w:line="207" w:lineRule="exact"/>
        <w:rPr>
          <w:sz w:val="20"/>
          <w:szCs w:val="20"/>
          <w:color w:val="auto"/>
        </w:rPr>
      </w:pPr>
    </w:p>
    <w:p>
      <w:pPr>
        <w:ind w:right="260" w:firstLine="457"/>
        <w:spacing w:after="0" w:line="260"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The parties agree that, for U.S. Federal income tax purposes, (i) the Trust is a grantor trust pursuant to Section 671-679 of the Code and (ii) the Trust Interest Distribution is a distribution described in Section 732 of the Code in which no gain or loss is recognized. The parties shall not take any position that is inconsistent with this treatment.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11" w:lineRule="exact"/>
        <w:rPr>
          <w:sz w:val="20"/>
          <w:szCs w:val="20"/>
          <w:color w:val="auto"/>
        </w:rPr>
      </w:pPr>
    </w:p>
    <w:p>
      <w:pPr>
        <w:ind w:right="440" w:firstLine="457"/>
        <w:spacing w:after="0" w:line="274"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deemed duly given and received (a) on the date of delivery if delivered personally, or by facsimile upon confirmation of transmission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420"/>
          </w:cols>
          <w:pgMar w:left="240" w:top="261" w:right="239" w:bottom="1440" w:gutter="0" w:footer="0" w:header="0"/>
        </w:sectPr>
      </w:pPr>
    </w:p>
    <w:bookmarkStart w:id="148" w:name="page149"/>
    <w:bookmarkEnd w:id="148"/>
    <w:p>
      <w:pPr>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by the sender’s fax machine if sent on a Business Day (or otherwise on the next Business Day) or (b) on the first Business Day following the date of dispatch if delivered by a recognized next-day courier service. All notices hereunder shall be delivered as set forth in Schedule E, or pursuant to such other instructions as may be designated in writing by the party to receive such notice. Any party may change its address or fax number by giving the other party written notice of its new address or fax number in the manner set forth above.</w:t>
      </w:r>
    </w:p>
    <w:p>
      <w:pPr>
        <w:spacing w:after="0" w:line="173" w:lineRule="exact"/>
        <w:rPr>
          <w:sz w:val="20"/>
          <w:szCs w:val="20"/>
          <w:color w:val="auto"/>
        </w:rPr>
      </w:pPr>
    </w:p>
    <w:p>
      <w:pPr>
        <w:ind w:right="140" w:firstLine="457"/>
        <w:spacing w:after="0" w:line="260"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0"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Entire Agreement; No Third Party Beneficiaries</w:t>
      </w:r>
      <w:r>
        <w:rPr>
          <w:rFonts w:ascii="Times New Roman" w:cs="Times New Roman" w:eastAsia="Times New Roman" w:hAnsi="Times New Roman"/>
          <w:sz w:val="17"/>
          <w:szCs w:val="17"/>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73" w:lineRule="exact"/>
        <w:rPr>
          <w:sz w:val="20"/>
          <w:szCs w:val="20"/>
          <w:color w:val="auto"/>
        </w:rPr>
      </w:pPr>
    </w:p>
    <w:p>
      <w:pPr>
        <w:ind w:right="60" w:firstLine="457"/>
        <w:spacing w:after="0" w:line="274"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New York without giving effect to applicable principles of conflict of laws.</w:t>
      </w:r>
    </w:p>
    <w:p>
      <w:pPr>
        <w:spacing w:after="0" w:line="158"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7"/>
          <w:szCs w:val="17"/>
          <w:color w:val="auto"/>
        </w:rPr>
        <w:t xml:space="preserve">SECTION 7.05.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8"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7.06. </w:t>
      </w:r>
      <w:r>
        <w:rPr>
          <w:rFonts w:ascii="Times New Roman" w:cs="Times New Roman" w:eastAsia="Times New Roman" w:hAnsi="Times New Roman"/>
          <w:sz w:val="17"/>
          <w:szCs w:val="17"/>
          <w:u w:val="single" w:color="auto"/>
          <w:color w:val="auto"/>
        </w:rPr>
        <w:t>Successors; Assignment; Amendments</w:t>
      </w:r>
      <w:r>
        <w:rPr>
          <w:rFonts w:ascii="Times New Roman" w:cs="Times New Roman" w:eastAsia="Times New Roman" w:hAnsi="Times New Roman"/>
          <w:sz w:val="17"/>
          <w:szCs w:val="17"/>
          <w:color w:val="auto"/>
        </w:rPr>
        <w:t>. The Trust may not assign this Agreement to any person without the prior written consent of the Ltd Exchanging Subsidiaries and the Audit Committee, which consent shall not be unreasonably withheld, conditioned or delayed. The Ltd Exchanging Subsidiaries may not assign any of their rights, interests or entitlements under this Agreement without the consent of the Trust, not to be unreasonably withheld or delayed. Subject to each of the two immediately preceding sentences, this Agreement will be binding upon, inure to the benefit of and be enforceable by, the parties and their respective successors and assigns including, without limitation, any acquirer of all or substantially all of the assets of Lazard. Lazard shall cause the Ltd Exchanging Subsidiaries to be the legal and beneficial owners of all of the direct or indirect interests held by Lazard or any of its Subsidiaries in Lazard Group. In the event that Lazard ceases to be the owner of the Ltd Exchanging Subsidiaries, the successor to Lazard shall assume all of Lazard’s rights and obligations under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20"/>
          </w:cols>
          <w:pgMar w:left="240" w:top="261" w:right="239" w:bottom="1440" w:gutter="0" w:footer="0" w:header="0"/>
        </w:sectPr>
      </w:pPr>
    </w:p>
    <w:bookmarkStart w:id="149" w:name="page150"/>
    <w:bookmarkEnd w:id="149"/>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No amendment to this Agreement shall be effective unless it is (i) in writing, (ii) signed by the Ltd Exchanging Subsidiaries and the Trust and (iii) approved by the Audit Committee.</w:t>
      </w:r>
    </w:p>
    <w:p>
      <w:pPr>
        <w:spacing w:after="0" w:line="158" w:lineRule="exact"/>
        <w:rPr>
          <w:sz w:val="20"/>
          <w:szCs w:val="20"/>
          <w:color w:val="auto"/>
        </w:rPr>
      </w:pPr>
    </w:p>
    <w:p>
      <w:pPr>
        <w:ind w:right="760" w:firstLine="457"/>
        <w:spacing w:after="0" w:line="274" w:lineRule="auto"/>
        <w:rPr>
          <w:sz w:val="20"/>
          <w:szCs w:val="20"/>
          <w:color w:val="auto"/>
        </w:rPr>
      </w:pPr>
      <w:r>
        <w:rPr>
          <w:rFonts w:ascii="Times New Roman" w:cs="Times New Roman" w:eastAsia="Times New Roman" w:hAnsi="Times New Roman"/>
          <w:sz w:val="17"/>
          <w:szCs w:val="17"/>
          <w:color w:val="auto"/>
        </w:rPr>
        <w:t xml:space="preserve">SECTION 7.07. </w:t>
      </w:r>
      <w:r>
        <w:rPr>
          <w:rFonts w:ascii="Times New Roman" w:cs="Times New Roman" w:eastAsia="Times New Roman" w:hAnsi="Times New Roman"/>
          <w:sz w:val="17"/>
          <w:szCs w:val="17"/>
          <w:u w:val="single" w:color="auto"/>
          <w:color w:val="auto"/>
        </w:rPr>
        <w:t>Titles and Subtitles</w:t>
      </w:r>
      <w:r>
        <w:rPr>
          <w:rFonts w:ascii="Times New Roman" w:cs="Times New Roman" w:eastAsia="Times New Roman" w:hAnsi="Times New Roman"/>
          <w:sz w:val="17"/>
          <w:szCs w:val="17"/>
          <w:color w:val="auto"/>
        </w:rPr>
        <w:t>. The titles of the sections and subsections of this Agreement are for convenience of reference only and are not to be considered in construing this Agreement.</w:t>
      </w:r>
    </w:p>
    <w:p>
      <w:pPr>
        <w:spacing w:after="0" w:line="158" w:lineRule="exact"/>
        <w:rPr>
          <w:sz w:val="20"/>
          <w:szCs w:val="20"/>
          <w:color w:val="auto"/>
        </w:rPr>
      </w:pPr>
    </w:p>
    <w:p>
      <w:pPr>
        <w:ind w:right="80"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7.08. </w:t>
      </w:r>
      <w:r>
        <w:rPr>
          <w:rFonts w:ascii="Times New Roman" w:cs="Times New Roman" w:eastAsia="Times New Roman" w:hAnsi="Times New Roman"/>
          <w:sz w:val="17"/>
          <w:szCs w:val="17"/>
          <w:u w:val="single" w:color="auto"/>
          <w:color w:val="auto"/>
        </w:rPr>
        <w:t>Submission to Jurisdiction; Waivers</w:t>
      </w:r>
      <w:r>
        <w:rPr>
          <w:rFonts w:ascii="Times New Roman" w:cs="Times New Roman" w:eastAsia="Times New Roman" w:hAnsi="Times New Roman"/>
          <w:sz w:val="17"/>
          <w:szCs w:val="17"/>
          <w:color w:val="auto"/>
        </w:rPr>
        <w:t>. With respect to any suit, action or proceeding relating to this Agreement (collectively,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xml:space="preserve">”), each party to this Agreement irrevocably (a) consents and submits to the exclusive jurisdiction of the courts of the States of New York and Delaware and any court of the U.S. located in the Borough of Manhattan in New York City or the State of Delaware; (b) waives any objection which such party may have at any time to the laying of venue of any Proceeding brought in any such court, waives any claim that such Proceeding has been brought in an inconvenient forum and further waives the right to object, with respect to such Proceeding, that such court does not have jurisdiction over such party; (c) consents to the service of process at the address set forth for notices in Section 7.01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manner of service of process shall not preclude the service of process in any other manner permitted under applicable law; and (d) waives, to the fullest extent permitted by applicable law, any and all rights to trial by jury in connection with any Proceeding.</w:t>
      </w:r>
    </w:p>
    <w:p>
      <w:pPr>
        <w:spacing w:after="0" w:line="180" w:lineRule="exact"/>
        <w:rPr>
          <w:sz w:val="20"/>
          <w:szCs w:val="20"/>
          <w:color w:val="auto"/>
        </w:rPr>
      </w:pPr>
    </w:p>
    <w:p>
      <w:pPr>
        <w:ind w:right="200" w:firstLine="457"/>
        <w:spacing w:after="0" w:line="251" w:lineRule="auto"/>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Reconciliation</w:t>
      </w:r>
      <w:r>
        <w:rPr>
          <w:rFonts w:ascii="Times New Roman" w:cs="Times New Roman" w:eastAsia="Times New Roman" w:hAnsi="Times New Roman"/>
          <w:sz w:val="17"/>
          <w:szCs w:val="17"/>
          <w:color w:val="auto"/>
        </w:rPr>
        <w:t>. In the event that the Ltd Exchanging Subsidiaries and the Trust are unable to resolve a disagreement within the relevant period designated in this Agreement, the matter shall be submitted for determination to a nationally recognized expert in the particular area of disagreement employed by a nationally recognized accounting firm or a law firm (other than the Advisory Firm), which expert is mutually acceptable to all parties and the Audit Committee.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Ltd Exchanging Subsidiaries, subject to adjustment or amendment upon resolution. The determinations of the expert pursuant to this Section 7.09 shall be binding on Lazard and its Subsidiaries, Lazard Group and the Trust absent manifest error.</w:t>
      </w:r>
    </w:p>
    <w:p>
      <w:pPr>
        <w:spacing w:after="0" w:line="180" w:lineRule="exact"/>
        <w:rPr>
          <w:sz w:val="20"/>
          <w:szCs w:val="20"/>
          <w:color w:val="auto"/>
        </w:rPr>
      </w:pPr>
    </w:p>
    <w:p>
      <w:pPr>
        <w:ind w:firstLine="457"/>
        <w:spacing w:after="0" w:line="277"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The Ltd Exchanging Subsidiaries and the Escrow Agent shall be entitled to deduct and withhold from any payment payable pursuant to this Agreement such amounts as the Ltd Exchanging Subsidiaries and the Escrow Agent are required to deduct and withhold with respect to the making of such payment under the Code, or any provision of state, local or foreign tax law. To the extent that amounts are so withheld and paid over to the appropriate taxing authority by the Ltd Exchanging Subsidiaries or the Escrow Agent, such withheld amounts shall be treated for all purposes of this Agreement as having been paid to the Trust.</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SECTION 7.11. [RESERVED]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420"/>
          </w:cols>
          <w:pgMar w:left="240" w:top="261" w:right="239" w:bottom="1440" w:gutter="0" w:footer="0" w:header="0"/>
        </w:sectPr>
      </w:pPr>
    </w:p>
    <w:bookmarkStart w:id="150" w:name="page151"/>
    <w:bookmarkEnd w:id="150"/>
    <w:p>
      <w:pPr>
        <w:ind w:firstLine="457"/>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SECTION 7.12. </w:t>
      </w:r>
      <w:r>
        <w:rPr>
          <w:rFonts w:ascii="Times New Roman" w:cs="Times New Roman" w:eastAsia="Times New Roman" w:hAnsi="Times New Roman"/>
          <w:sz w:val="17"/>
          <w:szCs w:val="17"/>
          <w:u w:val="single" w:color="auto"/>
          <w:color w:val="auto"/>
        </w:rPr>
        <w:t>Limitation of Liability of Trustee</w:t>
      </w:r>
      <w:r>
        <w:rPr>
          <w:rFonts w:ascii="Times New Roman" w:cs="Times New Roman" w:eastAsia="Times New Roman" w:hAnsi="Times New Roman"/>
          <w:sz w:val="17"/>
          <w:szCs w:val="17"/>
          <w:color w:val="auto"/>
        </w:rPr>
        <w:t>. The Trust is a Delaware statutory trust and a separate legal entity under the Delaware Statutory Trust Act and pursuant to such act a trustee, when acting in such capacity, is not personally liable to any person (other than the statutory trust or any beneficial owner thereof) for any act, omission or obligation of a statutory trust. In furtherance thereof, the parties hereto are put on notice and hereby acknowledge and agree that (a) this Agreement is executed and delivered by The Bank of New York Mellon (“</w:t>
      </w:r>
      <w:r>
        <w:rPr>
          <w:rFonts w:ascii="Times New Roman" w:cs="Times New Roman" w:eastAsia="Times New Roman" w:hAnsi="Times New Roman"/>
          <w:sz w:val="17"/>
          <w:szCs w:val="17"/>
          <w:u w:val="single" w:color="auto"/>
          <w:color w:val="auto"/>
        </w:rPr>
        <w:t>Bank</w:t>
      </w:r>
      <w:r>
        <w:rPr>
          <w:rFonts w:ascii="Times New Roman" w:cs="Times New Roman" w:eastAsia="Times New Roman" w:hAnsi="Times New Roman"/>
          <w:sz w:val="17"/>
          <w:szCs w:val="17"/>
          <w:color w:val="auto"/>
        </w:rPr>
        <w:t>”), not individually or personally but solely as Trustee of the Trust, in the exercise of the powers and authority conferred and vested in it, (b) each of the representations, undertakings and agreements herein made on the part of the Trust is made and intended not as personal representations, undertakings and agreements by Bank but is made and intended for the purpose of binding only the Trust, (c) nothing herein contained shall be construed as creating any liability on Bank, individually or personally, to perform any covenant either expressed or implied contained herein of the Trust, all such liability, if any, being expressly waived by the parties hereto and by any Person claiming by, through or under the parties hereto, (d) Bank has made no investigation as to the accuracy or completeness of any recitals, representations and warranties or statements made by the Trust in this Agreement and (e) under no circumstances shall Bank be personally liable for the payment of any indebtedness or expenses of the Trust or be liable for the breach or failure of any obligation, representation, warranty or covenant made or undertaken by the Trust under this Agreement or any other related documents. Further, any actions the Trustee takes with respect to the Trust will be taken only to the extent appropriate authorization or direction is provided to the Trustee pursuant to the terms of the Trust Agreement of the Trust and absent appropriate direction the Trustee will have the express right to take no action on behalf of the Trust regardless of consequences.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00"/>
          </w:cols>
          <w:pgMar w:left="240" w:top="262" w:right="2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IN WITNESS WHEREOF, the parties to this Agreement have duly executed this Agreement as of the date first written above.</w:t>
      </w: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LTD SUB A</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13970</wp:posOffset>
            </wp:positionV>
            <wp:extent cx="27247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Matthieu Bucaille</w:t>
      </w:r>
    </w:p>
    <w:p>
      <w:pPr>
        <w:spacing w:after="0" w:line="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Manager</w:t>
      </w:r>
    </w:p>
    <w:p>
      <w:pPr>
        <w:spacing w:after="0" w:line="19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LTD SUB B</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 /s/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13970</wp:posOffset>
            </wp:positionV>
            <wp:extent cx="27247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Scott D. Hoffman</w:t>
      </w:r>
    </w:p>
    <w:p>
      <w:pPr>
        <w:spacing w:after="0" w:line="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Secretary</w:t>
      </w:r>
    </w:p>
    <w:p>
      <w:pPr>
        <w:spacing w:after="0" w:line="19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LTBP TRUST</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By: The Bank of New York Mellon, not in its individual capacity</w:t>
      </w:r>
    </w:p>
    <w:p>
      <w:pPr>
        <w:spacing w:after="0" w:line="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but solely as trustee</w:t>
      </w:r>
    </w:p>
    <w:p>
      <w:pPr>
        <w:spacing w:after="0" w:line="19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 /s/ Stacey B.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13970</wp:posOffset>
            </wp:positionV>
            <wp:extent cx="27247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24785" cy="825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Stacey B. Poindexter</w:t>
      </w:r>
    </w:p>
    <w:p>
      <w:pPr>
        <w:spacing w:after="0" w:line="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Vice President</w:t>
      </w:r>
    </w:p>
    <w:p>
      <w:pPr>
        <w:sectPr>
          <w:pgSz w:w="11900" w:h="16838" w:orient="portrait"/>
          <w:cols w:equalWidth="0" w:num="1">
            <w:col w:w="10780"/>
          </w:cols>
          <w:pgMar w:left="700" w:top="261" w:right="4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10.27</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139065</wp:posOffset>
            </wp:positionV>
            <wp:extent cx="72561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614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163195</wp:posOffset>
            </wp:positionV>
            <wp:extent cx="72561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3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$150,000,000</w:t>
      </w:r>
    </w:p>
    <w:p>
      <w:pPr>
        <w:spacing w:after="0" w:line="16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AMENDED AND RESTATED CREDIT AGREEMENT</w:t>
      </w:r>
    </w:p>
    <w:p>
      <w:pPr>
        <w:spacing w:after="0" w:line="16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among</w:t>
      </w:r>
    </w:p>
    <w:p>
      <w:pPr>
        <w:spacing w:after="0" w:line="16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LAZARD GROUP LLC,</w:t>
      </w:r>
    </w:p>
    <w:p>
      <w:pPr>
        <w:spacing w:after="0" w:line="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as Borrower,</w:t>
      </w:r>
    </w:p>
    <w:p>
      <w:pPr>
        <w:spacing w:after="0" w:line="15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The Several Banks from Time to Time Parties Hereto,</w:t>
      </w:r>
    </w:p>
    <w:p>
      <w:pPr>
        <w:spacing w:after="0" w:line="1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and</w:t>
      </w:r>
    </w:p>
    <w:p>
      <w:pPr>
        <w:spacing w:after="0" w:line="1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CITIBANK, N.A.,</w:t>
      </w:r>
    </w:p>
    <w:p>
      <w:pPr>
        <w:spacing w:after="0" w:line="3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as Administrative Agent</w:t>
      </w:r>
    </w:p>
    <w:p>
      <w:pPr>
        <w:spacing w:after="0" w:line="15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Dated as of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139065</wp:posOffset>
            </wp:positionV>
            <wp:extent cx="72561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614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170815</wp:posOffset>
            </wp:positionV>
            <wp:extent cx="72561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40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CITIGROUP GLOBAL MARKETS INC.,</w:t>
      </w:r>
    </w:p>
    <w:p>
      <w:pPr>
        <w:spacing w:after="0" w:line="3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as Lead Arranger and Bookrunner</w:t>
      </w:r>
    </w:p>
    <w:p>
      <w:pPr>
        <w:sectPr>
          <w:pgSz w:w="11900" w:h="16838" w:orient="portrait"/>
          <w:cols w:equalWidth="0" w:num="1">
            <w:col w:w="10220"/>
          </w:cols>
          <w:pgMar w:left="1440" w:top="123"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0" w:type="dxa"/>
            <w:vAlign w:val="bottom"/>
            <w:gridSpan w:val="2"/>
          </w:tcPr>
          <w:p>
            <w:pPr>
              <w:jc w:val="right"/>
              <w:ind w:right="4728"/>
              <w:spacing w:after="0"/>
              <w:rPr>
                <w:sz w:val="20"/>
                <w:szCs w:val="20"/>
                <w:color w:val="auto"/>
              </w:rPr>
            </w:pPr>
            <w:r>
              <w:rPr>
                <w:rFonts w:ascii="Times New Roman" w:cs="Times New Roman" w:eastAsia="Times New Roman" w:hAnsi="Times New Roman"/>
                <w:sz w:val="16"/>
                <w:szCs w:val="16"/>
                <w:color w:val="auto"/>
              </w:rPr>
              <w:t>TABLE OF CONTENTS</w:t>
            </w:r>
          </w:p>
        </w:tc>
        <w:tc>
          <w:tcPr>
            <w:tcW w:w="0" w:type="dxa"/>
            <w:vAlign w:val="bottom"/>
          </w:tcPr>
          <w:p>
            <w:pPr>
              <w:spacing w:after="0"/>
              <w:rPr>
                <w:sz w:val="1"/>
                <w:szCs w:val="1"/>
                <w:color w:val="auto"/>
              </w:rPr>
            </w:pPr>
          </w:p>
        </w:tc>
      </w:tr>
      <w:tr>
        <w:trPr>
          <w:trHeight w:val="516"/>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SECTION 1. DEFINITIONS</w:t>
            </w:r>
          </w:p>
        </w:tc>
        <w:tc>
          <w:tcPr>
            <w:tcW w:w="63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81"/>
        </w:trPr>
        <w:tc>
          <w:tcPr>
            <w:tcW w:w="4740" w:type="dxa"/>
            <w:vAlign w:val="bottom"/>
            <w:gridSpan w:val="2"/>
            <w:vMerge w:val="continue"/>
          </w:tcPr>
          <w:p>
            <w:pPr>
              <w:spacing w:after="0"/>
              <w:rPr>
                <w:sz w:val="15"/>
                <w:szCs w:val="15"/>
                <w:color w:val="auto"/>
              </w:rPr>
            </w:pPr>
          </w:p>
        </w:tc>
        <w:tc>
          <w:tcPr>
            <w:tcW w:w="6340" w:type="dxa"/>
            <w:vAlign w:val="bottom"/>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Defined Terms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Definitional Provisions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90"/>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 AMOUNT AND TERMS OF LOAN COMMITMENTS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2.2</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2.3</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Rates and Interest Payment Dates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2.4</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2.5</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Computation of Interest and Fees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2.6</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Procedure for Borrowing</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2.7</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Conversion and Continuation Options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2.8</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Termination or Reduction of Commitments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2.9</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Optional Prepayments of Loans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2.10</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 Rata Treatment and Payments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2.11</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Non-Receipt of Funds by the Administrative Agent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2.12</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Indemnity</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2.13</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Adequacy</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2.14</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Inability to Determine Interest Rate</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2.15</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Illegality</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2.16</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Requirements of Law</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2.17</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2.18</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 Reductions and Mandatory Prepayments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2.19</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Defaulting Lender</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2.20</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Mitigation Obligations; Replacement of Lenders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02"/>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 RESERVED</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02"/>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4. REPRESENTATIONS AND WARRANTIES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90"/>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Condition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4.2</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Material Adverse Effect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4.3</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Existence; Compliance with Law</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4.4</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Power; Authorization; Enforceable Obligations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4.5</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Legal Bar</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4.6</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Material Litigation</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4.7</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Default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4.8</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Ownership of Property; Liens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4.9</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4.10</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Federal Regulations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4.11</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ERISA</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4.12</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Company Act</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4.13</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Significant Subsidiaries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4.14</w:t>
            </w:r>
          </w:p>
        </w:tc>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Accuracy of Information, etc.</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6"/>
          <w:szCs w:val="16"/>
          <w:color w:val="auto"/>
        </w:rPr>
        <w:t>- i -</w:t>
      </w:r>
    </w:p>
    <w:p>
      <w:pPr>
        <w:sectPr>
          <w:pgSz w:w="11900" w:h="16838" w:orient="portrait"/>
          <w:cols w:equalWidth="0" w:num="1">
            <w:col w:w="11340"/>
          </w:cols>
          <w:pgMar w:left="240" w:top="265" w:right="3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51"/>
        </w:trPr>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4.15</w:t>
            </w:r>
          </w:p>
        </w:tc>
        <w:tc>
          <w:tcPr>
            <w:tcW w:w="10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Use of Proceeds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81"/>
        </w:trPr>
        <w:tc>
          <w:tcPr>
            <w:tcW w:w="800" w:type="dxa"/>
            <w:vAlign w:val="bottom"/>
            <w:vMerge w:val="continue"/>
          </w:tcPr>
          <w:p>
            <w:pPr>
              <w:spacing w:after="0"/>
              <w:rPr>
                <w:sz w:val="15"/>
                <w:szCs w:val="15"/>
                <w:color w:val="auto"/>
              </w:rPr>
            </w:pPr>
          </w:p>
        </w:tc>
        <w:tc>
          <w:tcPr>
            <w:tcW w:w="1028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4.16</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Sanctions, OFAC and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90"/>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5. CONDITIONS PRECEDENT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5.1</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Conditions of Initial Loans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5.2</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Conditions to All Loans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90"/>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6. AFFIRMATIVE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6.1</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6.2</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Certificates; Other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6.3</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Conduct of Business and Maintenance of Existence; Compliance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6.4</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of Property; Insurance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6.5</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Inspection of Property; Books and Records; Discussions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6.6</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90"/>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 NEGATIVE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7.1</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Condition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7.2</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Limitation on Indebtedness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7.3</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Limitation on 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7.4</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Limitation on Fundamental Changes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7.5</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7.6</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7.7</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Clauses Restricting Subsidiary Distributions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7.8</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7.9</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Disposition of Designated Subsidiaries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02"/>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 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02"/>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 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02"/>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 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90"/>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 THE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11.1</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Appointment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11.2</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Delegation of Duties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11.3</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Exculpatory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11.4</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Reliance by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11.5</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11.6</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Non-Reliance on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11.7</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Indemnification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11.8</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Agent in Its Individual Capacity</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11.9</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Successor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90"/>
        </w:trPr>
        <w:tc>
          <w:tcPr>
            <w:tcW w:w="1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12. 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Amendments and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1"/>
        </w:trPr>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12.2</w:t>
            </w:r>
          </w:p>
        </w:tc>
        <w:tc>
          <w:tcPr>
            <w:tcW w:w="10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4"/>
        </w:trPr>
        <w:tc>
          <w:tcPr>
            <w:tcW w:w="110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12.3   No Waiver; Cumulative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6"/>
          <w:szCs w:val="16"/>
          <w:color w:val="auto"/>
        </w:rPr>
        <w:t>- ii -</w:t>
      </w:r>
    </w:p>
    <w:p>
      <w:pPr>
        <w:sectPr>
          <w:pgSz w:w="11900" w:h="16838" w:orient="portrait"/>
          <w:cols w:equalWidth="0" w:num="1">
            <w:col w:w="11340"/>
          </w:cols>
          <w:pgMar w:left="240" w:top="265" w:right="3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51"/>
        </w:trPr>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12.4</w:t>
            </w:r>
          </w:p>
        </w:tc>
        <w:tc>
          <w:tcPr>
            <w:tcW w:w="10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Survival of Representations and Warranties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81"/>
        </w:trPr>
        <w:tc>
          <w:tcPr>
            <w:tcW w:w="1000" w:type="dxa"/>
            <w:vAlign w:val="bottom"/>
            <w:vMerge w:val="continue"/>
          </w:tcPr>
          <w:p>
            <w:pPr>
              <w:spacing w:after="0"/>
              <w:rPr>
                <w:sz w:val="15"/>
                <w:szCs w:val="15"/>
                <w:color w:val="auto"/>
              </w:rPr>
            </w:pPr>
          </w:p>
        </w:tc>
        <w:tc>
          <w:tcPr>
            <w:tcW w:w="10080" w:type="dxa"/>
            <w:vAlign w:val="bottom"/>
            <w:gridSpan w:val="2"/>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1"/>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12.5</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of Expenses and Taxes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1"/>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12.6</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Confidentiality</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1"/>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12.7</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Successors and Assigns; Participations and Assignments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7"/>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12.8</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 Right of Setoff</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5"/>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12.9</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WAIVERS OF JURY TRIAL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1"/>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12.10</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Submission to Jurisdiction;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7"/>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Counterparts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5"/>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12.12</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Governing Law</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1"/>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12.13</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USA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4"/>
        </w:trPr>
        <w:tc>
          <w:tcPr>
            <w:tcW w:w="1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12.14</w:t>
            </w: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Amendment and Restatement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9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SCHEDULES:</w:t>
            </w:r>
          </w:p>
        </w:tc>
        <w:tc>
          <w:tcPr>
            <w:tcW w:w="4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Schedule 1.1A</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Schedule 1.1B</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Rating Agencies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Schedule 7.2</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Existing Indebtedness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EXHIBITS:</w:t>
            </w:r>
          </w:p>
        </w:tc>
        <w:tc>
          <w:tcPr>
            <w:tcW w:w="4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Revolving Credit Note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B-1</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Opinion of Cravath, Swaine &amp; Moore LLP, Counsel to the 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B-2</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Opinion of General Counsel to the Company</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B-3</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Opinion of Wilmer Cutler Pickering Hale and Dorr LLP</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C</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Assignment and Assumption</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D</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Compliance Certificate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Exhibit E</w:t>
            </w: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Form of U.S. Tax Compliance Certificate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6"/>
          <w:szCs w:val="16"/>
          <w:color w:val="auto"/>
        </w:rPr>
        <w:t>- iii -</w:t>
      </w:r>
    </w:p>
    <w:p>
      <w:pPr>
        <w:sectPr>
          <w:pgSz w:w="11900" w:h="16838" w:orient="portrait"/>
          <w:cols w:equalWidth="0" w:num="1">
            <w:col w:w="11340"/>
          </w:cols>
          <w:pgMar w:left="240" w:top="265" w:right="319" w:bottom="1440" w:gutter="0" w:footer="0" w:header="0"/>
        </w:sectPr>
      </w:pPr>
    </w:p>
    <w:bookmarkStart w:id="156" w:name="page157"/>
    <w:bookmarkEnd w:id="156"/>
    <w:p>
      <w:pPr>
        <w:ind w:right="160" w:firstLine="914"/>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AMENDED AND RESTATED CREDIT AGREEMENT, dated as of September 25, 2015, among LAZARD GROUP LLC, a Delaware limited liability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the several Banks, financial institutions, or other entities from time to time parties hereto, and CITIBANK, N.A., a national banking association (“</w:t>
      </w:r>
      <w:r>
        <w:rPr>
          <w:rFonts w:ascii="Times New Roman" w:cs="Times New Roman" w:eastAsia="Times New Roman" w:hAnsi="Times New Roman"/>
          <w:sz w:val="16"/>
          <w:szCs w:val="16"/>
          <w:u w:val="single" w:color="auto"/>
          <w:color w:val="auto"/>
        </w:rPr>
        <w:t>Citibank</w:t>
      </w:r>
      <w:r>
        <w:rPr>
          <w:rFonts w:ascii="Times New Roman" w:cs="Times New Roman" w:eastAsia="Times New Roman" w:hAnsi="Times New Roman"/>
          <w:sz w:val="16"/>
          <w:szCs w:val="16"/>
          <w:color w:val="auto"/>
        </w:rPr>
        <w:t>”), as administrative agent for the Banks hereunder.</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W I T N E S S E T H</w:t>
      </w:r>
      <w:r>
        <w:rPr>
          <w:rFonts w:ascii="Times New Roman" w:cs="Times New Roman" w:eastAsia="Times New Roman" w:hAnsi="Times New Roman"/>
          <w:sz w:val="16"/>
          <w:szCs w:val="16"/>
          <w:color w:val="auto"/>
        </w:rPr>
        <w:t xml:space="preserve"> :</w:t>
      </w:r>
    </w:p>
    <w:p>
      <w:pPr>
        <w:spacing w:after="0" w:line="168" w:lineRule="exact"/>
        <w:rPr>
          <w:sz w:val="20"/>
          <w:szCs w:val="20"/>
          <w:color w:val="auto"/>
        </w:rPr>
      </w:pPr>
    </w:p>
    <w:p>
      <w:pPr>
        <w:ind w:firstLine="914"/>
        <w:spacing w:after="0" w:line="282" w:lineRule="auto"/>
        <w:rPr>
          <w:sz w:val="20"/>
          <w:szCs w:val="20"/>
          <w:color w:val="auto"/>
        </w:rPr>
      </w:pPr>
      <w:r>
        <w:rPr>
          <w:rFonts w:ascii="Times New Roman" w:cs="Times New Roman" w:eastAsia="Times New Roman" w:hAnsi="Times New Roman"/>
          <w:sz w:val="16"/>
          <w:szCs w:val="16"/>
          <w:color w:val="auto"/>
        </w:rPr>
        <w:t>WHEREAS, the Company entered into that certain Credit Agreement, dated as of September 25, 2012, between the Company, the Administrative Agent and the several banks from time to time parties thereto (the “</w:t>
      </w:r>
      <w:r>
        <w:rPr>
          <w:rFonts w:ascii="Times New Roman" w:cs="Times New Roman" w:eastAsia="Times New Roman" w:hAnsi="Times New Roman"/>
          <w:sz w:val="16"/>
          <w:szCs w:val="16"/>
          <w:u w:val="single" w:color="auto"/>
          <w:color w:val="auto"/>
        </w:rPr>
        <w:t>Existing Lenders”)</w:t>
      </w:r>
      <w:r>
        <w:rPr>
          <w:rFonts w:ascii="Times New Roman" w:cs="Times New Roman" w:eastAsia="Times New Roman" w:hAnsi="Times New Roman"/>
          <w:sz w:val="16"/>
          <w:szCs w:val="16"/>
          <w:color w:val="auto"/>
        </w:rPr>
        <w:t xml:space="preserve"> (as amended, supplemented or modified from time to time prior to the date hereof, the “</w:t>
      </w:r>
      <w:r>
        <w:rPr>
          <w:rFonts w:ascii="Times New Roman" w:cs="Times New Roman" w:eastAsia="Times New Roman" w:hAnsi="Times New Roman"/>
          <w:sz w:val="16"/>
          <w:szCs w:val="16"/>
          <w:u w:val="single" w:color="auto"/>
          <w:color w:val="auto"/>
        </w:rPr>
        <w:t>Original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 and</w:t>
      </w:r>
    </w:p>
    <w:p>
      <w:pPr>
        <w:spacing w:after="0" w:line="107" w:lineRule="exact"/>
        <w:rPr>
          <w:sz w:val="20"/>
          <w:szCs w:val="20"/>
          <w:color w:val="auto"/>
        </w:rPr>
      </w:pPr>
    </w:p>
    <w:p>
      <w:pPr>
        <w:ind w:right="440" w:firstLine="914"/>
        <w:spacing w:after="0" w:line="282" w:lineRule="auto"/>
        <w:rPr>
          <w:sz w:val="20"/>
          <w:szCs w:val="20"/>
          <w:color w:val="auto"/>
        </w:rPr>
      </w:pPr>
      <w:r>
        <w:rPr>
          <w:rFonts w:ascii="Times New Roman" w:cs="Times New Roman" w:eastAsia="Times New Roman" w:hAnsi="Times New Roman"/>
          <w:sz w:val="16"/>
          <w:szCs w:val="16"/>
          <w:color w:val="auto"/>
        </w:rPr>
        <w:t>WHEREAS, subject to and on the terms and conditions set forth herein, the parties thereto wish to amend and restate the Original Credit Agreement in its entirety upon the terms and conditions set forth herein, with the Original Credit Agreement, as so amended and restated, and as may be further amended, restated, supplemented or otherwise modified, being hereinafter referred to as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both"/>
        <w:ind w:right="400" w:firstLine="914"/>
        <w:spacing w:after="0" w:line="282" w:lineRule="auto"/>
        <w:rPr>
          <w:sz w:val="20"/>
          <w:szCs w:val="20"/>
          <w:color w:val="auto"/>
        </w:rPr>
      </w:pPr>
      <w:r>
        <w:rPr>
          <w:rFonts w:ascii="Times New Roman" w:cs="Times New Roman" w:eastAsia="Times New Roman" w:hAnsi="Times New Roman"/>
          <w:sz w:val="16"/>
          <w:szCs w:val="16"/>
          <w:color w:val="auto"/>
        </w:rPr>
        <w:t>NOW, THEREFORE, in consideration of the premises and the mutual covenants contained herein, the Existing Lenders, the Administrative Agent and the Company agree that the Original Credit Agreement is hereby amended and restated as of the Restatement Effective Date (as hereinafter defined) to read in its entirety as follows, and the several other Banks agree to enter into this Agreement as follows:</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1. DEFINITIONS</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As used in this Agreement, the following terms have the following meanings:</w:t>
      </w:r>
    </w:p>
    <w:p>
      <w:pPr>
        <w:spacing w:after="0" w:line="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the Securities and Exchange Act of 1934, as amended from time to time.</w:t>
      </w:r>
    </w:p>
    <w:p>
      <w:pPr>
        <w:spacing w:after="0" w:line="93" w:lineRule="exact"/>
        <w:rPr>
          <w:sz w:val="20"/>
          <w:szCs w:val="20"/>
          <w:color w:val="auto"/>
        </w:rPr>
      </w:pPr>
    </w:p>
    <w:p>
      <w:pPr>
        <w:ind w:left="460" w:right="2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Additional Assets</w:t>
      </w:r>
      <w:r>
        <w:rPr>
          <w:rFonts w:ascii="Times New Roman" w:cs="Times New Roman" w:eastAsia="Times New Roman" w:hAnsi="Times New Roman"/>
          <w:sz w:val="16"/>
          <w:szCs w:val="16"/>
          <w:color w:val="auto"/>
        </w:rPr>
        <w:t>”: Capital Stock of an entity primarily engaged in or related to, or property used or useful in, the investment banking or asset management businesses engaged in by the Company on the date hereof.</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Adjustment Date</w:t>
      </w:r>
      <w:r>
        <w:rPr>
          <w:rFonts w:ascii="Times New Roman" w:cs="Times New Roman" w:eastAsia="Times New Roman" w:hAnsi="Times New Roman"/>
          <w:sz w:val="16"/>
          <w:szCs w:val="16"/>
          <w:color w:val="auto"/>
        </w:rPr>
        <w:t>”: as defined in the Pricing Grid.</w:t>
      </w:r>
    </w:p>
    <w:p>
      <w:pPr>
        <w:spacing w:after="0" w:line="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Citibank, in its capacity as administrative agent for the Banks hereunder, and its successors in such capacity.</w:t>
      </w:r>
    </w:p>
    <w:p>
      <w:pPr>
        <w:spacing w:after="0" w:line="93" w:lineRule="exact"/>
        <w:rPr>
          <w:sz w:val="20"/>
          <w:szCs w:val="20"/>
          <w:color w:val="auto"/>
        </w:rPr>
      </w:pPr>
    </w:p>
    <w:p>
      <w:pPr>
        <w:jc w:val="both"/>
        <w:ind w:left="460" w:right="12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as defined in the Preamble.</w:t>
      </w:r>
    </w:p>
    <w:p>
      <w:pPr>
        <w:sectPr>
          <w:pgSz w:w="11900" w:h="16838" w:orient="portrait"/>
          <w:cols w:equalWidth="0" w:num="1">
            <w:col w:w="11420"/>
          </w:cols>
          <w:pgMar w:left="240" w:top="265" w:right="239" w:bottom="1440" w:gutter="0" w:footer="0" w:header="0"/>
        </w:sectPr>
      </w:pPr>
    </w:p>
    <w:bookmarkStart w:id="157" w:name="page158"/>
    <w:bookmarkEnd w:id="157"/>
    <w:p>
      <w:pPr>
        <w:ind w:left="442"/>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Applicable Margin</w:t>
      </w:r>
      <w:r>
        <w:rPr>
          <w:rFonts w:ascii="Times New Roman" w:cs="Times New Roman" w:eastAsia="Times New Roman" w:hAnsi="Times New Roman"/>
          <w:sz w:val="16"/>
          <w:szCs w:val="16"/>
          <w:color w:val="auto"/>
        </w:rPr>
        <w:t>”: the Applicable Margin will be determined in accordance with the Pricing Grid.</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as defined in Section 12.7(b)(i).</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an agreement substantially in the form of Exhibit C.</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Available Commitment</w:t>
      </w:r>
      <w:r>
        <w:rPr>
          <w:rFonts w:ascii="Times New Roman" w:cs="Times New Roman" w:eastAsia="Times New Roman" w:hAnsi="Times New Roman"/>
          <w:sz w:val="16"/>
          <w:szCs w:val="16"/>
          <w:color w:val="auto"/>
        </w:rPr>
        <w:t>”: as to each Bank, at a particular time, an amount equal to the difference between (a) the amount of such Bank’s Commitment and</w:t>
      </w:r>
    </w:p>
    <w:p>
      <w:pPr>
        <w:spacing w:after="0" w:line="30" w:lineRule="exact"/>
        <w:rPr>
          <w:sz w:val="20"/>
          <w:szCs w:val="20"/>
          <w:color w:val="auto"/>
        </w:rPr>
      </w:pPr>
    </w:p>
    <w:p>
      <w:pPr>
        <w:ind w:left="2" w:right="40" w:hanging="2"/>
        <w:spacing w:after="0" w:line="285" w:lineRule="auto"/>
        <w:tabs>
          <w:tab w:leader="none" w:pos="23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outstanding principal amount of Loans made by such Bank (after giving effect to any simultaneous repayment of Loans at such time); collectively, as to the Banks, the “Available Commitments”.</w:t>
      </w:r>
    </w:p>
    <w:p>
      <w:pPr>
        <w:spacing w:after="0" w:line="29" w:lineRule="exact"/>
        <w:rPr>
          <w:sz w:val="20"/>
          <w:szCs w:val="20"/>
          <w:color w:val="auto"/>
        </w:rPr>
      </w:pPr>
    </w:p>
    <w:p>
      <w:pPr>
        <w:ind w:left="2"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Banks</w:t>
      </w:r>
      <w:r>
        <w:rPr>
          <w:rFonts w:ascii="Times New Roman" w:cs="Times New Roman" w:eastAsia="Times New Roman" w:hAnsi="Times New Roman"/>
          <w:sz w:val="16"/>
          <w:szCs w:val="16"/>
          <w:color w:val="auto"/>
        </w:rPr>
        <w:t>”: Citibank, State Street Bank and Trust Company, The Bank of New York Mellon, HSBC Bank USA, N.A., and The Northern Trust Company, as parties to this Agreement, and permitted assignees pursuant to subsection 12.7 (individually, a “</w:t>
      </w:r>
      <w:r>
        <w:rPr>
          <w:rFonts w:ascii="Times New Roman" w:cs="Times New Roman" w:eastAsia="Times New Roman" w:hAnsi="Times New Roman"/>
          <w:sz w:val="16"/>
          <w:szCs w:val="16"/>
          <w:u w:val="single" w:color="auto"/>
          <w:color w:val="auto"/>
        </w:rPr>
        <w:t>Bank</w:t>
      </w:r>
      <w:r>
        <w:rPr>
          <w:rFonts w:ascii="Times New Roman" w:cs="Times New Roman" w:eastAsia="Times New Roman" w:hAnsi="Times New Roman"/>
          <w:sz w:val="16"/>
          <w:szCs w:val="16"/>
          <w:color w:val="auto"/>
        </w:rPr>
        <w:t>”).</w:t>
      </w:r>
    </w:p>
    <w:p>
      <w:pPr>
        <w:spacing w:after="0" w:line="17" w:lineRule="exact"/>
        <w:rPr>
          <w:sz w:val="20"/>
          <w:szCs w:val="20"/>
          <w:color w:val="auto"/>
        </w:rPr>
      </w:pPr>
    </w:p>
    <w:p>
      <w:pPr>
        <w:ind w:left="2" w:right="120"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Base Rate</w:t>
      </w:r>
      <w:r>
        <w:rPr>
          <w:rFonts w:ascii="Times New Roman" w:cs="Times New Roman" w:eastAsia="Times New Roman" w:hAnsi="Times New Roman"/>
          <w:sz w:val="16"/>
          <w:szCs w:val="16"/>
          <w:color w:val="auto"/>
        </w:rPr>
        <w:t>”: for any day, a fluctuating rate per annum equal to the highest of (a) the Fed Rate in effect on such day plus 1/2 of 1.00%, (b) the rate of interest in effect for such day as publicly announced from time to time by the Administrative Agent as its prime rate, and (c) the Eurodollar Rate for a Loan denominated in Dollars with an Interest Period of one month commencing on such day plus 1.00%. For the purposes of clause (b) above,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42"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Base Rate Loan</w:t>
      </w:r>
      <w:r>
        <w:rPr>
          <w:rFonts w:ascii="Times New Roman" w:cs="Times New Roman" w:eastAsia="Times New Roman" w:hAnsi="Times New Roman"/>
          <w:sz w:val="16"/>
          <w:szCs w:val="16"/>
          <w:color w:val="auto"/>
        </w:rPr>
        <w:t>”: a Loan that bears interest based on the Base Rate.</w:t>
      </w:r>
    </w:p>
    <w:p>
      <w:pPr>
        <w:spacing w:after="0" w:line="93" w:lineRule="exact"/>
        <w:rPr>
          <w:sz w:val="20"/>
          <w:szCs w:val="20"/>
          <w:color w:val="auto"/>
        </w:rPr>
      </w:pPr>
    </w:p>
    <w:p>
      <w:pPr>
        <w:ind w:left="2" w:right="2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Basel III</w:t>
      </w:r>
      <w:r>
        <w:rPr>
          <w:rFonts w:ascii="Times New Roman" w:cs="Times New Roman" w:eastAsia="Times New Roman" w:hAnsi="Times New Roman"/>
          <w:sz w:val="16"/>
          <w:szCs w:val="16"/>
          <w:color w:val="auto"/>
        </w:rPr>
        <w:t>”: the consultative papers of The Basel Committee on Banking Supervision of December 2009 entitled “Strengthening the resilience of the banking sector” and “International framework for liquidity risk measurement, standards and monitoring”, in each case together with any amendments thereto.</w:t>
      </w:r>
    </w:p>
    <w:p>
      <w:pPr>
        <w:spacing w:after="0" w:line="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Benefited Bank</w:t>
      </w:r>
      <w:r>
        <w:rPr>
          <w:rFonts w:ascii="Times New Roman" w:cs="Times New Roman" w:eastAsia="Times New Roman" w:hAnsi="Times New Roman"/>
          <w:sz w:val="16"/>
          <w:szCs w:val="16"/>
          <w:color w:val="auto"/>
        </w:rPr>
        <w:t>”: as defined in Section 12.8(a).</w:t>
      </w:r>
    </w:p>
    <w:p>
      <w:pPr>
        <w:spacing w:after="0" w:line="93" w:lineRule="exact"/>
        <w:rPr>
          <w:sz w:val="20"/>
          <w:szCs w:val="20"/>
          <w:color w:val="auto"/>
        </w:rPr>
      </w:pPr>
    </w:p>
    <w:p>
      <w:pPr>
        <w:ind w:left="2" w:right="38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the Board of Governors of the Federal Reserve System, or any successor entity to the functions of the Board of Governors of the Federal Reserve System.</w:t>
      </w:r>
    </w:p>
    <w:p>
      <w:pPr>
        <w:spacing w:after="0" w:line="17" w:lineRule="exact"/>
        <w:rPr>
          <w:sz w:val="20"/>
          <w:szCs w:val="20"/>
          <w:color w:val="auto"/>
        </w:rPr>
      </w:pPr>
    </w:p>
    <w:p>
      <w:pPr>
        <w:ind w:left="2" w:firstLine="439"/>
        <w:spacing w:after="0" w:line="301" w:lineRule="auto"/>
        <w:rPr>
          <w:sz w:val="20"/>
          <w:szCs w:val="20"/>
          <w:color w:val="auto"/>
        </w:rPr>
      </w:pP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80"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62"/>
          </w:cols>
          <w:pgMar w:left="698" w:top="266" w:right="239" w:bottom="1440" w:gutter="0" w:footer="0" w:header="0"/>
        </w:sectPr>
      </w:pPr>
    </w:p>
    <w:bookmarkStart w:id="158" w:name="page159"/>
    <w:bookmarkEnd w:id="158"/>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Borrowing Date</w:t>
      </w:r>
      <w:r>
        <w:rPr>
          <w:rFonts w:ascii="Times New Roman" w:cs="Times New Roman" w:eastAsia="Times New Roman" w:hAnsi="Times New Roman"/>
          <w:sz w:val="16"/>
          <w:szCs w:val="16"/>
          <w:color w:val="auto"/>
        </w:rPr>
        <w:t>”: any Business Day on which the Banks make Loans hereunder, as specified in a notice pursuant to Section 2.6 or Section 2.7.</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Broker-Dealer Indebtedness</w:t>
      </w:r>
      <w:r>
        <w:rPr>
          <w:rFonts w:ascii="Times New Roman" w:cs="Times New Roman" w:eastAsia="Times New Roman" w:hAnsi="Times New Roman"/>
          <w:sz w:val="16"/>
          <w:szCs w:val="16"/>
          <w:color w:val="auto"/>
        </w:rPr>
        <w:t>”: Indebtedness of the Subsidiaries of the Company which are registered broker-dealers.</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Combination</w:t>
      </w:r>
      <w:r>
        <w:rPr>
          <w:rFonts w:ascii="Times New Roman" w:cs="Times New Roman" w:eastAsia="Times New Roman" w:hAnsi="Times New Roman"/>
          <w:sz w:val="16"/>
          <w:szCs w:val="16"/>
          <w:color w:val="auto"/>
        </w:rPr>
        <w:t>”: as defined in Section 7.4.</w:t>
      </w:r>
    </w:p>
    <w:p>
      <w:pPr>
        <w:spacing w:after="0" w:line="93" w:lineRule="exact"/>
        <w:rPr>
          <w:sz w:val="20"/>
          <w:szCs w:val="20"/>
          <w:color w:val="auto"/>
        </w:rPr>
      </w:pPr>
    </w:p>
    <w:p>
      <w:pPr>
        <w:ind w:right="6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xml:space="preserve">”: a day other than a Saturday, Sunday or other day on which commercial banks in New York City are authorized or required by law to close;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38" w:lineRule="exact"/>
        <w:rPr>
          <w:sz w:val="20"/>
          <w:szCs w:val="20"/>
          <w:color w:val="auto"/>
        </w:rPr>
      </w:pPr>
    </w:p>
    <w:p>
      <w:pPr>
        <w:ind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Lease Obligations</w:t>
      </w:r>
      <w:r>
        <w:rPr>
          <w:rFonts w:ascii="Times New Roman" w:cs="Times New Roman" w:eastAsia="Times New Roman" w:hAnsi="Times New Roman"/>
          <w:sz w:val="16"/>
          <w:szCs w:val="16"/>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Notwithstanding the foregoing, all leases of any Person that are treated as operating leases for purposes of GAAP on the Restatement Effective Date shall continue to be accounted for as operating leases (and not as capital leases) for purposes of this Agreement regardless of any change to GAAP following the Restatement Effective Date which would otherwise require such leases to be treated as capital leases.</w:t>
      </w:r>
    </w:p>
    <w:p>
      <w:pPr>
        <w:spacing w:after="0" w:line="42" w:lineRule="exact"/>
        <w:rPr>
          <w:sz w:val="20"/>
          <w:szCs w:val="20"/>
          <w:color w:val="auto"/>
        </w:rPr>
      </w:pPr>
    </w:p>
    <w:p>
      <w:pPr>
        <w:ind w:right="18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Stock</w:t>
      </w:r>
      <w:r>
        <w:rPr>
          <w:rFonts w:ascii="Times New Roman" w:cs="Times New Roman" w:eastAsia="Times New Roman" w:hAnsi="Times New Roman"/>
          <w:sz w:val="16"/>
          <w:szCs w:val="16"/>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w:t>
      </w:r>
    </w:p>
    <w:p>
      <w:pPr>
        <w:spacing w:after="0" w:line="17" w:lineRule="exact"/>
        <w:rPr>
          <w:sz w:val="20"/>
          <w:szCs w:val="20"/>
          <w:color w:val="auto"/>
        </w:rPr>
      </w:pPr>
    </w:p>
    <w:p>
      <w:pPr>
        <w:ind w:firstLine="439"/>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Equivalents</w:t>
      </w:r>
      <w:r>
        <w:rPr>
          <w:rFonts w:ascii="Times New Roman" w:cs="Times New Roman" w:eastAsia="Times New Roman" w:hAnsi="Times New Roman"/>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carrying an equivalent rating by any rating agency set forth on Schedule 1.1B or any nationally recognized rating agency, if S&amp;P and all the rating agencies on Schedule 1.1B cease publishing ratings of commercial paper issues generally, and maturing within six months from the date of acquisition; (d) repurchase obligations of any Bank or of any commercial bank satisfying the requirements of clause (b) of this definition, having a term of not more than 30 days, with respect to securities issued or fully guaranteed or insured by the United States government; (e) securities with maturities of one year or less from the</w:t>
      </w:r>
    </w:p>
    <w:p>
      <w:pPr>
        <w:spacing w:after="0" w:line="3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40"/>
          </w:cols>
          <w:pgMar w:left="700" w:top="265" w:right="259" w:bottom="1440" w:gutter="0" w:footer="0" w:header="0"/>
        </w:sectPr>
      </w:pPr>
    </w:p>
    <w:bookmarkStart w:id="159" w:name="page160"/>
    <w:bookmarkEnd w:id="159"/>
    <w:p>
      <w:pPr>
        <w:ind w:left="2"/>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carry an equivalent rating by any rating agency set forth on Schedule 1.1B or any nationally recognized rating agency;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carry an equivalent rating by any rating agency set forth on Schedule 1.1B and (iii) have portfolio assets of at least $5,000,000,000.</w:t>
      </w:r>
    </w:p>
    <w:p>
      <w:pPr>
        <w:spacing w:after="0" w:line="43" w:lineRule="exact"/>
        <w:rPr>
          <w:sz w:val="20"/>
          <w:szCs w:val="20"/>
          <w:color w:val="auto"/>
        </w:rPr>
      </w:pPr>
    </w:p>
    <w:p>
      <w:pPr>
        <w:ind w:left="2" w:right="180" w:firstLine="4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(a) the acquisition by any individual or group (other than the Managing Directors, or, in the case of the Company, Holdings or its controlled affiliates) of beneficial ownership of more than 50% of either (i) the then-outstanding shares of Holdings Capital Stock,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w:t>
      </w:r>
    </w:p>
    <w:p>
      <w:pPr>
        <w:spacing w:after="0" w:line="2" w:lineRule="exact"/>
        <w:rPr>
          <w:sz w:val="20"/>
          <w:szCs w:val="20"/>
          <w:color w:val="auto"/>
        </w:rPr>
      </w:pPr>
    </w:p>
    <w:p>
      <w:pPr>
        <w:ind w:left="2" w:right="180" w:hanging="2"/>
        <w:spacing w:after="0" w:line="270" w:lineRule="auto"/>
        <w:tabs>
          <w:tab w:leader="none" w:pos="22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which the Company and Holdings become Subsidiaries of another person (such person, the “</w:t>
      </w:r>
      <w:r>
        <w:rPr>
          <w:rFonts w:ascii="Times New Roman" w:cs="Times New Roman" w:eastAsia="Times New Roman" w:hAnsi="Times New Roman"/>
          <w:sz w:val="16"/>
          <w:szCs w:val="16"/>
          <w:u w:val="single" w:color="auto"/>
          <w:color w:val="auto"/>
        </w:rPr>
        <w:t>Parent Company</w:t>
      </w:r>
      <w:r>
        <w:rPr>
          <w:rFonts w:ascii="Times New Roman" w:cs="Times New Roman" w:eastAsia="Times New Roman" w:hAnsi="Times New Roman"/>
          <w:sz w:val="16"/>
          <w:szCs w:val="16"/>
          <w:color w:val="auto"/>
        </w:rPr>
        <w:t>”) and such Parent Company shall not have an individual or group having beneficial ownership of more than 50% of the Capital Stock of the Parent Company generally entitled to elect the directors of the Parent Company) or (b)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4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Citibank</w:t>
      </w:r>
      <w:r>
        <w:rPr>
          <w:rFonts w:ascii="Times New Roman" w:cs="Times New Roman" w:eastAsia="Times New Roman" w:hAnsi="Times New Roman"/>
          <w:sz w:val="16"/>
          <w:szCs w:val="16"/>
          <w:color w:val="auto"/>
        </w:rPr>
        <w:t>”: as defined in the Preamble.</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Internal Revenue Code of 1986, as amended from time to time, and the regulations promulgated and the rulings issued thereunder.</w:t>
      </w:r>
    </w:p>
    <w:p>
      <w:pPr>
        <w:spacing w:after="0" w:line="93" w:lineRule="exact"/>
        <w:rPr>
          <w:sz w:val="20"/>
          <w:szCs w:val="20"/>
          <w:color w:val="auto"/>
        </w:rPr>
      </w:pPr>
    </w:p>
    <w:p>
      <w:pPr>
        <w:ind w:left="2" w:right="30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w:t>
      </w:r>
      <w:r>
        <w:rPr>
          <w:rFonts w:ascii="Times New Roman" w:cs="Times New Roman" w:eastAsia="Times New Roman" w:hAnsi="Times New Roman"/>
          <w:sz w:val="16"/>
          <w:szCs w:val="16"/>
          <w:color w:val="auto"/>
        </w:rPr>
        <w:t>”: as to each Bank, its obligation to make Loans to the Company in an aggregate principal amount not to exceed the amount set forth opposite such Bank’s name on Schedule 1.1A; collectively, as to the Banks, the “Commitments”.</w:t>
      </w:r>
    </w:p>
    <w:p>
      <w:pPr>
        <w:spacing w:after="0" w:line="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 Fee Rate</w:t>
      </w:r>
      <w:r>
        <w:rPr>
          <w:rFonts w:ascii="Times New Roman" w:cs="Times New Roman" w:eastAsia="Times New Roman" w:hAnsi="Times New Roman"/>
          <w:sz w:val="16"/>
          <w:szCs w:val="16"/>
          <w:color w:val="auto"/>
        </w:rPr>
        <w:t>”: the Commitment Fee Rate will be determined in accordance with the Pricing Grid.</w:t>
      </w:r>
    </w:p>
    <w:p>
      <w:pPr>
        <w:spacing w:after="0" w:line="93" w:lineRule="exact"/>
        <w:rPr>
          <w:sz w:val="20"/>
          <w:szCs w:val="20"/>
          <w:color w:val="auto"/>
        </w:rPr>
      </w:pPr>
    </w:p>
    <w:p>
      <w:pPr>
        <w:ind w:left="2" w:right="8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Commitment Percentage</w:t>
      </w:r>
      <w:r>
        <w:rPr>
          <w:rFonts w:ascii="Times New Roman" w:cs="Times New Roman" w:eastAsia="Times New Roman" w:hAnsi="Times New Roman"/>
          <w:sz w:val="16"/>
          <w:szCs w:val="16"/>
          <w:color w:val="auto"/>
        </w:rPr>
        <w:t>”: as to each Bank, the percentage of the amount of the aggregate Commitments constituted by the amount of such Bank’s Commitment.</w:t>
      </w:r>
    </w:p>
    <w:p>
      <w:pPr>
        <w:spacing w:after="0" w:line="80"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62"/>
          </w:cols>
          <w:pgMar w:left="698" w:top="265" w:right="239" w:bottom="1440" w:gutter="0" w:footer="0" w:header="0"/>
        </w:sectPr>
      </w:pPr>
    </w:p>
    <w:bookmarkStart w:id="160" w:name="page161"/>
    <w:bookmarkEnd w:id="160"/>
    <w:p>
      <w:pPr>
        <w:ind w:left="2" w:right="260" w:firstLine="439"/>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Commitment Period</w:t>
      </w:r>
      <w:r>
        <w:rPr>
          <w:rFonts w:ascii="Times New Roman" w:cs="Times New Roman" w:eastAsia="Times New Roman" w:hAnsi="Times New Roman"/>
          <w:sz w:val="16"/>
          <w:szCs w:val="16"/>
          <w:color w:val="auto"/>
        </w:rPr>
        <w:t>”: on any date of determination thereof, the period from and including the Restatement Effective Date to but not including the earlier to occur of (a) the Maturity Date or (b) such other date as the Commitments shall terminate as provided herein.</w:t>
      </w:r>
    </w:p>
    <w:p>
      <w:pPr>
        <w:spacing w:after="0" w:line="17" w:lineRule="exact"/>
        <w:rPr>
          <w:sz w:val="20"/>
          <w:szCs w:val="20"/>
          <w:color w:val="auto"/>
        </w:rPr>
      </w:pPr>
    </w:p>
    <w:p>
      <w:pPr>
        <w:ind w:left="2" w:right="5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Interest</w:t>
      </w:r>
      <w:r>
        <w:rPr>
          <w:rFonts w:ascii="Times New Roman" w:cs="Times New Roman" w:eastAsia="Times New Roman" w:hAnsi="Times New Roman"/>
          <w:sz w:val="16"/>
          <w:szCs w:val="16"/>
          <w:color w:val="auto"/>
        </w:rPr>
        <w:t>”: as defined in the operating agreement of the Company or any other Capital Stock of the Company which shall replace the Common Interest.</w:t>
      </w:r>
    </w:p>
    <w:p>
      <w:pPr>
        <w:spacing w:after="0" w:line="17" w:lineRule="exact"/>
        <w:rPr>
          <w:sz w:val="20"/>
          <w:szCs w:val="20"/>
          <w:color w:val="auto"/>
        </w:rPr>
      </w:pPr>
    </w:p>
    <w:p>
      <w:pPr>
        <w:ind w:left="2" w:right="1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Commonly Controlled Entity</w:t>
      </w:r>
      <w:r>
        <w:rPr>
          <w:rFonts w:ascii="Times New Roman" w:cs="Times New Roman" w:eastAsia="Times New Roman" w:hAnsi="Times New Roman"/>
          <w:sz w:val="16"/>
          <w:szCs w:val="16"/>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spacing w:after="0" w:line="17"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 as defined in Section 12.2(b).</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as defined in the Preamble.</w:t>
      </w:r>
    </w:p>
    <w:p>
      <w:pPr>
        <w:spacing w:after="0" w:line="93"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Capital Stock</w:t>
      </w:r>
      <w:r>
        <w:rPr>
          <w:rFonts w:ascii="Times New Roman" w:cs="Times New Roman" w:eastAsia="Times New Roman" w:hAnsi="Times New Roman"/>
          <w:sz w:val="16"/>
          <w:szCs w:val="16"/>
          <w:color w:val="auto"/>
        </w:rPr>
        <w:t>”: the Common Interests of the Company.</w:t>
      </w:r>
    </w:p>
    <w:p>
      <w:pPr>
        <w:spacing w:after="0" w:line="93" w:lineRule="exact"/>
        <w:rPr>
          <w:sz w:val="20"/>
          <w:szCs w:val="20"/>
          <w:color w:val="auto"/>
        </w:rPr>
      </w:pPr>
    </w:p>
    <w:p>
      <w:pPr>
        <w:ind w:left="2" w:right="20" w:firstLine="439"/>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Adjusted EBITDA</w:t>
      </w:r>
      <w:r>
        <w:rPr>
          <w:rFonts w:ascii="Times New Roman" w:cs="Times New Roman" w:eastAsia="Times New Roman" w:hAnsi="Times New Roman"/>
          <w:sz w:val="16"/>
          <w:szCs w:val="16"/>
          <w:color w:val="auto"/>
        </w:rPr>
        <w:t>”: for any period, an amount determined for the Company and its Subsidiaries on a consolidated basis equal to (a) the sum, without duplication, of the amounts for such period of (i) Consolidated Net Income, (ii) Consolidated Interest Expense, (iii) provisions for taxes based on income plus tax distributions in accordance with the Company’s operating agreement (computed on a cash basis), (iv) total depreciation expense, (v) total amortization expense and</w:t>
      </w:r>
    </w:p>
    <w:p>
      <w:pPr>
        <w:ind w:left="282" w:hanging="282"/>
        <w:spacing w:after="0"/>
        <w:tabs>
          <w:tab w:leader="none" w:pos="28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non-cash expenses, fees, charges, reserves or losses reducing Consolidated Net Income (excluding any such non-cash item otherwise included in this clause</w:t>
      </w:r>
    </w:p>
    <w:p>
      <w:pPr>
        <w:spacing w:after="0" w:line="17" w:lineRule="exact"/>
        <w:rPr>
          <w:rFonts w:ascii="Times New Roman" w:cs="Times New Roman" w:eastAsia="Times New Roman" w:hAnsi="Times New Roman"/>
          <w:sz w:val="16"/>
          <w:szCs w:val="16"/>
          <w:color w:val="auto"/>
        </w:rPr>
      </w:pPr>
    </w:p>
    <w:p>
      <w:pPr>
        <w:ind w:left="2" w:right="120" w:hanging="2"/>
        <w:spacing w:after="0" w:line="273" w:lineRule="auto"/>
        <w:tabs>
          <w:tab w:leader="none" w:pos="2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39" w:lineRule="exact"/>
        <w:rPr>
          <w:sz w:val="20"/>
          <w:szCs w:val="20"/>
          <w:color w:val="auto"/>
        </w:rPr>
      </w:pPr>
    </w:p>
    <w:p>
      <w:pPr>
        <w:ind w:left="2" w:right="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Interest Coverage Ratio</w:t>
      </w:r>
      <w:r>
        <w:rPr>
          <w:rFonts w:ascii="Times New Roman" w:cs="Times New Roman" w:eastAsia="Times New Roman" w:hAnsi="Times New Roman"/>
          <w:sz w:val="16"/>
          <w:szCs w:val="16"/>
          <w:color w:val="auto"/>
        </w:rPr>
        <w:t>”: for any period, the ratio of (a) Consolidated Adjusted EBITDA for such period to (b) Consolidated Interest Expense for such period.</w:t>
      </w:r>
    </w:p>
    <w:p>
      <w:pPr>
        <w:spacing w:after="0" w:line="17" w:lineRule="exact"/>
        <w:rPr>
          <w:sz w:val="20"/>
          <w:szCs w:val="20"/>
          <w:color w:val="auto"/>
        </w:rPr>
      </w:pPr>
    </w:p>
    <w:p>
      <w:pPr>
        <w:ind w:left="2" w:firstLine="439"/>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Interest Expense</w:t>
      </w:r>
      <w:r>
        <w:rPr>
          <w:rFonts w:ascii="Times New Roman" w:cs="Times New Roman" w:eastAsia="Times New Roman" w:hAnsi="Times New Roman"/>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(i) interest income on marketable securities, and (ii) in the case of Broker-Dealer Indebtedness (including that of LFNY)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311"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62"/>
          </w:cols>
          <w:pgMar w:left="698" w:top="265" w:right="239" w:bottom="1440" w:gutter="0" w:footer="0" w:header="0"/>
        </w:sectPr>
      </w:pPr>
    </w:p>
    <w:bookmarkStart w:id="161" w:name="page162"/>
    <w:bookmarkEnd w:id="161"/>
    <w:p>
      <w:pPr>
        <w:ind w:right="500" w:firstLine="439"/>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Consolidated Leverage Ratio</w:t>
      </w:r>
      <w:r>
        <w:rPr>
          <w:rFonts w:ascii="Times New Roman" w:cs="Times New Roman" w:eastAsia="Times New Roman" w:hAnsi="Times New Roman"/>
          <w:sz w:val="16"/>
          <w:szCs w:val="16"/>
          <w:color w:val="auto"/>
        </w:rPr>
        <w:t>”: as at the last day of any fiscal quarter, the ratio of (a) Consolidated Total Debt on such day to (b) Consolidated Adjusted EBITDA for the period of four consecutive fiscal quarters then ended.</w:t>
      </w:r>
    </w:p>
    <w:p>
      <w:pPr>
        <w:spacing w:after="0" w:line="17" w:lineRule="exact"/>
        <w:rPr>
          <w:sz w:val="20"/>
          <w:szCs w:val="20"/>
          <w:color w:val="auto"/>
        </w:rPr>
      </w:pPr>
    </w:p>
    <w:p>
      <w:pPr>
        <w:ind w:firstLine="43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Net Income</w:t>
      </w:r>
      <w:r>
        <w:rPr>
          <w:rFonts w:ascii="Times New Roman" w:cs="Times New Roman" w:eastAsia="Times New Roman" w:hAnsi="Times New Roman"/>
          <w:sz w:val="16"/>
          <w:szCs w:val="16"/>
          <w:color w:val="auto"/>
        </w:rPr>
        <w:t xml:space="preserve">”: for any period, the net income (or loss) of the Company and its Subsidiaries on a consolidated basis for such period taken as a single accounting period determined in conformity with GAAP;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 to SFAS 141 and (e) any non-cash expenses realized or resulting from employee benefit plans or post-employment benefit plans, grants of restricted stock, restricted stock units, performance-based restricted stock units, stock appreciation rights, stock options, Lazard fund interests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For all purposes of this Agreement, Consolidated Net Income shall be reduced by an amount equal to the tax distributions (computed on a cash basis) in accordance with the Company’s operating agreement.</w:t>
      </w:r>
    </w:p>
    <w:p>
      <w:pPr>
        <w:spacing w:after="0" w:line="45"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Total Debt</w:t>
      </w:r>
      <w:r>
        <w:rPr>
          <w:rFonts w:ascii="Times New Roman" w:cs="Times New Roman" w:eastAsia="Times New Roman" w:hAnsi="Times New Roman"/>
          <w:sz w:val="16"/>
          <w:szCs w:val="16"/>
          <w:color w:val="auto"/>
        </w:rPr>
        <w:t xml:space="preserve">”: at any date, the aggregate principal amount of all Indebtedness of the Company and its Subsidiaries at such date, determined on a consolidated basis in accordance with GAAP;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without duplication, “Consolidated Total Debt” shall not include (a) the Indebtedness of Lazard Frères Banque or any Broker-Dealer Indebtedness (including that of LFNY) (other than Broker-Dealer Indebtedness that is included in the calculation used to determine the capital requirements of any of the Company’s Subsidiaries) or (b) up to $250,000,000 aggregate principal amount of any Subordinated Indebtedness.</w:t>
      </w:r>
    </w:p>
    <w:p>
      <w:pPr>
        <w:spacing w:after="0" w:line="38" w:lineRule="exact"/>
        <w:rPr>
          <w:sz w:val="20"/>
          <w:szCs w:val="20"/>
          <w:color w:val="auto"/>
        </w:rPr>
      </w:pPr>
    </w:p>
    <w:p>
      <w:pPr>
        <w:ind w:right="1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Contractual Obligation</w:t>
      </w:r>
      <w:r>
        <w:rPr>
          <w:rFonts w:ascii="Times New Roman" w:cs="Times New Roman" w:eastAsia="Times New Roman" w:hAnsi="Times New Roman"/>
          <w:sz w:val="16"/>
          <w:szCs w:val="16"/>
          <w:color w:val="auto"/>
        </w:rPr>
        <w:t>”: as to any Person, any provision of any security issued by such Person or of any agreement, instrument or undertaking to which such Person is a party or by which it or any of its property is bound.</w:t>
      </w:r>
    </w:p>
    <w:p>
      <w:pPr>
        <w:spacing w:after="0" w:line="17"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Credit Documents</w:t>
      </w:r>
      <w:r>
        <w:rPr>
          <w:rFonts w:ascii="Times New Roman" w:cs="Times New Roman" w:eastAsia="Times New Roman" w:hAnsi="Times New Roman"/>
          <w:sz w:val="16"/>
          <w:szCs w:val="16"/>
          <w:color w:val="auto"/>
        </w:rPr>
        <w:t>”: any of this Agreement, the Notes and all other certificates, documents, instruments or agreements executed and delivered by the Company for the benefit of the Administrative Agent and the Banks in connection herewith.</w:t>
      </w:r>
    </w:p>
    <w:p>
      <w:pPr>
        <w:spacing w:after="0" w:line="8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20"/>
          </w:cols>
          <w:pgMar w:left="700" w:top="265" w:right="279" w:bottom="1440" w:gutter="0" w:footer="0" w:header="0"/>
        </w:sectPr>
      </w:pPr>
    </w:p>
    <w:bookmarkStart w:id="162" w:name="page163"/>
    <w:bookmarkEnd w:id="162"/>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any of the events specified in Section 9, whether or not any requirement for the giving of notice, the lapse of time, or both, has been satisfied.</w:t>
      </w:r>
    </w:p>
    <w:p>
      <w:pPr>
        <w:spacing w:after="0" w:line="93"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Defaulting Lender</w:t>
      </w:r>
      <w:r>
        <w:rPr>
          <w:rFonts w:ascii="Times New Roman" w:cs="Times New Roman" w:eastAsia="Times New Roman" w:hAnsi="Times New Roman"/>
          <w:sz w:val="16"/>
          <w:szCs w:val="16"/>
          <w:color w:val="auto"/>
        </w:rPr>
        <w:t>”: means any Bank, as determined by the Administrative Agent, that has (a) failed to fund any portion of its Loans within three 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Business Days after request by the Administrative Agent, to confirm in writing that it will comply with the terms of this Agreement relating to its obligations to fund prospective Loans, (d) otherwise failed to pay over to the Administrative Agent or any other Bank any other amount required to be paid by it hereunder within three Business Days of the date when due, unless the subject of a good faith dispute, or (e) (i) become or is insolvent or has a parent company that has become or is insolvent, or is generally unable to pay its debts as they become due, or admits in writing its inability to pay its debt as they become due, or makes a general assignment for the benefit of its creditors, or (ii) become the subject of a bankruptcy,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or has a parent company that has become the subject of a bankruptcy ,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Any determination by the Administrative Agent that a Bank is a Defaulting Lender under any of clauses (a) through (e) above will be conclusive and binding absent manifest error, and such Bank will be deemed to be a Defaulting Lender (subject to Section 2.19(c)) upon notification of such determination by the Administrative Agent to the Company and the Banks.</w:t>
      </w:r>
    </w:p>
    <w:p>
      <w:pPr>
        <w:spacing w:after="0" w:line="45" w:lineRule="exact"/>
        <w:rPr>
          <w:sz w:val="20"/>
          <w:szCs w:val="20"/>
          <w:color w:val="auto"/>
        </w:rPr>
      </w:pPr>
    </w:p>
    <w:p>
      <w:pPr>
        <w:ind w:right="4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Designated Asset Sale</w:t>
      </w:r>
      <w:r>
        <w:rPr>
          <w:rFonts w:ascii="Times New Roman" w:cs="Times New Roman" w:eastAsia="Times New Roman" w:hAnsi="Times New Roman"/>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17" w:lineRule="exact"/>
        <w:rPr>
          <w:sz w:val="20"/>
          <w:szCs w:val="20"/>
          <w:color w:val="auto"/>
        </w:rPr>
      </w:pPr>
    </w:p>
    <w:p>
      <w:pPr>
        <w:ind w:right="2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Designated Subsidiary</w:t>
      </w:r>
      <w:r>
        <w:rPr>
          <w:rFonts w:ascii="Times New Roman" w:cs="Times New Roman" w:eastAsia="Times New Roman" w:hAnsi="Times New Roman"/>
          <w:sz w:val="16"/>
          <w:szCs w:val="16"/>
          <w:color w:val="auto"/>
        </w:rPr>
        <w:t>”: each of LFNY, Lazard Asset Management LLC, Lazard &amp; Co., Limited and Compagnie Financière Lazard Frères SAS and each of their respective successors.</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Amount</w:t>
      </w:r>
      <w:r>
        <w:rPr>
          <w:rFonts w:ascii="Times New Roman" w:cs="Times New Roman" w:eastAsia="Times New Roman" w:hAnsi="Times New Roman"/>
          <w:sz w:val="16"/>
          <w:szCs w:val="16"/>
          <w:color w:val="auto"/>
        </w:rPr>
        <w:t>”: as defined in Section 2.18.</w:t>
      </w:r>
    </w:p>
    <w:p>
      <w:pPr>
        <w:spacing w:after="0" w:line="1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60"/>
          </w:cols>
          <w:pgMar w:left="700" w:top="265" w:right="239"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Dodd-Frank</w:t>
      </w:r>
      <w:r>
        <w:rPr>
          <w:rFonts w:ascii="Times New Roman" w:cs="Times New Roman" w:eastAsia="Times New Roman" w:hAnsi="Times New Roman"/>
          <w:sz w:val="16"/>
          <w:szCs w:val="16"/>
          <w:color w:val="auto"/>
        </w:rPr>
        <w:t>”: means the Dodd-Frank Wall Street Reform and Consumer Protection Act, Pub. L. 111-203 (2010).</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Dollars” and “$</w:t>
      </w:r>
      <w:r>
        <w:rPr>
          <w:rFonts w:ascii="Times New Roman" w:cs="Times New Roman" w:eastAsia="Times New Roman" w:hAnsi="Times New Roman"/>
          <w:sz w:val="16"/>
          <w:szCs w:val="16"/>
          <w:color w:val="auto"/>
        </w:rPr>
        <w:t>”: dollars in lawful currency of the United States.</w:t>
      </w:r>
    </w:p>
    <w:p>
      <w:pPr>
        <w:spacing w:after="0" w:line="93" w:lineRule="exact"/>
        <w:rPr>
          <w:sz w:val="20"/>
          <w:szCs w:val="20"/>
          <w:color w:val="auto"/>
        </w:rPr>
      </w:pPr>
    </w:p>
    <w:p>
      <w:pPr>
        <w:ind w:right="20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the Employee Retirement Income Security Act of 1974, as amended from time to time, and the regulations promulgated and rulings issued thereunder. Section references to ERISA are to ERISA, as in effect at the Restatement Effective Date and any subsequent provisions of ERISA, amendatory thereof, supplemental thereto or substituted therefor.</w:t>
      </w:r>
    </w:p>
    <w:p>
      <w:pPr>
        <w:spacing w:after="0" w:line="31" w:lineRule="exact"/>
        <w:rPr>
          <w:sz w:val="20"/>
          <w:szCs w:val="20"/>
          <w:color w:val="auto"/>
        </w:rPr>
      </w:pPr>
    </w:p>
    <w:p>
      <w:pPr>
        <w:ind w:right="14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Eurocurrency Reserve Requirements</w:t>
      </w:r>
      <w:r>
        <w:rPr>
          <w:rFonts w:ascii="Times New Roman" w:cs="Times New Roman" w:eastAsia="Times New Roman" w:hAnsi="Times New Roman"/>
          <w:sz w:val="16"/>
          <w:szCs w:val="16"/>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38" w:lineRule="exact"/>
        <w:rPr>
          <w:sz w:val="20"/>
          <w:szCs w:val="20"/>
          <w:color w:val="auto"/>
        </w:rPr>
      </w:pPr>
    </w:p>
    <w:p>
      <w:pPr>
        <w:ind w:right="40" w:firstLine="439"/>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Eurodollar Base Rate</w:t>
      </w:r>
      <w:r>
        <w:rPr>
          <w:rFonts w:ascii="Times New Roman" w:cs="Times New Roman" w:eastAsia="Times New Roman" w:hAnsi="Times New Roman"/>
          <w:sz w:val="16"/>
          <w:szCs w:val="16"/>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Business Days prior to the beginning of such Interest Period. In the event that such rate does not appear on the Reuters Screen LIBOR01 Page (or otherwise on such screen), the “</w:t>
      </w:r>
      <w:r>
        <w:rPr>
          <w:rFonts w:ascii="Times New Roman" w:cs="Times New Roman" w:eastAsia="Times New Roman" w:hAnsi="Times New Roman"/>
          <w:sz w:val="16"/>
          <w:szCs w:val="16"/>
          <w:u w:val="single" w:color="auto"/>
          <w:color w:val="auto"/>
        </w:rPr>
        <w:t>Eurodollar Base Rate</w:t>
      </w:r>
      <w:r>
        <w:rPr>
          <w:rFonts w:ascii="Times New Roman" w:cs="Times New Roman" w:eastAsia="Times New Roman" w:hAnsi="Times New Roman"/>
          <w:sz w:val="16"/>
          <w:szCs w:val="16"/>
          <w:color w:val="auto"/>
        </w:rPr>
        <w:t xml:space="preserve">” shall be determined by reference to such other comparable publicly available service for displaying eurodollar rates as may be selected by the Administrative Agent or, in the absence of such availability, by reference to the rate at which the Administrative Agent is offered Dollar deposits at or about 11:00 A.M., New York City time, two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rate shall be less than zero, such rate shall be deemed to be zero.</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Eurodollar Loan</w:t>
      </w:r>
      <w:r>
        <w:rPr>
          <w:rFonts w:ascii="Times New Roman" w:cs="Times New Roman" w:eastAsia="Times New Roman" w:hAnsi="Times New Roman"/>
          <w:sz w:val="16"/>
          <w:szCs w:val="16"/>
          <w:color w:val="auto"/>
        </w:rPr>
        <w:t>”: a Loan the rate of interest applicable to which is based upon the Eurodollar Rate.</w:t>
      </w:r>
    </w:p>
    <w:p>
      <w:pPr>
        <w:spacing w:after="0" w:line="93"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Eurodollar Rate</w:t>
      </w:r>
      <w:r>
        <w:rPr>
          <w:rFonts w:ascii="Times New Roman" w:cs="Times New Roman" w:eastAsia="Times New Roman" w:hAnsi="Times New Roman"/>
          <w:sz w:val="16"/>
          <w:szCs w:val="16"/>
          <w:color w:val="auto"/>
        </w:rPr>
        <w:t>”: with respect to each day during each Interest Period pertaining to a Eurodollar Loan, a rate per annum determined for such day in accordance with the following formula (rounded upward to the nearest 1/100</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of 1%):</w:t>
      </w:r>
    </w:p>
    <w:p>
      <w:pPr>
        <w:spacing w:after="0" w:line="13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19050</wp:posOffset>
            </wp:positionV>
            <wp:extent cx="23895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89505" cy="8255"/>
                    </a:xfrm>
                    <a:prstGeom prst="rect">
                      <a:avLst/>
                    </a:prstGeom>
                    <a:noFill/>
                  </pic:spPr>
                </pic:pic>
              </a:graphicData>
            </a:graphic>
          </wp:anchor>
        </w:drawing>
      </w:r>
    </w:p>
    <w:p>
      <w:pPr>
        <w:spacing w:after="0" w:line="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1.00 - Eurocurrency Reserve Requirements</w:t>
      </w:r>
    </w:p>
    <w:p>
      <w:pPr>
        <w:spacing w:after="0" w:line="16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40"/>
          </w:cols>
          <w:pgMar w:left="700" w:top="265" w:right="259" w:bottom="1440" w:gutter="0" w:footer="0" w:header="0"/>
        </w:sectPr>
      </w:pPr>
    </w:p>
    <w:bookmarkStart w:id="164" w:name="page165"/>
    <w:bookmarkEnd w:id="164"/>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xml:space="preserve">”: any of the events specified in Section 9,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requirement for the giving of notice, the lapse of time, or both, has been satisfied.</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w:t>
      </w:r>
      <w:r>
        <w:rPr>
          <w:rFonts w:ascii="Times New Roman" w:cs="Times New Roman" w:eastAsia="Times New Roman" w:hAnsi="Times New Roman"/>
          <w:sz w:val="16"/>
          <w:szCs w:val="16"/>
          <w:color w:val="auto"/>
        </w:rPr>
        <w:t>”: the New York Stock Exchange, Inc.</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Lenders</w:t>
      </w:r>
      <w:r>
        <w:rPr>
          <w:rFonts w:ascii="Times New Roman" w:cs="Times New Roman" w:eastAsia="Times New Roman" w:hAnsi="Times New Roman"/>
          <w:sz w:val="16"/>
          <w:szCs w:val="16"/>
          <w:color w:val="auto"/>
        </w:rPr>
        <w:t>”: as defined in the Preamble.</w:t>
      </w:r>
    </w:p>
    <w:p>
      <w:pPr>
        <w:spacing w:after="0" w:line="93" w:lineRule="exact"/>
        <w:rPr>
          <w:sz w:val="20"/>
          <w:szCs w:val="20"/>
          <w:color w:val="auto"/>
        </w:rPr>
      </w:pPr>
    </w:p>
    <w:p>
      <w:pPr>
        <w:ind w:right="4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17" w:lineRule="exact"/>
        <w:rPr>
          <w:sz w:val="20"/>
          <w:szCs w:val="20"/>
          <w:color w:val="auto"/>
        </w:rPr>
      </w:pPr>
    </w:p>
    <w:p>
      <w:pPr>
        <w:ind w:right="20"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w:t>
      </w:r>
    </w:p>
    <w:p>
      <w:pPr>
        <w:spacing w:after="0" w:line="1"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6"/>
          <w:szCs w:val="16"/>
          <w:color w:val="auto"/>
        </w:rPr>
        <w:t>Section 1471(b)(1) of the Code or any intergovernmental agreements entered into by the United States in connection with the implementation of such Sections of the Code (or any such amended or successor version thereof) and any law, regulation, rule, promulgation, or official agreement implementing such an intergovernmental agreement.</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FCPA</w:t>
      </w:r>
      <w:r>
        <w:rPr>
          <w:rFonts w:ascii="Times New Roman" w:cs="Times New Roman" w:eastAsia="Times New Roman" w:hAnsi="Times New Roman"/>
          <w:sz w:val="16"/>
          <w:szCs w:val="16"/>
          <w:color w:val="auto"/>
        </w:rPr>
        <w:t>”: the Foreign Corrupt Practices Act of 1977, as amended, and the rules and regulations thereunder.</w:t>
      </w:r>
    </w:p>
    <w:p>
      <w:pPr>
        <w:spacing w:after="0" w:line="93" w:lineRule="exact"/>
        <w:rPr>
          <w:sz w:val="20"/>
          <w:szCs w:val="20"/>
          <w:color w:val="auto"/>
        </w:rPr>
      </w:pPr>
    </w:p>
    <w:p>
      <w:pPr>
        <w:ind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Fed Rate</w:t>
      </w:r>
      <w:r>
        <w:rPr>
          <w:rFonts w:ascii="Times New Roman" w:cs="Times New Roman" w:eastAsia="Times New Roman" w:hAnsi="Times New Roman"/>
          <w:sz w:val="16"/>
          <w:szCs w:val="16"/>
          <w:color w:val="auto"/>
        </w:rPr>
        <w:t>”: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 xml:space="preserve">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rate shall be less than zero, such rate shall be deemed to be zero.</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Fee Letter</w:t>
      </w:r>
      <w:r>
        <w:rPr>
          <w:rFonts w:ascii="Times New Roman" w:cs="Times New Roman" w:eastAsia="Times New Roman" w:hAnsi="Times New Roman"/>
          <w:sz w:val="16"/>
          <w:szCs w:val="16"/>
          <w:color w:val="auto"/>
        </w:rPr>
        <w:t>”: the Fee Letter dated as of September 24, 2015, among the Lead Arranger, the Administrative Agent and the Company.</w:t>
      </w:r>
    </w:p>
    <w:p>
      <w:pPr>
        <w:spacing w:after="0" w:line="93" w:lineRule="exact"/>
        <w:rPr>
          <w:sz w:val="20"/>
          <w:szCs w:val="20"/>
          <w:color w:val="auto"/>
        </w:rPr>
      </w:pPr>
    </w:p>
    <w:p>
      <w:pPr>
        <w:ind w:right="4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Plan</w:t>
      </w:r>
      <w:r>
        <w:rPr>
          <w:rFonts w:ascii="Times New Roman" w:cs="Times New Roman" w:eastAsia="Times New Roman" w:hAnsi="Times New Roman"/>
          <w:sz w:val="16"/>
          <w:szCs w:val="16"/>
          <w:color w:val="auto"/>
        </w:rPr>
        <w:t>”: each employee benefit plan (within the meaning of Section 3(3) of ERISA, whether or not subject to ERISA) that is not subject to U.S. law and is maintained or contributed to (or within the past six years has been maintained or contributed to) by the Company, any of its Significant Subsidiaries or any Commonly Controlled Entity.</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generally accepted accounting principles in the United States.</w:t>
      </w:r>
    </w:p>
    <w:p>
      <w:pPr>
        <w:spacing w:after="0" w:line="93" w:lineRule="exact"/>
        <w:rPr>
          <w:sz w:val="20"/>
          <w:szCs w:val="20"/>
          <w:color w:val="auto"/>
        </w:rPr>
      </w:pPr>
    </w:p>
    <w:p>
      <w:pPr>
        <w:ind w:right="1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any nation or government, any state or other political subdivision thereof and any entity exercising executive, legislative, judicial, regulatory or administrative functions of or pertaining to government.</w:t>
      </w:r>
    </w:p>
    <w:p>
      <w:pPr>
        <w:spacing w:after="0" w:line="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40"/>
          </w:cols>
          <w:pgMar w:left="700" w:top="265" w:right="259" w:bottom="1440" w:gutter="0" w:footer="0" w:header="0"/>
        </w:sectPr>
      </w:pPr>
    </w:p>
    <w:bookmarkStart w:id="165" w:name="page166"/>
    <w:bookmarkEnd w:id="165"/>
    <w:p>
      <w:pPr>
        <w:ind w:firstLine="439"/>
        <w:spacing w:after="0" w:line="26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Guarantee Obligation</w:t>
      </w:r>
      <w:r>
        <w:rPr>
          <w:rFonts w:ascii="Times New Roman" w:cs="Times New Roman" w:eastAsia="Times New Roman" w:hAnsi="Times New Roman"/>
          <w:sz w:val="16"/>
          <w:szCs w:val="16"/>
          <w:color w:val="auto"/>
        </w:rPr>
        <w:t>”: as to any Person (the “</w:t>
      </w:r>
      <w:r>
        <w:rPr>
          <w:rFonts w:ascii="Times New Roman" w:cs="Times New Roman" w:eastAsia="Times New Roman" w:hAnsi="Times New Roman"/>
          <w:sz w:val="16"/>
          <w:szCs w:val="16"/>
          <w:u w:val="single" w:color="auto"/>
          <w:color w:val="auto"/>
        </w:rPr>
        <w:t>guaranteeing person</w:t>
      </w:r>
      <w:r>
        <w:rPr>
          <w:rFonts w:ascii="Times New Roman" w:cs="Times New Roman" w:eastAsia="Times New Roman" w:hAnsi="Times New Roman"/>
          <w:sz w:val="16"/>
          <w:szCs w:val="16"/>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6"/>
          <w:szCs w:val="16"/>
          <w:u w:val="single" w:color="auto"/>
          <w:color w:val="auto"/>
        </w:rPr>
        <w:t>primary obligations</w:t>
      </w:r>
      <w:r>
        <w:rPr>
          <w:rFonts w:ascii="Times New Roman" w:cs="Times New Roman" w:eastAsia="Times New Roman" w:hAnsi="Times New Roman"/>
          <w:sz w:val="16"/>
          <w:szCs w:val="16"/>
          <w:color w:val="auto"/>
        </w:rPr>
        <w:t>”) of any other third Person (the “</w:t>
      </w:r>
      <w:r>
        <w:rPr>
          <w:rFonts w:ascii="Times New Roman" w:cs="Times New Roman" w:eastAsia="Times New Roman" w:hAnsi="Times New Roman"/>
          <w:sz w:val="16"/>
          <w:szCs w:val="16"/>
          <w:u w:val="single" w:color="auto"/>
          <w:color w:val="auto"/>
        </w:rPr>
        <w:t>primary obligor</w:t>
      </w:r>
      <w:r>
        <w:rPr>
          <w:rFonts w:ascii="Times New Roman" w:cs="Times New Roman" w:eastAsia="Times New Roman" w:hAnsi="Times New Roman"/>
          <w:sz w:val="16"/>
          <w:szCs w:val="16"/>
          <w:color w:val="auto"/>
        </w:rPr>
        <w:t xml:space="preserve">”) in any manner, whether directly or indirectly, including any obligation of the guaranteeing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term Guarantee Obligation shall not include assurances given in the ordinary course of business for the payment of obligations of customers or suppliers of the Company or any Subsidiary, customary indemnifications, representations and 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Holdings</w:t>
      </w:r>
      <w:r>
        <w:rPr>
          <w:rFonts w:ascii="Times New Roman" w:cs="Times New Roman" w:eastAsia="Times New Roman" w:hAnsi="Times New Roman"/>
          <w:sz w:val="16"/>
          <w:szCs w:val="16"/>
          <w:color w:val="auto"/>
        </w:rPr>
        <w:t>”: Lazard Ltd.</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Holdings Capital Stock</w:t>
      </w:r>
      <w:r>
        <w:rPr>
          <w:rFonts w:ascii="Times New Roman" w:cs="Times New Roman" w:eastAsia="Times New Roman" w:hAnsi="Times New Roman"/>
          <w:sz w:val="16"/>
          <w:szCs w:val="16"/>
          <w:color w:val="auto"/>
        </w:rPr>
        <w:t>”: the Class A common stock, par value $.01 per share, of Holdings.</w:t>
      </w:r>
    </w:p>
    <w:p>
      <w:pPr>
        <w:spacing w:after="0" w:line="93" w:lineRule="exact"/>
        <w:rPr>
          <w:sz w:val="20"/>
          <w:szCs w:val="20"/>
          <w:color w:val="auto"/>
        </w:rPr>
      </w:pPr>
    </w:p>
    <w:p>
      <w:pPr>
        <w:ind w:right="40" w:firstLine="439"/>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(i) all obligations of such Person of the kind referred to in clauses (a) through (f) above that are mandatorily</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940"/>
          </w:cols>
          <w:pgMar w:left="700" w:top="265" w:right="259" w:bottom="1440" w:gutter="0" w:footer="0" w:header="0"/>
        </w:sectPr>
      </w:pPr>
    </w:p>
    <w:bookmarkStart w:id="166" w:name="page167"/>
    <w:bookmarkEnd w:id="166"/>
    <w:p>
      <w:pPr>
        <w:spacing w:after="0" w:line="26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convertible or exchangeable into Capital Stock of such Person (but solely prior to any conversion or exchange, unless otherwise constituting Indebtedness after giving effect to such conversion or exchange) and (ii)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for the avoidance of doubt, deposits or other funds held by Subsidiaries that are regulated banks or registered broker-dealers for the benefit of, or owed to, their customers in the ordinary course of business.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as defined in Section 12.5.</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as defined in Section 12.5.</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Insolvency</w:t>
      </w:r>
      <w:r>
        <w:rPr>
          <w:rFonts w:ascii="Times New Roman" w:cs="Times New Roman" w:eastAsia="Times New Roman" w:hAnsi="Times New Roman"/>
          <w:sz w:val="16"/>
          <w:szCs w:val="16"/>
          <w:color w:val="auto"/>
        </w:rPr>
        <w:t>”: with respect to any Multiemployer Plan, the condition that such plan is insolvent within the meaning of Section 4245 of ERISA.</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Insolvent</w:t>
      </w:r>
      <w:r>
        <w:rPr>
          <w:rFonts w:ascii="Times New Roman" w:cs="Times New Roman" w:eastAsia="Times New Roman" w:hAnsi="Times New Roman"/>
          <w:sz w:val="16"/>
          <w:szCs w:val="16"/>
          <w:color w:val="auto"/>
        </w:rPr>
        <w:t>”: pertaining to a condition of Insolvency.</w:t>
      </w:r>
    </w:p>
    <w:p>
      <w:pPr>
        <w:spacing w:after="0" w:line="93" w:lineRule="exact"/>
        <w:rPr>
          <w:sz w:val="20"/>
          <w:szCs w:val="20"/>
          <w:color w:val="auto"/>
        </w:rPr>
      </w:pPr>
    </w:p>
    <w:p>
      <w:pPr>
        <w:ind w:right="3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Installment Notes</w:t>
      </w:r>
      <w:r>
        <w:rPr>
          <w:rFonts w:ascii="Times New Roman" w:cs="Times New Roman" w:eastAsia="Times New Roman" w:hAnsi="Times New Roman"/>
          <w:sz w:val="16"/>
          <w:szCs w:val="16"/>
          <w:color w:val="auto"/>
        </w:rPr>
        <w:t>”: Indebtedness issued by the Company or any Subsidiary to facilitate the deferral by clients of capital gains which result from securities transactions.</w:t>
      </w:r>
    </w:p>
    <w:p>
      <w:pPr>
        <w:spacing w:after="0" w:line="17" w:lineRule="exact"/>
        <w:rPr>
          <w:sz w:val="20"/>
          <w:szCs w:val="20"/>
          <w:color w:val="auto"/>
        </w:rPr>
      </w:pPr>
    </w:p>
    <w:p>
      <w:pPr>
        <w:jc w:val="both"/>
        <w:ind w:right="2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(a) as to any Base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Period</w:t>
      </w:r>
      <w:r>
        <w:rPr>
          <w:rFonts w:ascii="Times New Roman" w:cs="Times New Roman" w:eastAsia="Times New Roman" w:hAnsi="Times New Roman"/>
          <w:sz w:val="16"/>
          <w:szCs w:val="16"/>
          <w:color w:val="auto"/>
        </w:rPr>
        <w:t>”: with respect to any Eurodollar Loan:</w:t>
      </w:r>
    </w:p>
    <w:p>
      <w:pPr>
        <w:spacing w:after="0" w:line="93" w:lineRule="exact"/>
        <w:rPr>
          <w:sz w:val="20"/>
          <w:szCs w:val="20"/>
          <w:color w:val="auto"/>
        </w:rPr>
      </w:pPr>
    </w:p>
    <w:p>
      <w:pPr>
        <w:ind w:left="460" w:right="160" w:firstLine="415"/>
        <w:spacing w:after="0" w:line="282" w:lineRule="auto"/>
        <w:tabs>
          <w:tab w:leader="none" w:pos="111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initially, the period commencing on the Borrowing Date or date of conversion pursuant to Section 2.7, as the case may be, with respect to such Eurodollar Loan and ending one, two, three or six (or, if available to all relevant Banks, twelve) months thereafter, as selected by the Company in its notice of borrowing pursuant to Section 2.6 or notice of conversion pursuant to Section 2.7, as the case may be, given with respect thereto; and</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960"/>
          </w:cols>
          <w:pgMar w:left="700" w:top="265" w:right="239" w:bottom="1440" w:gutter="0" w:footer="0" w:header="0"/>
        </w:sectPr>
      </w:pPr>
    </w:p>
    <w:bookmarkStart w:id="167" w:name="page168"/>
    <w:bookmarkEnd w:id="167"/>
    <w:p>
      <w:pPr>
        <w:ind w:left="460" w:right="100" w:firstLine="415"/>
        <w:spacing w:after="0" w:line="282" w:lineRule="auto"/>
        <w:tabs>
          <w:tab w:leader="none" w:pos="111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thereafter, each period commencing on the last day of the next preceding Interest Period applicable to such Eurodollar Loan and ending one, two, three or six (or, if available to all relevant Banks, twelve) months thereafter, as selected by the Company by irrevocable notice to the Administrative Agent not less than three Business Days prior to the last day of the then current Interest Period with respect thereto;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provisions relating to Interest Periods are subject to the following:</w:t>
      </w:r>
    </w:p>
    <w:p>
      <w:pPr>
        <w:spacing w:after="0" w:line="93" w:lineRule="exact"/>
        <w:rPr>
          <w:sz w:val="20"/>
          <w:szCs w:val="20"/>
          <w:color w:val="auto"/>
        </w:rPr>
      </w:pPr>
    </w:p>
    <w:p>
      <w:pPr>
        <w:jc w:val="both"/>
        <w:ind w:left="460" w:right="40" w:firstLine="415"/>
        <w:spacing w:after="0" w:line="282" w:lineRule="auto"/>
        <w:tabs>
          <w:tab w:leader="none" w:pos="10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31" w:lineRule="exact"/>
        <w:rPr>
          <w:rFonts w:ascii="Times New Roman" w:cs="Times New Roman" w:eastAsia="Times New Roman" w:hAnsi="Times New Roman"/>
          <w:sz w:val="16"/>
          <w:szCs w:val="16"/>
          <w:color w:val="auto"/>
        </w:rPr>
      </w:pPr>
    </w:p>
    <w:p>
      <w:pPr>
        <w:ind w:left="1120" w:hanging="245"/>
        <w:spacing w:after="0"/>
        <w:tabs>
          <w:tab w:leader="none" w:pos="11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Interest Period that would otherwise extend beyond the Maturity Date shall end on the Maturity Date; and</w:t>
      </w:r>
    </w:p>
    <w:p>
      <w:pPr>
        <w:spacing w:after="0" w:line="92" w:lineRule="exact"/>
        <w:rPr>
          <w:rFonts w:ascii="Times New Roman" w:cs="Times New Roman" w:eastAsia="Times New Roman" w:hAnsi="Times New Roman"/>
          <w:sz w:val="16"/>
          <w:szCs w:val="16"/>
          <w:color w:val="auto"/>
        </w:rPr>
      </w:pPr>
    </w:p>
    <w:p>
      <w:pPr>
        <w:ind w:left="460" w:right="440" w:firstLine="415"/>
        <w:spacing w:after="0" w:line="301" w:lineRule="auto"/>
        <w:tabs>
          <w:tab w:leader="none" w:pos="1167"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spacing w:after="0" w:line="17"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as defined in Section 2.17(d).</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Lead Arranger</w:t>
      </w:r>
      <w:r>
        <w:rPr>
          <w:rFonts w:ascii="Times New Roman" w:cs="Times New Roman" w:eastAsia="Times New Roman" w:hAnsi="Times New Roman"/>
          <w:sz w:val="16"/>
          <w:szCs w:val="16"/>
          <w:color w:val="auto"/>
        </w:rPr>
        <w:t>”: Citigroup Global Markets Inc.</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LFNY</w:t>
      </w:r>
      <w:r>
        <w:rPr>
          <w:rFonts w:ascii="Times New Roman" w:cs="Times New Roman" w:eastAsia="Times New Roman" w:hAnsi="Times New Roman"/>
          <w:sz w:val="16"/>
          <w:szCs w:val="16"/>
          <w:color w:val="auto"/>
        </w:rPr>
        <w:t>”: Lazard Frères &amp; Co. LLC, a New York limited liability company.</w:t>
      </w:r>
    </w:p>
    <w:p>
      <w:pPr>
        <w:spacing w:after="0" w:line="93" w:lineRule="exact"/>
        <w:rPr>
          <w:sz w:val="20"/>
          <w:szCs w:val="20"/>
          <w:color w:val="auto"/>
        </w:rPr>
      </w:pPr>
    </w:p>
    <w:p>
      <w:pPr>
        <w:ind w:right="10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each loan made to the Company pursuant to Section 2.1.</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Loans</w:t>
      </w:r>
      <w:r>
        <w:rPr>
          <w:rFonts w:ascii="Times New Roman" w:cs="Times New Roman" w:eastAsia="Times New Roman" w:hAnsi="Times New Roman"/>
          <w:sz w:val="16"/>
          <w:szCs w:val="16"/>
          <w:color w:val="auto"/>
        </w:rPr>
        <w:t>”: the collective reference to the Loans.</w:t>
      </w:r>
    </w:p>
    <w:p>
      <w:pPr>
        <w:spacing w:after="0" w:line="1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920"/>
          </w:cols>
          <w:pgMar w:left="700" w:top="265" w:right="279" w:bottom="1440" w:gutter="0" w:footer="0" w:header="0"/>
        </w:sectPr>
      </w:pPr>
    </w:p>
    <w:bookmarkStart w:id="168" w:name="page169"/>
    <w:bookmarkEnd w:id="168"/>
    <w:p>
      <w:pPr>
        <w:ind w:firstLine="439"/>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Managing Directors</w:t>
      </w:r>
      <w:r>
        <w:rPr>
          <w:rFonts w:ascii="Times New Roman" w:cs="Times New Roman" w:eastAsia="Times New Roman" w:hAnsi="Times New Roman"/>
          <w:sz w:val="16"/>
          <w:szCs w:val="16"/>
          <w:color w:val="auto"/>
        </w:rPr>
        <w:t>”: the collective reference to each of the managing directors of Holdings, the Company or any of their respective controlled affiliates who holds, directly or indirectly, an equity interest of Holdings or securities convertible or exchangeable into equity interests of Holdings (including without limitation restricted stock, restricted stock units, performance-based restricted stock units or other issuances under Holdings’ equity incentive plan) and each trust, estate planning vehicle or other entity that holds or shall be transferred any such interest for tax or estate planning purposes.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Margin Stock</w:t>
      </w:r>
      <w:r>
        <w:rPr>
          <w:rFonts w:ascii="Times New Roman" w:cs="Times New Roman" w:eastAsia="Times New Roman" w:hAnsi="Times New Roman"/>
          <w:sz w:val="16"/>
          <w:szCs w:val="16"/>
          <w:color w:val="auto"/>
        </w:rPr>
        <w:t>”: as defined in Regulation U of the Board as in effect from time to time.</w:t>
      </w:r>
    </w:p>
    <w:p>
      <w:pPr>
        <w:spacing w:after="0" w:line="93" w:lineRule="exact"/>
        <w:rPr>
          <w:sz w:val="20"/>
          <w:szCs w:val="20"/>
          <w:color w:val="auto"/>
        </w:rPr>
      </w:pPr>
    </w:p>
    <w:p>
      <w:pPr>
        <w:ind w:right="80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the date which is the fifth anniversary of the Restatement Effective Date.</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Members’ Equity</w:t>
      </w:r>
      <w:r>
        <w:rPr>
          <w:rFonts w:ascii="Times New Roman" w:cs="Times New Roman" w:eastAsia="Times New Roman" w:hAnsi="Times New Roman"/>
          <w:sz w:val="16"/>
          <w:szCs w:val="16"/>
          <w:color w:val="auto"/>
        </w:rPr>
        <w:t>”: ownership equity of the Company represented by common members’ interests.</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as defined in Section 7.4.</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a multiemployer plan as defined in Section 4001(a)(3) of ERISA.</w:t>
      </w:r>
    </w:p>
    <w:p>
      <w:pPr>
        <w:spacing w:after="0" w:line="93"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Proceeds</w:t>
      </w:r>
      <w:r>
        <w:rPr>
          <w:rFonts w:ascii="Times New Roman" w:cs="Times New Roman" w:eastAsia="Times New Roman" w:hAnsi="Times New Roman"/>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 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960"/>
          </w:cols>
          <w:pgMar w:left="700" w:top="265" w:right="239" w:bottom="1440" w:gutter="0" w:footer="0" w:header="0"/>
        </w:sectPr>
      </w:pPr>
    </w:p>
    <w:bookmarkStart w:id="169" w:name="page170"/>
    <w:bookmarkEnd w:id="169"/>
    <w:p>
      <w:pPr>
        <w:ind w:firstLine="439"/>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Non-Excluded Taxes</w:t>
      </w:r>
      <w:r>
        <w:rPr>
          <w:rFonts w:ascii="Times New Roman" w:cs="Times New Roman" w:eastAsia="Times New Roman" w:hAnsi="Times New Roman"/>
          <w:sz w:val="16"/>
          <w:szCs w:val="16"/>
          <w:color w:val="auto"/>
        </w:rPr>
        <w:t>”: as defined in Section 2.17(a).</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Non-U.S. Lender</w:t>
      </w:r>
      <w:r>
        <w:rPr>
          <w:rFonts w:ascii="Times New Roman" w:cs="Times New Roman" w:eastAsia="Times New Roman" w:hAnsi="Times New Roman"/>
          <w:sz w:val="16"/>
          <w:szCs w:val="16"/>
          <w:color w:val="auto"/>
        </w:rPr>
        <w:t>”: as defined in Section 2.17(d).</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as defined in Section 2.2; collectively, the “Notes”.</w:t>
      </w:r>
    </w:p>
    <w:p>
      <w:pPr>
        <w:spacing w:after="0" w:line="93"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Obligations</w:t>
      </w:r>
      <w:r>
        <w:rPr>
          <w:rFonts w:ascii="Times New Roman" w:cs="Times New Roman" w:eastAsia="Times New Roman" w:hAnsi="Times New Roman"/>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42" w:lineRule="exact"/>
        <w:rPr>
          <w:sz w:val="20"/>
          <w:szCs w:val="20"/>
          <w:color w:val="auto"/>
        </w:rPr>
      </w:pPr>
    </w:p>
    <w:p>
      <w:pPr>
        <w:ind w:right="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the United States Department of the Treasury’s Office of Foreign Assets Control, which administers and enforces U.S. economic sanctions regulations set forth under (31 C.F.R. Subtitle B, Chapter V) (“</w:t>
      </w:r>
      <w:r>
        <w:rPr>
          <w:rFonts w:ascii="Times New Roman" w:cs="Times New Roman" w:eastAsia="Times New Roman" w:hAnsi="Times New Roman"/>
          <w:sz w:val="16"/>
          <w:szCs w:val="16"/>
          <w:u w:val="single" w:color="auto"/>
          <w:color w:val="auto"/>
        </w:rPr>
        <w:t>OFAC Regulations</w:t>
      </w:r>
      <w:r>
        <w:rPr>
          <w:rFonts w:ascii="Times New Roman" w:cs="Times New Roman" w:eastAsia="Times New Roman" w:hAnsi="Times New Roman"/>
          <w:sz w:val="16"/>
          <w:szCs w:val="16"/>
          <w:color w:val="auto"/>
        </w:rPr>
        <w:t>”).</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Credit Agreement</w:t>
      </w:r>
      <w:r>
        <w:rPr>
          <w:rFonts w:ascii="Times New Roman" w:cs="Times New Roman" w:eastAsia="Times New Roman" w:hAnsi="Times New Roman"/>
          <w:sz w:val="16"/>
          <w:szCs w:val="16"/>
          <w:color w:val="auto"/>
        </w:rPr>
        <w:t>”: as defined in the Preamble.</w:t>
      </w:r>
    </w:p>
    <w:p>
      <w:pPr>
        <w:spacing w:after="0" w:line="93" w:lineRule="exact"/>
        <w:rPr>
          <w:sz w:val="20"/>
          <w:szCs w:val="20"/>
          <w:color w:val="auto"/>
        </w:rPr>
      </w:pPr>
    </w:p>
    <w:p>
      <w:pPr>
        <w:ind w:right="5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Taxes</w:t>
      </w:r>
      <w:r>
        <w:rPr>
          <w:rFonts w:ascii="Times New Roman" w:cs="Times New Roman" w:eastAsia="Times New Roman" w:hAnsi="Times New Roman"/>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17" w:lineRule="exact"/>
        <w:rPr>
          <w:sz w:val="20"/>
          <w:szCs w:val="20"/>
          <w:color w:val="auto"/>
        </w:rPr>
      </w:pPr>
    </w:p>
    <w:p>
      <w:pPr>
        <w:ind w:right="3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Paris Profit Sharing Plan</w:t>
      </w:r>
      <w:r>
        <w:rPr>
          <w:rFonts w:ascii="Times New Roman" w:cs="Times New Roman" w:eastAsia="Times New Roman" w:hAnsi="Times New Roman"/>
          <w:sz w:val="16"/>
          <w:szCs w:val="16"/>
          <w:color w:val="auto"/>
        </w:rPr>
        <w:t>”: that certain Accord de participation initially dated March 21, 1996 among Lazard Frères SAS and its employees, Lazard Frères Gestion SAS and its employees, Lazard Frères Banque SA and its employees and LFG-Courtage SARL and its employees.</w:t>
      </w:r>
    </w:p>
    <w:p>
      <w:pPr>
        <w:spacing w:after="0" w:line="17"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Paris Subsidiaries</w:t>
      </w:r>
      <w:r>
        <w:rPr>
          <w:rFonts w:ascii="Times New Roman" w:cs="Times New Roman" w:eastAsia="Times New Roman" w:hAnsi="Times New Roman"/>
          <w:sz w:val="16"/>
          <w:szCs w:val="16"/>
          <w:color w:val="auto"/>
        </w:rPr>
        <w:t>”: each of Compagnie Financière Lazard Frères SAS, Lazard Frères Banque SA, Lazard Frères Gestion SAS and Lazard Frères SAS and each of their respective successors.</w:t>
      </w:r>
    </w:p>
    <w:p>
      <w:pPr>
        <w:spacing w:after="0" w:line="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960"/>
          </w:cols>
          <w:pgMar w:left="700" w:top="265" w:right="239" w:bottom="1440" w:gutter="0" w:footer="0" w:header="0"/>
        </w:sectPr>
      </w:pPr>
    </w:p>
    <w:bookmarkStart w:id="170" w:name="page171"/>
    <w:bookmarkEnd w:id="170"/>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as defined in Section 12.7(c)(i).</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as defined in Section 12.7(c)(i).</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the Pension Benefit Guaranty Corporation established pursuant to Subtitle A of Title IV of ERISA (or any successor).</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Receivables Financings</w:t>
      </w:r>
      <w:r>
        <w:rPr>
          <w:rFonts w:ascii="Times New Roman" w:cs="Times New Roman" w:eastAsia="Times New Roman" w:hAnsi="Times New Roman"/>
          <w:sz w:val="16"/>
          <w:szCs w:val="16"/>
          <w:color w:val="auto"/>
        </w:rPr>
        <w:t>”: any Receivables Financing of a Receivables Subsidiary that meets the following conditions:</w:t>
      </w:r>
    </w:p>
    <w:p>
      <w:pPr>
        <w:spacing w:after="0" w:line="93" w:lineRule="exact"/>
        <w:rPr>
          <w:sz w:val="20"/>
          <w:szCs w:val="20"/>
          <w:color w:val="auto"/>
        </w:rPr>
      </w:pPr>
    </w:p>
    <w:p>
      <w:pPr>
        <w:ind w:right="340" w:firstLine="436"/>
        <w:spacing w:after="0" w:line="301" w:lineRule="auto"/>
        <w:tabs>
          <w:tab w:leader="none" w:pos="66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management or the Board of Directors of the Company shall have determined in good faith that such Permitted Receivables Financing (including financing terms, covenants, termination events and other provisions) is in the best interests of the Company and the Receivables Subsidiary;</w:t>
      </w:r>
    </w:p>
    <w:p>
      <w:pPr>
        <w:spacing w:after="0" w:line="16" w:lineRule="exact"/>
        <w:rPr>
          <w:rFonts w:ascii="Times New Roman" w:cs="Times New Roman" w:eastAsia="Times New Roman" w:hAnsi="Times New Roman"/>
          <w:sz w:val="16"/>
          <w:szCs w:val="16"/>
          <w:color w:val="auto"/>
        </w:rPr>
      </w:pPr>
    </w:p>
    <w:p>
      <w:pPr>
        <w:ind w:right="60" w:firstLine="436"/>
        <w:spacing w:after="0" w:line="301" w:lineRule="auto"/>
        <w:tabs>
          <w:tab w:leader="none" w:pos="67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spacing w:after="0" w:line="16" w:lineRule="exact"/>
        <w:rPr>
          <w:rFonts w:ascii="Times New Roman" w:cs="Times New Roman" w:eastAsia="Times New Roman" w:hAnsi="Times New Roman"/>
          <w:sz w:val="16"/>
          <w:szCs w:val="16"/>
          <w:color w:val="auto"/>
        </w:rPr>
      </w:pPr>
    </w:p>
    <w:p>
      <w:pPr>
        <w:ind w:right="100" w:firstLine="436"/>
        <w:spacing w:after="0" w:line="301" w:lineRule="auto"/>
        <w:tabs>
          <w:tab w:leader="none" w:pos="66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financing terms, covenants, termination events and other provisions thereof shall be market terms (as determined in good faith by senior management or the Board of Directors of the Company).</w:t>
      </w:r>
    </w:p>
    <w:p>
      <w:pPr>
        <w:spacing w:after="0" w:line="17" w:lineRule="exact"/>
        <w:rPr>
          <w:sz w:val="20"/>
          <w:szCs w:val="20"/>
          <w:color w:val="auto"/>
        </w:rPr>
      </w:pPr>
    </w:p>
    <w:p>
      <w:pPr>
        <w:ind w:firstLine="439"/>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Refinancing Indebtedness</w:t>
      </w:r>
      <w:r>
        <w:rPr>
          <w:rFonts w:ascii="Times New Roman" w:cs="Times New Roman" w:eastAsia="Times New Roman" w:hAnsi="Times New Roman"/>
          <w:sz w:val="16"/>
          <w:szCs w:val="16"/>
          <w:color w:val="auto"/>
        </w:rPr>
        <w:t>”: any Indebtedness issued in exchange for, or the net proceeds of which are used to extend, refinance, renew, replace, defease or refund (collectively, to “</w:t>
      </w:r>
      <w:r>
        <w:rPr>
          <w:rFonts w:ascii="Times New Roman" w:cs="Times New Roman" w:eastAsia="Times New Roman" w:hAnsi="Times New Roman"/>
          <w:sz w:val="16"/>
          <w:szCs w:val="16"/>
          <w:u w:val="single" w:color="auto"/>
          <w:color w:val="auto"/>
        </w:rPr>
        <w:t>Refinance</w:t>
      </w:r>
      <w:r>
        <w:rPr>
          <w:rFonts w:ascii="Times New Roman" w:cs="Times New Roman" w:eastAsia="Times New Roman" w:hAnsi="Times New Roman"/>
          <w:sz w:val="16"/>
          <w:szCs w:val="16"/>
          <w:color w:val="auto"/>
        </w:rPr>
        <w:t xml:space="preserve">”), the Indebtedness being Refinanced (or previous refinancings thereof constituting Permitted Refinancing Indebtedness);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 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247" w:lineRule="exact"/>
        <w:rPr>
          <w:sz w:val="20"/>
          <w:szCs w:val="20"/>
          <w:color w:val="auto"/>
        </w:rPr>
      </w:pPr>
    </w:p>
    <w:p>
      <w:pPr>
        <w:ind w:right="1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an individual, partnership, corporation, business trust, joint stock company, trust, unincorporated association, joint venture, Governmental Authority or other entity of whatever nature.</w:t>
      </w:r>
    </w:p>
    <w:p>
      <w:pPr>
        <w:spacing w:after="0" w:line="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960"/>
          </w:cols>
          <w:pgMar w:left="700" w:top="265" w:right="239" w:bottom="1440" w:gutter="0" w:footer="0" w:header="0"/>
        </w:sectPr>
      </w:pPr>
    </w:p>
    <w:bookmarkStart w:id="171" w:name="page172"/>
    <w:bookmarkEnd w:id="171"/>
    <w:p>
      <w:pPr>
        <w:jc w:val="both"/>
        <w:ind w:right="600" w:firstLine="439"/>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Platform</w:t>
      </w:r>
      <w:r>
        <w:rPr>
          <w:rFonts w:ascii="Times New Roman" w:cs="Times New Roman" w:eastAsia="Times New Roman" w:hAnsi="Times New Roman"/>
          <w:sz w:val="16"/>
          <w:szCs w:val="16"/>
          <w:color w:val="auto"/>
        </w:rPr>
        <w:t>”: as defined in Section 12.2(c).</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Pricing Grid</w:t>
      </w:r>
      <w:r>
        <w:rPr>
          <w:rFonts w:ascii="Times New Roman" w:cs="Times New Roman" w:eastAsia="Times New Roman" w:hAnsi="Times New Roman"/>
          <w:sz w:val="16"/>
          <w:szCs w:val="16"/>
          <w:color w:val="auto"/>
        </w:rPr>
        <w:t>”: the table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3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Ratings</w:t>
            </w:r>
          </w:p>
        </w:tc>
        <w:tc>
          <w:tcPr>
            <w:tcW w:w="60" w:type="dxa"/>
            <w:vAlign w:val="bottom"/>
          </w:tcPr>
          <w:p>
            <w:pPr>
              <w:spacing w:after="0"/>
              <w:rPr>
                <w:sz w:val="12"/>
                <w:szCs w:val="12"/>
                <w:color w:val="auto"/>
              </w:rPr>
            </w:pPr>
          </w:p>
        </w:tc>
        <w:tc>
          <w:tcPr>
            <w:tcW w:w="2440" w:type="dxa"/>
            <w:vAlign w:val="bottom"/>
            <w:gridSpan w:val="4"/>
            <w:vMerge w:val="restart"/>
          </w:tcPr>
          <w:p>
            <w:pPr>
              <w:jc w:val="right"/>
              <w:ind w:right="1020"/>
              <w:spacing w:after="0"/>
              <w:rPr>
                <w:sz w:val="20"/>
                <w:szCs w:val="20"/>
                <w:color w:val="auto"/>
              </w:rPr>
            </w:pPr>
            <w:r>
              <w:rPr>
                <w:rFonts w:ascii="Times New Roman" w:cs="Times New Roman" w:eastAsia="Times New Roman" w:hAnsi="Times New Roman"/>
                <w:sz w:val="13"/>
                <w:szCs w:val="13"/>
                <w:color w:val="auto"/>
              </w:rPr>
              <w:t>Applicable Margin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3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(or, if applicable,</w:t>
            </w:r>
          </w:p>
        </w:tc>
        <w:tc>
          <w:tcPr>
            <w:tcW w:w="6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3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equivalent ratings</w:t>
            </w: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3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color w:val="auto"/>
              </w:rPr>
              <w:t>by a rating agency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3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set forth on</w:t>
            </w:r>
          </w:p>
        </w:tc>
        <w:tc>
          <w:tcPr>
            <w:tcW w:w="6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Eurodollar</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3"/>
              </w:rPr>
              <w:t>Commitment</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Schedule 1.1B)</w:t>
            </w:r>
          </w:p>
        </w:tc>
        <w:tc>
          <w:tcPr>
            <w:tcW w:w="5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bottom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Loans</w:t>
            </w:r>
          </w:p>
        </w:tc>
        <w:tc>
          <w:tcPr>
            <w:tcW w:w="50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8"/>
              </w:rPr>
              <w:t>Base Rate Loans</w:t>
            </w:r>
          </w:p>
        </w:tc>
        <w:tc>
          <w:tcPr>
            <w:tcW w:w="460" w:type="dxa"/>
            <w:vAlign w:val="bottom"/>
          </w:tcPr>
          <w:p>
            <w:pPr>
              <w:spacing w:after="0"/>
              <w:rPr>
                <w:sz w:val="15"/>
                <w:szCs w:val="15"/>
                <w:color w:val="auto"/>
              </w:rPr>
            </w:pPr>
          </w:p>
        </w:tc>
        <w:tc>
          <w:tcPr>
            <w:tcW w:w="74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129"/>
        </w:trPr>
        <w:tc>
          <w:tcPr>
            <w:tcW w:w="6340" w:type="dxa"/>
            <w:vAlign w:val="bottom"/>
            <w:tcBorders>
              <w:top w:val="single" w:sz="8" w:color="CCEEFF"/>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&gt; A</w:t>
            </w:r>
          </w:p>
        </w:tc>
        <w:tc>
          <w:tcPr>
            <w:tcW w:w="1140" w:type="dxa"/>
            <w:vAlign w:val="bottom"/>
            <w:tcBorders>
              <w:top w:val="single" w:sz="8" w:color="CCEEFF"/>
            </w:tcBorders>
            <w:gridSpan w:val="3"/>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100.0 bps</w:t>
            </w:r>
          </w:p>
        </w:tc>
        <w:tc>
          <w:tcPr>
            <w:tcW w:w="1360" w:type="dxa"/>
            <w:vAlign w:val="bottom"/>
            <w:tcBorders>
              <w:top w:val="single" w:sz="8" w:color="CCEEFF"/>
            </w:tcBorders>
            <w:gridSpan w:val="2"/>
            <w:shd w:val="clear" w:color="auto" w:fill="CCEEFF"/>
          </w:tcPr>
          <w:p>
            <w:pPr>
              <w:jc w:val="right"/>
              <w:ind w:right="460"/>
              <w:spacing w:after="0" w:line="124" w:lineRule="exact"/>
              <w:rPr>
                <w:sz w:val="20"/>
                <w:szCs w:val="20"/>
                <w:color w:val="auto"/>
              </w:rPr>
            </w:pPr>
            <w:r>
              <w:rPr>
                <w:rFonts w:ascii="Times New Roman" w:cs="Times New Roman" w:eastAsia="Times New Roman" w:hAnsi="Times New Roman"/>
                <w:sz w:val="14"/>
                <w:szCs w:val="14"/>
                <w:color w:val="auto"/>
              </w:rPr>
              <w:t>0 bps</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 bps</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340" w:type="dxa"/>
            <w:vAlign w:val="bottom"/>
            <w:gridSpan w:val="3"/>
          </w:tcPr>
          <w:p>
            <w:pPr>
              <w:spacing w:after="0" w:line="164" w:lineRule="exact"/>
              <w:rPr>
                <w:sz w:val="20"/>
                <w:szCs w:val="20"/>
                <w:color w:val="auto"/>
              </w:rPr>
            </w:pPr>
            <w:r>
              <w:rPr>
                <w:rFonts w:ascii="Times New Roman" w:cs="Times New Roman" w:eastAsia="Times New Roman" w:hAnsi="Times New Roman"/>
                <w:sz w:val="16"/>
                <w:szCs w:val="16"/>
                <w:color w:val="auto"/>
              </w:rPr>
              <w:t>&gt; A- but &lt; A</w:t>
            </w:r>
          </w:p>
        </w:tc>
        <w:tc>
          <w:tcPr>
            <w:tcW w:w="1140" w:type="dxa"/>
            <w:vAlign w:val="bottom"/>
            <w:gridSpan w:val="3"/>
          </w:tcPr>
          <w:p>
            <w:pPr>
              <w:ind w:left="60"/>
              <w:spacing w:after="0" w:line="164" w:lineRule="exact"/>
              <w:rPr>
                <w:sz w:val="20"/>
                <w:szCs w:val="20"/>
                <w:color w:val="auto"/>
              </w:rPr>
            </w:pPr>
            <w:r>
              <w:rPr>
                <w:rFonts w:ascii="Times New Roman" w:cs="Times New Roman" w:eastAsia="Times New Roman" w:hAnsi="Times New Roman"/>
                <w:sz w:val="16"/>
                <w:szCs w:val="16"/>
                <w:color w:val="auto"/>
              </w:rPr>
              <w:t>112.5 bps</w:t>
            </w:r>
          </w:p>
        </w:tc>
        <w:tc>
          <w:tcPr>
            <w:tcW w:w="1360" w:type="dxa"/>
            <w:vAlign w:val="bottom"/>
            <w:gridSpan w:val="2"/>
          </w:tcPr>
          <w:p>
            <w:pPr>
              <w:jc w:val="right"/>
              <w:ind w:right="460"/>
              <w:spacing w:after="0" w:line="164" w:lineRule="exact"/>
              <w:rPr>
                <w:sz w:val="20"/>
                <w:szCs w:val="20"/>
                <w:color w:val="auto"/>
              </w:rPr>
            </w:pPr>
            <w:r>
              <w:rPr>
                <w:rFonts w:ascii="Times New Roman" w:cs="Times New Roman" w:eastAsia="Times New Roman" w:hAnsi="Times New Roman"/>
                <w:sz w:val="16"/>
                <w:szCs w:val="16"/>
                <w:color w:val="auto"/>
              </w:rPr>
              <w:t>12.5 bps</w:t>
            </w:r>
          </w:p>
        </w:tc>
        <w:tc>
          <w:tcPr>
            <w:tcW w:w="74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auto"/>
              </w:rPr>
              <w:t>15.0 bps</w:t>
            </w:r>
          </w:p>
        </w:tc>
        <w:tc>
          <w:tcPr>
            <w:tcW w:w="0" w:type="dxa"/>
            <w:vAlign w:val="bottom"/>
          </w:tcPr>
          <w:p>
            <w:pPr>
              <w:spacing w:after="0"/>
              <w:rPr>
                <w:sz w:val="1"/>
                <w:szCs w:val="1"/>
                <w:color w:val="auto"/>
              </w:rPr>
            </w:pPr>
          </w:p>
        </w:tc>
      </w:tr>
      <w:tr>
        <w:trPr>
          <w:trHeight w:val="29"/>
        </w:trPr>
        <w:tc>
          <w:tcPr>
            <w:tcW w:w="1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34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&gt; BBB+ but &lt; A-</w:t>
            </w:r>
          </w:p>
        </w:tc>
        <w:tc>
          <w:tcPr>
            <w:tcW w:w="1140" w:type="dxa"/>
            <w:vAlign w:val="bottom"/>
            <w:gridSpan w:val="3"/>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125.0 bps</w:t>
            </w:r>
          </w:p>
        </w:tc>
        <w:tc>
          <w:tcPr>
            <w:tcW w:w="1360" w:type="dxa"/>
            <w:vAlign w:val="bottom"/>
            <w:gridSpan w:val="2"/>
            <w:shd w:val="clear" w:color="auto" w:fill="CCEEFF"/>
          </w:tcPr>
          <w:p>
            <w:pPr>
              <w:jc w:val="right"/>
              <w:ind w:right="460"/>
              <w:spacing w:after="0" w:line="172" w:lineRule="exact"/>
              <w:rPr>
                <w:sz w:val="20"/>
                <w:szCs w:val="20"/>
                <w:color w:val="auto"/>
              </w:rPr>
            </w:pPr>
            <w:r>
              <w:rPr>
                <w:rFonts w:ascii="Times New Roman" w:cs="Times New Roman" w:eastAsia="Times New Roman" w:hAnsi="Times New Roman"/>
                <w:sz w:val="16"/>
                <w:szCs w:val="16"/>
                <w:color w:val="auto"/>
              </w:rPr>
              <w:t>25.0 bps</w:t>
            </w:r>
          </w:p>
        </w:tc>
        <w:tc>
          <w:tcPr>
            <w:tcW w:w="74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17.5 bps</w:t>
            </w:r>
          </w:p>
        </w:tc>
        <w:tc>
          <w:tcPr>
            <w:tcW w:w="0" w:type="dxa"/>
            <w:vAlign w:val="bottom"/>
          </w:tcPr>
          <w:p>
            <w:pPr>
              <w:spacing w:after="0"/>
              <w:rPr>
                <w:sz w:val="1"/>
                <w:szCs w:val="1"/>
                <w:color w:val="auto"/>
              </w:rPr>
            </w:pPr>
          </w:p>
        </w:tc>
      </w:tr>
      <w:tr>
        <w:trPr>
          <w:trHeight w:val="38"/>
        </w:trPr>
        <w:tc>
          <w:tcPr>
            <w:tcW w:w="100" w:type="dxa"/>
            <w:vAlign w:val="bottom"/>
            <w:shd w:val="clear" w:color="auto" w:fill="000000"/>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6340" w:type="dxa"/>
            <w:vAlign w:val="bottom"/>
            <w:gridSpan w:val="3"/>
          </w:tcPr>
          <w:p>
            <w:pPr>
              <w:spacing w:after="0" w:line="164" w:lineRule="exact"/>
              <w:rPr>
                <w:sz w:val="20"/>
                <w:szCs w:val="20"/>
                <w:color w:val="auto"/>
              </w:rPr>
            </w:pPr>
            <w:r>
              <w:rPr>
                <w:rFonts w:ascii="Times New Roman" w:cs="Times New Roman" w:eastAsia="Times New Roman" w:hAnsi="Times New Roman"/>
                <w:sz w:val="16"/>
                <w:szCs w:val="16"/>
                <w:color w:val="auto"/>
              </w:rPr>
              <w:t>&gt; BBB but &lt; BBB+</w:t>
            </w:r>
          </w:p>
        </w:tc>
        <w:tc>
          <w:tcPr>
            <w:tcW w:w="1140" w:type="dxa"/>
            <w:vAlign w:val="bottom"/>
            <w:gridSpan w:val="3"/>
          </w:tcPr>
          <w:p>
            <w:pPr>
              <w:ind w:left="60"/>
              <w:spacing w:after="0" w:line="164" w:lineRule="exact"/>
              <w:rPr>
                <w:sz w:val="20"/>
                <w:szCs w:val="20"/>
                <w:color w:val="auto"/>
              </w:rPr>
            </w:pPr>
            <w:r>
              <w:rPr>
                <w:rFonts w:ascii="Times New Roman" w:cs="Times New Roman" w:eastAsia="Times New Roman" w:hAnsi="Times New Roman"/>
                <w:sz w:val="16"/>
                <w:szCs w:val="16"/>
                <w:color w:val="auto"/>
              </w:rPr>
              <w:t>150.0 bps</w:t>
            </w:r>
          </w:p>
        </w:tc>
        <w:tc>
          <w:tcPr>
            <w:tcW w:w="1360" w:type="dxa"/>
            <w:vAlign w:val="bottom"/>
            <w:gridSpan w:val="2"/>
          </w:tcPr>
          <w:p>
            <w:pPr>
              <w:jc w:val="right"/>
              <w:ind w:right="460"/>
              <w:spacing w:after="0" w:line="164" w:lineRule="exact"/>
              <w:rPr>
                <w:sz w:val="20"/>
                <w:szCs w:val="20"/>
                <w:color w:val="auto"/>
              </w:rPr>
            </w:pPr>
            <w:r>
              <w:rPr>
                <w:rFonts w:ascii="Times New Roman" w:cs="Times New Roman" w:eastAsia="Times New Roman" w:hAnsi="Times New Roman"/>
                <w:sz w:val="16"/>
                <w:szCs w:val="16"/>
                <w:color w:val="auto"/>
              </w:rPr>
              <w:t>50.0 bps</w:t>
            </w:r>
          </w:p>
        </w:tc>
        <w:tc>
          <w:tcPr>
            <w:tcW w:w="74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auto"/>
              </w:rPr>
              <w:t>22.5 bps</w:t>
            </w:r>
          </w:p>
        </w:tc>
        <w:tc>
          <w:tcPr>
            <w:tcW w:w="0" w:type="dxa"/>
            <w:vAlign w:val="bottom"/>
          </w:tcPr>
          <w:p>
            <w:pPr>
              <w:spacing w:after="0"/>
              <w:rPr>
                <w:sz w:val="1"/>
                <w:szCs w:val="1"/>
                <w:color w:val="auto"/>
              </w:rPr>
            </w:pPr>
          </w:p>
        </w:tc>
      </w:tr>
      <w:tr>
        <w:trPr>
          <w:trHeight w:val="29"/>
        </w:trPr>
        <w:tc>
          <w:tcPr>
            <w:tcW w:w="1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34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&gt; BBB- but &lt; BBB</w:t>
            </w:r>
          </w:p>
        </w:tc>
        <w:tc>
          <w:tcPr>
            <w:tcW w:w="1140" w:type="dxa"/>
            <w:vAlign w:val="bottom"/>
            <w:gridSpan w:val="3"/>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175.0 bps</w:t>
            </w:r>
          </w:p>
        </w:tc>
        <w:tc>
          <w:tcPr>
            <w:tcW w:w="1360" w:type="dxa"/>
            <w:vAlign w:val="bottom"/>
            <w:gridSpan w:val="2"/>
            <w:shd w:val="clear" w:color="auto" w:fill="CCEEFF"/>
          </w:tcPr>
          <w:p>
            <w:pPr>
              <w:jc w:val="right"/>
              <w:ind w:right="460"/>
              <w:spacing w:after="0" w:line="172" w:lineRule="exact"/>
              <w:rPr>
                <w:sz w:val="20"/>
                <w:szCs w:val="20"/>
                <w:color w:val="auto"/>
              </w:rPr>
            </w:pPr>
            <w:r>
              <w:rPr>
                <w:rFonts w:ascii="Times New Roman" w:cs="Times New Roman" w:eastAsia="Times New Roman" w:hAnsi="Times New Roman"/>
                <w:sz w:val="16"/>
                <w:szCs w:val="16"/>
                <w:color w:val="auto"/>
              </w:rPr>
              <w:t>75.0 bps</w:t>
            </w:r>
          </w:p>
        </w:tc>
        <w:tc>
          <w:tcPr>
            <w:tcW w:w="74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27.5 bps</w:t>
            </w:r>
          </w:p>
        </w:tc>
        <w:tc>
          <w:tcPr>
            <w:tcW w:w="0" w:type="dxa"/>
            <w:vAlign w:val="bottom"/>
          </w:tcPr>
          <w:p>
            <w:pPr>
              <w:spacing w:after="0"/>
              <w:rPr>
                <w:sz w:val="1"/>
                <w:szCs w:val="1"/>
                <w:color w:val="auto"/>
              </w:rPr>
            </w:pPr>
          </w:p>
        </w:tc>
      </w:tr>
      <w:tr>
        <w:trPr>
          <w:trHeight w:val="38"/>
        </w:trPr>
        <w:tc>
          <w:tcPr>
            <w:tcW w:w="100" w:type="dxa"/>
            <w:vAlign w:val="bottom"/>
            <w:shd w:val="clear" w:color="auto" w:fill="000000"/>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6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&lt; BBB-</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200.0 bps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 bps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 bps</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right="20" w:firstLine="439"/>
        <w:spacing w:after="0" w:line="272" w:lineRule="auto"/>
        <w:rPr>
          <w:sz w:val="20"/>
          <w:szCs w:val="20"/>
          <w:color w:val="auto"/>
        </w:rPr>
      </w:pPr>
      <w:r>
        <w:rPr>
          <w:rFonts w:ascii="Times New Roman" w:cs="Times New Roman" w:eastAsia="Times New Roman" w:hAnsi="Times New Roman"/>
          <w:sz w:val="16"/>
          <w:szCs w:val="16"/>
          <w:color w:val="auto"/>
        </w:rPr>
        <w:t>For the purposes of the Pricing Grid, the Company shall provide prompt written notice to the Administrative Agent of any change in any Rating by S&amp;P (or, if applicable, such other rating agency determined in accordance with the definition of “Ratings”). The Applicable Margin and the Commitment Fee Rate resulting from changes in the Ratings shall be effective on the date (the “</w:t>
      </w:r>
      <w:r>
        <w:rPr>
          <w:rFonts w:ascii="Times New Roman" w:cs="Times New Roman" w:eastAsia="Times New Roman" w:hAnsi="Times New Roman"/>
          <w:sz w:val="16"/>
          <w:szCs w:val="16"/>
          <w:u w:val="single" w:color="auto"/>
          <w:color w:val="auto"/>
        </w:rPr>
        <w:t>Adjustment Date</w:t>
      </w:r>
      <w:r>
        <w:rPr>
          <w:rFonts w:ascii="Times New Roman" w:cs="Times New Roman" w:eastAsia="Times New Roman" w:hAnsi="Times New Roman"/>
          <w:sz w:val="16"/>
          <w:szCs w:val="16"/>
          <w:color w:val="auto"/>
        </w:rPr>
        <w:t>”) that is three Business Days after the date of such change and shall remain in effect until the next change to be effected pursuant to this paragraph. In the event that the Company has obtained more than one Rating and such Ratings are split, the Pricing Grid will be based on the highest rating.</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Prohibited Transaction</w:t>
      </w:r>
      <w:r>
        <w:rPr>
          <w:rFonts w:ascii="Times New Roman" w:cs="Times New Roman" w:eastAsia="Times New Roman" w:hAnsi="Times New Roman"/>
          <w:sz w:val="16"/>
          <w:szCs w:val="16"/>
          <w:color w:val="auto"/>
        </w:rPr>
        <w:t>”: has the meaning assigned to such term in Section 406 of ERISA and Section 4975(c) of the Code.</w:t>
      </w:r>
    </w:p>
    <w:p>
      <w:pPr>
        <w:spacing w:after="0" w:line="93" w:lineRule="exact"/>
        <w:rPr>
          <w:sz w:val="20"/>
          <w:szCs w:val="20"/>
          <w:color w:val="auto"/>
        </w:rPr>
      </w:pPr>
    </w:p>
    <w:p>
      <w:pPr>
        <w:ind w:firstLine="439"/>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Ratings</w:t>
      </w:r>
      <w:r>
        <w:rPr>
          <w:rFonts w:ascii="Times New Roman" w:cs="Times New Roman" w:eastAsia="Times New Roman" w:hAnsi="Times New Roman"/>
          <w:sz w:val="16"/>
          <w:szCs w:val="16"/>
          <w:color w:val="auto"/>
        </w:rPr>
        <w:t xml:space="preserve">”: a rating of the Company’s senior unsecured non-credit enhanced indebtedness for borrowed money assigned by S&amp;P, each other rating agency set forth on Schedule 1.1B or any internationally recognized rating agency approved by the Administrative Agent and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case if the Company shall have no senior unsecured non-credit enhanced indebtedness for borrowed money, the Company’s corporate credit rating shall be used;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if at any time S&amp;P or any other rating agency set forth on Schedule 1.1B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1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960"/>
          </w:cols>
          <w:pgMar w:left="700" w:top="265" w:right="239" w:bottom="1440" w:gutter="0" w:footer="0" w:header="0"/>
        </w:sectPr>
      </w:pPr>
    </w:p>
    <w:bookmarkStart w:id="172" w:name="page173"/>
    <w:bookmarkEnd w:id="172"/>
    <w:p>
      <w:pPr>
        <w:ind w:right="20" w:firstLine="439"/>
        <w:spacing w:after="0" w:line="27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Receivables Financing</w:t>
      </w:r>
      <w:r>
        <w:rPr>
          <w:rFonts w:ascii="Times New Roman" w:cs="Times New Roman" w:eastAsia="Times New Roman" w:hAnsi="Times New Roman"/>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42" w:lineRule="exact"/>
        <w:rPr>
          <w:sz w:val="20"/>
          <w:szCs w:val="20"/>
          <w:color w:val="auto"/>
        </w:rPr>
      </w:pPr>
    </w:p>
    <w:p>
      <w:pPr>
        <w:ind w:firstLine="439"/>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Receivables Subsidiary</w:t>
      </w:r>
      <w:r>
        <w:rPr>
          <w:rFonts w:ascii="Times New Roman" w:cs="Times New Roman" w:eastAsia="Times New Roman" w:hAnsi="Times New Roman"/>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40" w:lineRule="exact"/>
        <w:rPr>
          <w:sz w:val="20"/>
          <w:szCs w:val="20"/>
          <w:color w:val="auto"/>
        </w:rPr>
      </w:pPr>
    </w:p>
    <w:p>
      <w:pPr>
        <w:ind w:right="100" w:firstLine="436"/>
        <w:spacing w:after="0" w:line="275" w:lineRule="auto"/>
        <w:tabs>
          <w:tab w:leader="none" w:pos="661"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37" w:lineRule="exact"/>
        <w:rPr>
          <w:rFonts w:ascii="Times New Roman" w:cs="Times New Roman" w:eastAsia="Times New Roman" w:hAnsi="Times New Roman"/>
          <w:sz w:val="16"/>
          <w:szCs w:val="16"/>
          <w:color w:val="auto"/>
        </w:rPr>
      </w:pPr>
    </w:p>
    <w:p>
      <w:pPr>
        <w:ind w:firstLine="436"/>
        <w:spacing w:after="0" w:line="282" w:lineRule="auto"/>
        <w:tabs>
          <w:tab w:leader="none" w:pos="67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31" w:lineRule="exact"/>
        <w:rPr>
          <w:rFonts w:ascii="Times New Roman" w:cs="Times New Roman" w:eastAsia="Times New Roman" w:hAnsi="Times New Roman"/>
          <w:sz w:val="16"/>
          <w:szCs w:val="16"/>
          <w:color w:val="auto"/>
        </w:rPr>
      </w:pPr>
    </w:p>
    <w:p>
      <w:pPr>
        <w:ind w:right="60" w:firstLine="436"/>
        <w:spacing w:after="0" w:line="301" w:lineRule="auto"/>
        <w:tabs>
          <w:tab w:leader="none" w:pos="661"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which neither the Company nor any other Subsidiary of the Company has any obligation to maintain or preserve such entity’s financial condition or cause such entity to achieve certain levels of operating results.</w:t>
      </w:r>
    </w:p>
    <w:p>
      <w:pPr>
        <w:spacing w:after="0" w:line="17" w:lineRule="exact"/>
        <w:rPr>
          <w:sz w:val="20"/>
          <w:szCs w:val="20"/>
          <w:color w:val="auto"/>
        </w:rPr>
      </w:pPr>
    </w:p>
    <w:p>
      <w:pPr>
        <w:ind w:right="120" w:firstLine="439"/>
        <w:spacing w:after="0" w:line="282" w:lineRule="auto"/>
        <w:rPr>
          <w:sz w:val="20"/>
          <w:szCs w:val="20"/>
          <w:color w:val="auto"/>
        </w:rPr>
      </w:pPr>
      <w:r>
        <w:rPr>
          <w:rFonts w:ascii="Times New Roman" w:cs="Times New Roman" w:eastAsia="Times New Roman" w:hAnsi="Times New Roman"/>
          <w:sz w:val="16"/>
          <w:szCs w:val="16"/>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960"/>
          </w:cols>
          <w:pgMar w:left="700" w:top="265" w:right="239" w:bottom="1440" w:gutter="0" w:footer="0" w:header="0"/>
        </w:sectPr>
      </w:pPr>
    </w:p>
    <w:bookmarkStart w:id="173" w:name="page174"/>
    <w:bookmarkEnd w:id="173"/>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as defined in Section 12.7(b)(iv).</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Regulation U</w:t>
      </w:r>
      <w:r>
        <w:rPr>
          <w:rFonts w:ascii="Times New Roman" w:cs="Times New Roman" w:eastAsia="Times New Roman" w:hAnsi="Times New Roman"/>
          <w:sz w:val="16"/>
          <w:szCs w:val="16"/>
          <w:color w:val="auto"/>
        </w:rPr>
        <w:t>”: Regulation U of the Board as in effect from time to time.</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Reportable Event</w:t>
      </w:r>
      <w:r>
        <w:rPr>
          <w:rFonts w:ascii="Times New Roman" w:cs="Times New Roman" w:eastAsia="Times New Roman" w:hAnsi="Times New Roman"/>
          <w:sz w:val="16"/>
          <w:szCs w:val="16"/>
          <w:color w:val="auto"/>
        </w:rPr>
        <w:t>”: any of the events set forth in Section 4043(c) of ERISA, other than those events as to which the thirty day notice period is waived.</w:t>
      </w:r>
    </w:p>
    <w:p>
      <w:pPr>
        <w:spacing w:after="0" w:line="93" w:lineRule="exact"/>
        <w:rPr>
          <w:sz w:val="20"/>
          <w:szCs w:val="20"/>
          <w:color w:val="auto"/>
        </w:rPr>
      </w:pPr>
    </w:p>
    <w:p>
      <w:pPr>
        <w:ind w:right="18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Lenders</w:t>
      </w:r>
      <w:r>
        <w:rPr>
          <w:rFonts w:ascii="Times New Roman" w:cs="Times New Roman" w:eastAsia="Times New Roman" w:hAnsi="Times New Roman"/>
          <w:sz w:val="16"/>
          <w:szCs w:val="16"/>
          <w:color w:val="auto"/>
        </w:rPr>
        <w:t xml:space="preserve">”: at any time, the holders of more than 50% of (a) the sum of the Commitments then in effect or, (b) if the Commitments have terminated, the sum of the aggregate unpaid principal amount of the Loans then outstanding;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at any time when there are two or more non-affiliated Banks party hereto, in no event shall the Required Lenders consist of fewer than two non-affiliated Banks.</w:t>
      </w:r>
    </w:p>
    <w:p>
      <w:pPr>
        <w:spacing w:after="0" w:line="31" w:lineRule="exact"/>
        <w:rPr>
          <w:sz w:val="20"/>
          <w:szCs w:val="20"/>
          <w:color w:val="auto"/>
        </w:rPr>
      </w:pPr>
    </w:p>
    <w:p>
      <w:pPr>
        <w:ind w:right="8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Requirement of Law</w:t>
      </w:r>
      <w:r>
        <w:rPr>
          <w:rFonts w:ascii="Times New Roman" w:cs="Times New Roman" w:eastAsia="Times New Roman" w:hAnsi="Times New Roman"/>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31" w:lineRule="exact"/>
        <w:rPr>
          <w:sz w:val="20"/>
          <w:szCs w:val="20"/>
          <w:color w:val="auto"/>
        </w:rPr>
      </w:pPr>
    </w:p>
    <w:p>
      <w:pPr>
        <w:ind w:right="24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Responsible Officer</w:t>
      </w:r>
      <w:r>
        <w:rPr>
          <w:rFonts w:ascii="Times New Roman" w:cs="Times New Roman" w:eastAsia="Times New Roman" w:hAnsi="Times New Roman"/>
          <w:sz w:val="16"/>
          <w:szCs w:val="16"/>
          <w:color w:val="auto"/>
        </w:rPr>
        <w:t>”: the chief executive officer, president or chief financial officer of the Company, but in any event, with respect to financial matters, the chief financial officer of the Company.</w:t>
      </w:r>
    </w:p>
    <w:p>
      <w:pPr>
        <w:spacing w:after="0" w:line="17" w:lineRule="exact"/>
        <w:rPr>
          <w:sz w:val="20"/>
          <w:szCs w:val="20"/>
          <w:color w:val="auto"/>
        </w:rPr>
      </w:pPr>
    </w:p>
    <w:p>
      <w:pPr>
        <w:ind w:right="30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Restatement Effective Date</w:t>
      </w:r>
      <w:r>
        <w:rPr>
          <w:rFonts w:ascii="Times New Roman" w:cs="Times New Roman" w:eastAsia="Times New Roman" w:hAnsi="Times New Roman"/>
          <w:sz w:val="16"/>
          <w:szCs w:val="16"/>
          <w:color w:val="auto"/>
        </w:rPr>
        <w:t>”: the date on which each of the conditions specified in Section 5.1 of this Agreement has been satisfied (or has been waived in accordance with Section 12.1).</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as defined in Section 7.8.</w:t>
      </w:r>
    </w:p>
    <w:p>
      <w:pPr>
        <w:spacing w:after="0" w:line="93" w:lineRule="exact"/>
        <w:rPr>
          <w:sz w:val="20"/>
          <w:szCs w:val="20"/>
          <w:color w:val="auto"/>
        </w:rPr>
      </w:pPr>
    </w:p>
    <w:p>
      <w:pPr>
        <w:ind w:right="16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 or “Sanctions</w:t>
      </w:r>
      <w:r>
        <w:rPr>
          <w:rFonts w:ascii="Times New Roman" w:cs="Times New Roman" w:eastAsia="Times New Roman" w:hAnsi="Times New Roman"/>
          <w:sz w:val="16"/>
          <w:szCs w:val="16"/>
          <w:color w:val="auto"/>
        </w:rPr>
        <w:t>”: any international economic sanction (transaction prohibition or asset-freeze) issued, administered or enforced by the United States Government (including OFAC), the European Union, Her Majesty’s Treasury of the United Kingdom, the United Nations Security Council (to the extent that it has jurisdiction over the Company or any of its Subsidiaries), or any other applicable European Union member state that has jurisdiction over the Company or any of its Subsidiaries.</w:t>
      </w:r>
    </w:p>
    <w:p>
      <w:pPr>
        <w:spacing w:after="0" w:line="38" w:lineRule="exact"/>
        <w:rPr>
          <w:sz w:val="20"/>
          <w:szCs w:val="20"/>
          <w:color w:val="auto"/>
        </w:rPr>
      </w:pPr>
    </w:p>
    <w:p>
      <w:pPr>
        <w:ind w:right="3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Country</w:t>
      </w:r>
      <w:r>
        <w:rPr>
          <w:rFonts w:ascii="Times New Roman" w:cs="Times New Roman" w:eastAsia="Times New Roman" w:hAnsi="Times New Roman"/>
          <w:sz w:val="16"/>
          <w:szCs w:val="16"/>
          <w:color w:val="auto"/>
        </w:rPr>
        <w:t>”: at any time, any country designated for comprehensive economic sanctions under OFAC Regulations that broadly restrict trade and investment with that country.</w:t>
      </w:r>
    </w:p>
    <w:p>
      <w:pPr>
        <w:spacing w:after="0" w:line="17"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Person</w:t>
      </w:r>
      <w:r>
        <w:rPr>
          <w:rFonts w:ascii="Times New Roman" w:cs="Times New Roman" w:eastAsia="Times New Roman" w:hAnsi="Times New Roman"/>
          <w:sz w:val="16"/>
          <w:szCs w:val="16"/>
          <w:color w:val="auto"/>
        </w:rPr>
        <w:t>”: (a) any Person named on OFAC’s List of Specially Designated Nationals and Blocked Persons, the U.S. Department of State’s Sanctioned Entity List, and other similar sanctions lists maintained by the United Nations Security Council (to the extent that it has jurisdiction over the Company or any of its Subsidiaries), the European Union or Her Majesty’s Treasury of the United Kingdom; (b) any Person organized or resident in a Sanctioned Country or (c) any Person majority-owned by any such Person referred to in clauses (a) or (b) above.</w:t>
      </w:r>
    </w:p>
    <w:p>
      <w:pPr>
        <w:spacing w:after="0" w:line="1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920"/>
          </w:cols>
          <w:pgMar w:left="700" w:top="265" w:right="279" w:bottom="1440" w:gutter="0" w:footer="0" w:header="0"/>
        </w:sectPr>
      </w:pPr>
    </w:p>
    <w:bookmarkStart w:id="174" w:name="page175"/>
    <w:bookmarkEnd w:id="174"/>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S&amp;P</w:t>
      </w:r>
      <w:r>
        <w:rPr>
          <w:rFonts w:ascii="Times New Roman" w:cs="Times New Roman" w:eastAsia="Times New Roman" w:hAnsi="Times New Roman"/>
          <w:sz w:val="16"/>
          <w:szCs w:val="16"/>
          <w:color w:val="auto"/>
        </w:rPr>
        <w:t>”: Standard &amp; Poor’s Ratings Services.</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Securities and Exchange Commission, or such other regulatory body which succeeds to the functions of the Securities and Exchange Commission.</w:t>
      </w:r>
    </w:p>
    <w:p>
      <w:pPr>
        <w:spacing w:after="0" w:line="93" w:lineRule="exact"/>
        <w:rPr>
          <w:sz w:val="20"/>
          <w:szCs w:val="20"/>
          <w:color w:val="auto"/>
        </w:rPr>
      </w:pPr>
    </w:p>
    <w:p>
      <w:pPr>
        <w:ind w:right="58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Filings</w:t>
      </w:r>
      <w:r>
        <w:rPr>
          <w:rFonts w:ascii="Times New Roman" w:cs="Times New Roman" w:eastAsia="Times New Roman" w:hAnsi="Times New Roman"/>
          <w:sz w:val="16"/>
          <w:szCs w:val="16"/>
          <w:color w:val="auto"/>
        </w:rPr>
        <w:t>”: as to the Company, any public filings that the Company or Lazard Ltd has made on form 10-K, 10-Q or 8-K pursuant to the U.S. federal securities statutes, rules or regulations prior to August 31, 2015.</w:t>
      </w:r>
    </w:p>
    <w:p>
      <w:pPr>
        <w:spacing w:after="0" w:line="17" w:lineRule="exact"/>
        <w:rPr>
          <w:sz w:val="20"/>
          <w:szCs w:val="20"/>
          <w:color w:val="auto"/>
        </w:rPr>
      </w:pPr>
    </w:p>
    <w:p>
      <w:pPr>
        <w:ind w:right="8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Note Indentures</w:t>
      </w:r>
      <w:r>
        <w:rPr>
          <w:rFonts w:ascii="Times New Roman" w:cs="Times New Roman" w:eastAsia="Times New Roman" w:hAnsi="Times New Roman"/>
          <w:sz w:val="16"/>
          <w:szCs w:val="16"/>
          <w:color w:val="auto"/>
        </w:rPr>
        <w:t>”: the Indenture dated as of May 10, 2005, as supplemented by the First and Second Supplemental Indentures dated as of May 10, 2005 the Amended and Restated Third Supplemental Indenture dated as of May 15, 2008, the Fourth Supplemental Indenture dated as of June 21, 2007, the Fifth Supplemental Indenture dated as of November 14, 2013 and the Sixth Supplemental Indenture dated as of February 13, 2015, together with all instruments and other agreements entered into by the Company in connection therewith.</w:t>
      </w:r>
    </w:p>
    <w:p>
      <w:pPr>
        <w:spacing w:after="0" w:line="38" w:lineRule="exact"/>
        <w:rPr>
          <w:sz w:val="20"/>
          <w:szCs w:val="20"/>
          <w:color w:val="auto"/>
        </w:rPr>
      </w:pPr>
    </w:p>
    <w:p>
      <w:pPr>
        <w:ind w:right="4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Significant Subsidiary</w:t>
      </w:r>
      <w:r>
        <w:rPr>
          <w:rFonts w:ascii="Times New Roman" w:cs="Times New Roman" w:eastAsia="Times New Roman" w:hAnsi="Times New Roman"/>
          <w:sz w:val="16"/>
          <w:szCs w:val="16"/>
          <w:color w:val="auto"/>
        </w:rPr>
        <w:t>”: any Subsidiary that would be a “Significant Subsidiary” of the Company within the meaning of Rule 1-02 under Regulation S-X promulgated by the SEC as in effect on the Restatement Effective Date, but excluding Lazard Group Finance LLC and Lazard Funding Limited LLC.</w:t>
      </w:r>
    </w:p>
    <w:p>
      <w:pPr>
        <w:spacing w:after="0" w:line="17" w:lineRule="exact"/>
        <w:rPr>
          <w:sz w:val="20"/>
          <w:szCs w:val="20"/>
          <w:color w:val="auto"/>
        </w:rPr>
      </w:pPr>
    </w:p>
    <w:p>
      <w:pPr>
        <w:ind w:right="36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Single Employer Plan</w:t>
      </w:r>
      <w:r>
        <w:rPr>
          <w:rFonts w:ascii="Times New Roman" w:cs="Times New Roman" w:eastAsia="Times New Roman" w:hAnsi="Times New Roman"/>
          <w:sz w:val="16"/>
          <w:szCs w:val="16"/>
          <w:color w:val="auto"/>
        </w:rPr>
        <w:t>”: any Plan (other than a Multiemployer plan) that is covered by Section 412 of the Code or Section 302 or Title IV of ERISA and is maintained or contributed to by the Company or any Commonly Controlled Entity.</w:t>
      </w:r>
    </w:p>
    <w:p>
      <w:pPr>
        <w:spacing w:after="0" w:line="17"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Non-Recourse Indebtedness</w:t>
      </w:r>
      <w:r>
        <w:rPr>
          <w:rFonts w:ascii="Times New Roman" w:cs="Times New Roman" w:eastAsia="Times New Roman" w:hAnsi="Times New Roman"/>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38" w:lineRule="exact"/>
        <w:rPr>
          <w:sz w:val="20"/>
          <w:szCs w:val="20"/>
          <w:color w:val="auto"/>
        </w:rPr>
      </w:pPr>
    </w:p>
    <w:p>
      <w:pPr>
        <w:ind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Recourse Indebtedness</w:t>
      </w:r>
      <w:r>
        <w:rPr>
          <w:rFonts w:ascii="Times New Roman" w:cs="Times New Roman" w:eastAsia="Times New Roman" w:hAnsi="Times New Roman"/>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31" w:lineRule="exact"/>
        <w:rPr>
          <w:sz w:val="20"/>
          <w:szCs w:val="20"/>
          <w:color w:val="auto"/>
        </w:rPr>
      </w:pPr>
    </w:p>
    <w:p>
      <w:pPr>
        <w:ind w:right="40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Street Loans</w:t>
      </w:r>
      <w:r>
        <w:rPr>
          <w:rFonts w:ascii="Times New Roman" w:cs="Times New Roman" w:eastAsia="Times New Roman" w:hAnsi="Times New Roman"/>
          <w:sz w:val="16"/>
          <w:szCs w:val="16"/>
          <w:color w:val="auto"/>
        </w:rPr>
        <w:t>”: short term borrowings made by the Company for the purpose of purchasing or carrying securities for the Company, or for customers of the Company.</w:t>
      </w:r>
    </w:p>
    <w:p>
      <w:pPr>
        <w:spacing w:after="0" w:line="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960"/>
          </w:cols>
          <w:pgMar w:left="700" w:top="265" w:right="239" w:bottom="1440" w:gutter="0" w:footer="0" w:header="0"/>
        </w:sectPr>
      </w:pPr>
    </w:p>
    <w:bookmarkStart w:id="175" w:name="page176"/>
    <w:bookmarkEnd w:id="175"/>
    <w:p>
      <w:pPr>
        <w:jc w:val="both"/>
        <w:ind w:right="20" w:firstLine="439"/>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Subordinated Indebtedness</w:t>
      </w:r>
      <w:r>
        <w:rPr>
          <w:rFonts w:ascii="Times New Roman" w:cs="Times New Roman" w:eastAsia="Times New Roman" w:hAnsi="Times New Roman"/>
          <w:sz w:val="16"/>
          <w:szCs w:val="16"/>
          <w:color w:val="auto"/>
        </w:rPr>
        <w:t xml:space="preserve">”: Indebtedness of the Company or any of its Subsidiaries that is subordinated in right of payment to the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incurred after the Restatement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38" w:lineRule="exact"/>
        <w:rPr>
          <w:sz w:val="20"/>
          <w:szCs w:val="20"/>
          <w:color w:val="auto"/>
        </w:rPr>
      </w:pPr>
    </w:p>
    <w:p>
      <w:pPr>
        <w:ind w:right="20" w:firstLine="439"/>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as to any Person, (a) a corporation, limited liability company or other similar business entity of which shares of stock or other equity interests having ordinary voting power (other than stock or other equity interests having such power only 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42" w:lineRule="exact"/>
        <w:rPr>
          <w:sz w:val="20"/>
          <w:szCs w:val="20"/>
          <w:color w:val="auto"/>
        </w:rPr>
      </w:pPr>
    </w:p>
    <w:p>
      <w:pPr>
        <w:jc w:val="both"/>
        <w:ind w:right="180" w:firstLine="439"/>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Swap Agreement</w:t>
      </w:r>
      <w:r>
        <w:rPr>
          <w:rFonts w:ascii="Times New Roman" w:cs="Times New Roman" w:eastAsia="Times New Roman" w:hAnsi="Times New Roman"/>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31" w:lineRule="exact"/>
        <w:rPr>
          <w:sz w:val="20"/>
          <w:szCs w:val="20"/>
          <w:color w:val="auto"/>
        </w:rPr>
      </w:pPr>
    </w:p>
    <w:p>
      <w:pPr>
        <w:ind w:right="180" w:firstLine="439"/>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 Debt</w:t>
      </w:r>
      <w:r>
        <w:rPr>
          <w:rFonts w:ascii="Times New Roman" w:cs="Times New Roman" w:eastAsia="Times New Roman" w:hAnsi="Times New Roman"/>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Type</w:t>
      </w:r>
      <w:r>
        <w:rPr>
          <w:rFonts w:ascii="Times New Roman" w:cs="Times New Roman" w:eastAsia="Times New Roman" w:hAnsi="Times New Roman"/>
          <w:sz w:val="16"/>
          <w:szCs w:val="16"/>
          <w:color w:val="auto"/>
        </w:rPr>
        <w:t>”: as to any Loan, its nature as a Base Rate Loan or a Eurodollar Loan.</w:t>
      </w:r>
    </w:p>
    <w:p>
      <w:pPr>
        <w:spacing w:after="0" w:line="93" w:lineRule="exact"/>
        <w:rPr>
          <w:sz w:val="20"/>
          <w:szCs w:val="20"/>
          <w:color w:val="auto"/>
        </w:rPr>
      </w:pPr>
    </w:p>
    <w:p>
      <w:pPr>
        <w:ind w:right="220"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 the Uniting and Strengthening America by Providing Appropriate Tools Required to Intercept and Obstruct Terrorism Act of 2001, as amended from time to time.</w:t>
      </w:r>
    </w:p>
    <w:p>
      <w:pPr>
        <w:spacing w:after="0" w:line="17" w:lineRule="exact"/>
        <w:rPr>
          <w:sz w:val="20"/>
          <w:szCs w:val="20"/>
          <w:color w:val="auto"/>
        </w:rPr>
      </w:pPr>
    </w:p>
    <w:p>
      <w:pPr>
        <w:ind w:firstLine="439"/>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Wholly Owned Subsidiary</w:t>
      </w:r>
      <w:r>
        <w:rPr>
          <w:rFonts w:ascii="Times New Roman" w:cs="Times New Roman" w:eastAsia="Times New Roman" w:hAnsi="Times New Roman"/>
          <w:sz w:val="16"/>
          <w:szCs w:val="16"/>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940"/>
          </w:cols>
          <w:pgMar w:left="700" w:top="265" w:right="259" w:bottom="1440" w:gutter="0" w:footer="0" w:header="0"/>
        </w:sectPr>
      </w:pPr>
    </w:p>
    <w:bookmarkStart w:id="176" w:name="page177"/>
    <w:bookmarkEnd w:id="176"/>
    <w:p>
      <w:pPr>
        <w:ind w:right="80" w:firstLine="914"/>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1.2 </w:t>
      </w:r>
      <w:r>
        <w:rPr>
          <w:rFonts w:ascii="Times New Roman" w:cs="Times New Roman" w:eastAsia="Times New Roman" w:hAnsi="Times New Roman"/>
          <w:sz w:val="16"/>
          <w:szCs w:val="16"/>
          <w:u w:val="single" w:color="auto"/>
          <w:color w:val="auto"/>
        </w:rPr>
        <w:t>Other Definitional Provisions</w:t>
      </w:r>
      <w:r>
        <w:rPr>
          <w:rFonts w:ascii="Times New Roman" w:cs="Times New Roman" w:eastAsia="Times New Roman" w:hAnsi="Times New Roman"/>
          <w:sz w:val="16"/>
          <w:szCs w:val="16"/>
          <w:color w:val="auto"/>
        </w:rPr>
        <w:t>. (a) Unless otherwise specified therein, all terms defined in this Agreement shall have the defined meanings when used in the Notes or any certificate or other document made or delivered pursuant hereto.</w:t>
      </w:r>
    </w:p>
    <w:p>
      <w:pPr>
        <w:spacing w:after="0" w:line="17" w:lineRule="exact"/>
        <w:rPr>
          <w:sz w:val="20"/>
          <w:szCs w:val="20"/>
          <w:color w:val="auto"/>
        </w:rPr>
      </w:pPr>
    </w:p>
    <w:p>
      <w:pPr>
        <w:ind w:firstLine="915"/>
        <w:spacing w:after="0" w:line="269" w:lineRule="auto"/>
        <w:tabs>
          <w:tab w:leader="none" w:pos="114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Company notifies the Administrative Agent that the Company wishes to amend any provision hereof, including, without limitation, any covenant in Section 6, to eliminate the effect of any change in GAAP (or the application thereof) adopted after the Restatement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41" w:lineRule="exact"/>
        <w:rPr>
          <w:rFonts w:ascii="Times New Roman" w:cs="Times New Roman" w:eastAsia="Times New Roman" w:hAnsi="Times New Roman"/>
          <w:sz w:val="16"/>
          <w:szCs w:val="16"/>
          <w:color w:val="auto"/>
        </w:rPr>
      </w:pPr>
    </w:p>
    <w:p>
      <w:pPr>
        <w:ind w:right="40" w:firstLine="915"/>
        <w:spacing w:after="0" w:line="266" w:lineRule="auto"/>
        <w:tabs>
          <w:tab w:leader="none" w:pos="113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and (v) the words “asset” and “property” shall be construed to have the same meaning and effect and to refer to any and all tangible and intangible assets and properties, including cash, securities, accounts and contract rights. References herein to knowledge with respect to the Company shall be deemed to refer to the actual knowledge of any executive officer of the Company.</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2. AMOUNT AND TERMS OF LOAN COMMITMENTS</w:t>
      </w:r>
    </w:p>
    <w:p>
      <w:pPr>
        <w:spacing w:after="0" w:line="168" w:lineRule="exact"/>
        <w:rPr>
          <w:sz w:val="20"/>
          <w:szCs w:val="20"/>
          <w:color w:val="auto"/>
        </w:rPr>
      </w:pPr>
    </w:p>
    <w:p>
      <w:pPr>
        <w:ind w:right="60" w:firstLine="914"/>
        <w:spacing w:after="0" w:line="275"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Loans</w:t>
      </w:r>
      <w:r>
        <w:rPr>
          <w:rFonts w:ascii="Times New Roman" w:cs="Times New Roman" w:eastAsia="Times New Roman" w:hAnsi="Times New Roman"/>
          <w:sz w:val="16"/>
          <w:szCs w:val="16"/>
          <w:color w:val="auto"/>
        </w:rPr>
        <w:t>. (a) Subject to the terms and conditions hereof, each Bank severally agrees to make revolving credit loans (individually, a “</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collectively, the “</w:t>
      </w:r>
      <w:r>
        <w:rPr>
          <w:rFonts w:ascii="Times New Roman" w:cs="Times New Roman" w:eastAsia="Times New Roman" w:hAnsi="Times New Roman"/>
          <w:sz w:val="16"/>
          <w:szCs w:val="16"/>
          <w:u w:val="single" w:color="auto"/>
          <w:color w:val="auto"/>
        </w:rPr>
        <w:t>Loans</w:t>
      </w:r>
      <w:r>
        <w:rPr>
          <w:rFonts w:ascii="Times New Roman" w:cs="Times New Roman" w:eastAsia="Times New Roman" w:hAnsi="Times New Roman"/>
          <w:sz w:val="16"/>
          <w:szCs w:val="16"/>
          <w:color w:val="auto"/>
        </w:rPr>
        <w:t>”) to the Company from time to time during the Commitment Period in an aggregate principal amount at 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00"/>
          </w:cols>
          <w:pgMar w:left="240" w:top="265" w:right="259" w:bottom="1440" w:gutter="0" w:footer="0" w:header="0"/>
        </w:sectPr>
      </w:pPr>
    </w:p>
    <w:bookmarkStart w:id="177" w:name="page178"/>
    <w:bookmarkEnd w:id="177"/>
    <w:p>
      <w:pPr>
        <w:ind w:firstLine="915"/>
        <w:spacing w:after="0" w:line="282" w:lineRule="auto"/>
        <w:tabs>
          <w:tab w:leader="none" w:pos="1146"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Loans may from time to time be (i) Eurodollar Loans, (ii) Base Rate Loans or (iii) a combination thereof, as determined by the Company and notified to the Administrative Agent in accordance with Sections 2.6 and 2.7,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Loan shall be continued as or converted into a Eurodollar Loan after the day that is one month prior to the Maturity Date.</w:t>
      </w:r>
    </w:p>
    <w:p>
      <w:pPr>
        <w:spacing w:after="0" w:line="31" w:lineRule="exact"/>
        <w:rPr>
          <w:sz w:val="20"/>
          <w:szCs w:val="20"/>
          <w:color w:val="auto"/>
        </w:rPr>
      </w:pPr>
    </w:p>
    <w:p>
      <w:pPr>
        <w:ind w:right="60" w:firstLine="914"/>
        <w:spacing w:after="0" w:line="268"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Each Bank may request that the Loans made by such Bank pursuant hereto shall be evidenced by a promissory note of the Company, substantially in the form of Exhibit A hereto, with appropriate insertions as to date and principal amount (individually a “</w:t>
      </w: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collectively,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xml:space="preserve">”), payable to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43" w:lineRule="exact"/>
        <w:rPr>
          <w:sz w:val="20"/>
          <w:szCs w:val="20"/>
          <w:color w:val="auto"/>
        </w:rPr>
      </w:pPr>
    </w:p>
    <w:p>
      <w:pPr>
        <w:ind w:right="20" w:firstLine="914"/>
        <w:spacing w:after="0" w:line="301"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Interest Rates and Interest Payment Dates</w:t>
      </w:r>
      <w:r>
        <w:rPr>
          <w:rFonts w:ascii="Times New Roman" w:cs="Times New Roman" w:eastAsia="Times New Roman" w:hAnsi="Times New Roman"/>
          <w:sz w:val="16"/>
          <w:szCs w:val="16"/>
          <w:color w:val="auto"/>
        </w:rPr>
        <w:t>. (a) Each Eurodollar Loan shall bear interest for each day during each Interest Period with respect thereto at a rate per annum equal to the Eurodollar Rate determined for such day plus the Applicable Margin.</w:t>
      </w:r>
    </w:p>
    <w:p>
      <w:pPr>
        <w:spacing w:after="0" w:line="17" w:lineRule="exact"/>
        <w:rPr>
          <w:sz w:val="20"/>
          <w:szCs w:val="20"/>
          <w:color w:val="auto"/>
        </w:rPr>
      </w:pPr>
    </w:p>
    <w:p>
      <w:pPr>
        <w:ind w:left="1140" w:hanging="225"/>
        <w:spacing w:after="0"/>
        <w:tabs>
          <w:tab w:leader="none" w:pos="11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Base Rate Loan shall bear interest for each day at a rate per annum equal to the Base Rate determined for such day plus the Applicable Margin.</w:t>
      </w:r>
    </w:p>
    <w:p>
      <w:pPr>
        <w:spacing w:after="0" w:line="92" w:lineRule="exact"/>
        <w:rPr>
          <w:rFonts w:ascii="Times New Roman" w:cs="Times New Roman" w:eastAsia="Times New Roman" w:hAnsi="Times New Roman"/>
          <w:sz w:val="16"/>
          <w:szCs w:val="16"/>
          <w:color w:val="auto"/>
        </w:rPr>
      </w:pPr>
    </w:p>
    <w:p>
      <w:pPr>
        <w:ind w:right="120" w:firstLine="915"/>
        <w:spacing w:after="0" w:line="301" w:lineRule="auto"/>
        <w:tabs>
          <w:tab w:leader="none" w:pos="113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Interest shall be payable in arrears on each Interest Payment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interest accruing pursuant to paragraph (d) of this Section shall be payable from time to time on demand.</w:t>
      </w:r>
    </w:p>
    <w:p>
      <w:pPr>
        <w:spacing w:after="0" w:line="16" w:lineRule="exact"/>
        <w:rPr>
          <w:rFonts w:ascii="Times New Roman" w:cs="Times New Roman" w:eastAsia="Times New Roman" w:hAnsi="Times New Roman"/>
          <w:sz w:val="16"/>
          <w:szCs w:val="16"/>
          <w:color w:val="auto"/>
        </w:rPr>
      </w:pPr>
    </w:p>
    <w:p>
      <w:pPr>
        <w:ind w:right="20" w:firstLine="915"/>
        <w:spacing w:after="0" w:line="272" w:lineRule="auto"/>
        <w:tabs>
          <w:tab w:leader="none" w:pos="114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Base Rate Loans, in each case, with respect to clauses (i) and (ii) above, from the date of such non-payment until such amount is paid in full (after as well as before judgment).</w:t>
      </w:r>
    </w:p>
    <w:p>
      <w:pPr>
        <w:spacing w:after="0" w:line="40" w:lineRule="exact"/>
        <w:rPr>
          <w:sz w:val="20"/>
          <w:szCs w:val="20"/>
          <w:color w:val="auto"/>
        </w:rPr>
      </w:pPr>
    </w:p>
    <w:p>
      <w:pPr>
        <w:ind w:right="180" w:firstLine="914"/>
        <w:spacing w:after="0" w:line="275"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Restatement Effective Date) and on the Maturity Date. The Administrative Agent shall promptly distribute to each Bank its pro rata share of each payment of such fees.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00"/>
          </w:cols>
          <w:pgMar w:left="240" w:top="265" w:right="259" w:bottom="1440" w:gutter="0" w:footer="0" w:header="0"/>
        </w:sectPr>
      </w:pPr>
    </w:p>
    <w:bookmarkStart w:id="178" w:name="page179"/>
    <w:bookmarkEnd w:id="178"/>
    <w:p>
      <w:pPr>
        <w:ind w:right="440" w:firstLine="915"/>
        <w:spacing w:after="0" w:line="301" w:lineRule="auto"/>
        <w:tabs>
          <w:tab w:leader="none" w:pos="1146"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Company agrees to pay to the Administrative Agent the fees in the amounts and on the date as set forth in the Fee Letter and to perform any other obligations contained therein.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Computation of Interest and Fees</w:t>
      </w:r>
      <w:r>
        <w:rPr>
          <w:rFonts w:ascii="Times New Roman" w:cs="Times New Roman" w:eastAsia="Times New Roman" w:hAnsi="Times New Roman"/>
          <w:sz w:val="16"/>
          <w:szCs w:val="16"/>
          <w:color w:val="auto"/>
        </w:rPr>
        <w:t>. (a) Interest and fees shall be computed on the basis of (i) a 360 day year for actual days elapsed for Eurodollar Loans and</w:t>
      </w:r>
    </w:p>
    <w:p>
      <w:pPr>
        <w:spacing w:after="0" w:line="30" w:lineRule="exact"/>
        <w:rPr>
          <w:sz w:val="20"/>
          <w:szCs w:val="20"/>
          <w:color w:val="auto"/>
        </w:rPr>
      </w:pPr>
    </w:p>
    <w:p>
      <w:pPr>
        <w:ind w:firstLine="1"/>
        <w:spacing w:after="0" w:line="270" w:lineRule="auto"/>
        <w:tabs>
          <w:tab w:leader="none" w:pos="241"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365 day or 366 day, as the case may be, year for actual days elapsed for Base Rate Loans and for fees under this Agreement. The Administrative Agent shall as soon as practicable notify the Company and the Banks of each determination of a Eurodollar Rate or of a Base Rate. Any change in the interest rate on a Loan resulting from a change in the Base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40" w:lineRule="exact"/>
        <w:rPr>
          <w:rFonts w:ascii="Times New Roman" w:cs="Times New Roman" w:eastAsia="Times New Roman" w:hAnsi="Times New Roman"/>
          <w:sz w:val="16"/>
          <w:szCs w:val="16"/>
          <w:color w:val="auto"/>
        </w:rPr>
      </w:pPr>
    </w:p>
    <w:p>
      <w:pPr>
        <w:ind w:right="280" w:firstLine="915"/>
        <w:spacing w:after="0" w:line="282" w:lineRule="auto"/>
        <w:tabs>
          <w:tab w:leader="none" w:pos="1146"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31" w:lineRule="exact"/>
        <w:rPr>
          <w:sz w:val="20"/>
          <w:szCs w:val="20"/>
          <w:color w:val="auto"/>
        </w:rPr>
      </w:pPr>
    </w:p>
    <w:p>
      <w:pPr>
        <w:ind w:right="20" w:firstLine="914"/>
        <w:spacing w:after="0" w:line="270" w:lineRule="auto"/>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Procedure for Borrowing</w:t>
      </w:r>
      <w:r>
        <w:rPr>
          <w:rFonts w:ascii="Times New Roman" w:cs="Times New Roman" w:eastAsia="Times New Roman" w:hAnsi="Times New Roman"/>
          <w:sz w:val="16"/>
          <w:szCs w:val="16"/>
          <w:color w:val="auto"/>
        </w:rPr>
        <w:t xml:space="preserve">. The Company may borrow Loans under the Commitments during the Commitment Period on any Business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give the Administrative Agent irrevocable notice (which notice must be received by the Administrative Agent prior to 1:00 P.M., New York City time,</w:t>
      </w:r>
    </w:p>
    <w:p>
      <w:pPr>
        <w:spacing w:after="0" w:line="1" w:lineRule="exact"/>
        <w:rPr>
          <w:sz w:val="20"/>
          <w:szCs w:val="20"/>
          <w:color w:val="auto"/>
        </w:rPr>
      </w:pPr>
    </w:p>
    <w:p>
      <w:pPr>
        <w:ind w:firstLine="1"/>
        <w:spacing w:after="0" w:line="266" w:lineRule="auto"/>
        <w:tabs>
          <w:tab w:leader="none" w:pos="223"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Business Days prior to the requested Borrowing Date, if all or any part of the requested Loans are to be initially Eurodollar Loans or (b) one Business Day prior to the requested Borrowing Date, otherwise), specifying (i) the amount to be borrowed, (ii) the requested Borrowing Date, (iii) whether the borrowing is to be of Eurodollar Loans, Base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45" w:lineRule="exact"/>
        <w:rPr>
          <w:sz w:val="20"/>
          <w:szCs w:val="20"/>
          <w:color w:val="auto"/>
        </w:rPr>
      </w:pPr>
    </w:p>
    <w:p>
      <w:pPr>
        <w:ind w:right="160" w:firstLine="914"/>
        <w:spacing w:after="0" w:line="269"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Conversion and Continuation Options</w:t>
      </w:r>
      <w:r>
        <w:rPr>
          <w:rFonts w:ascii="Times New Roman" w:cs="Times New Roman" w:eastAsia="Times New Roman" w:hAnsi="Times New Roman"/>
          <w:sz w:val="16"/>
          <w:szCs w:val="16"/>
          <w:color w:val="auto"/>
        </w:rPr>
        <w:t xml:space="preserve">. (a) The Company may elect from time to time to convert Eurodollar Loans to Base Rate Loans, by giving the Administrative Agent at least two Business Days’ prior irrevocable notice of such election. The Company may elect from time to time to convert Base Rate Loans to Eurodollar Loans by giving the Administrative Agent at least three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Base Rate Loans may be converted as provided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265" w:right="239" w:bottom="1440" w:gutter="0" w:footer="0" w:header="0"/>
        </w:sectPr>
      </w:pPr>
    </w:p>
    <w:bookmarkStart w:id="179" w:name="page180"/>
    <w:bookmarkEnd w:id="179"/>
    <w:p>
      <w:pPr>
        <w:ind w:firstLine="915"/>
        <w:spacing w:after="0" w:line="270" w:lineRule="auto"/>
        <w:tabs>
          <w:tab w:leader="none" w:pos="114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Company shall fail to give such notice or if such continuation is not permitted such Loans shall be automatically converted to Base Rate Loans on the last day of such then expiring Interest Period.</w:t>
      </w:r>
    </w:p>
    <w:p>
      <w:pPr>
        <w:spacing w:after="0" w:line="42" w:lineRule="exact"/>
        <w:rPr>
          <w:sz w:val="20"/>
          <w:szCs w:val="20"/>
          <w:color w:val="auto"/>
        </w:rPr>
      </w:pPr>
    </w:p>
    <w:p>
      <w:pPr>
        <w:ind w:right="20" w:firstLine="914"/>
        <w:spacing w:after="0" w:line="268"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Termination or Reduction of Commitments</w:t>
      </w:r>
      <w:r>
        <w:rPr>
          <w:rFonts w:ascii="Times New Roman" w:cs="Times New Roman" w:eastAsia="Times New Roman" w:hAnsi="Times New Roman"/>
          <w:sz w:val="16"/>
          <w:szCs w:val="16"/>
          <w:color w:val="auto"/>
        </w:rPr>
        <w:t xml:space="preserve">. The Company shall have the right, upon not less than three Business Days’ notice to the Banks, to terminate the Commitments or, from time to time, reduce the amount of the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w:t>
      </w:r>
    </w:p>
    <w:p>
      <w:pPr>
        <w:ind w:right="80" w:firstLine="1"/>
        <w:spacing w:after="0" w:line="268" w:lineRule="auto"/>
        <w:tabs>
          <w:tab w:leader="none" w:pos="23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(such notice to be revocable only if such prepayment is conditioned upon a refinancing of the Loans or other events mutually agreed between the Company and the Administrative Agent). Any such reduction shall be in an amount of $5,000,000, or greater integral multiple of $5,000,000, and shall reduce permanently the amount of the Commitments then in effect.</w:t>
      </w:r>
    </w:p>
    <w:p>
      <w:pPr>
        <w:spacing w:after="0" w:line="43" w:lineRule="exact"/>
        <w:rPr>
          <w:sz w:val="20"/>
          <w:szCs w:val="20"/>
          <w:color w:val="auto"/>
        </w:rPr>
      </w:pPr>
    </w:p>
    <w:p>
      <w:pPr>
        <w:ind w:right="80" w:firstLine="914"/>
        <w:spacing w:after="0" w:line="270"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Optional Prepayments of Loans</w:t>
      </w:r>
      <w:r>
        <w:rPr>
          <w:rFonts w:ascii="Times New Roman" w:cs="Times New Roman" w:eastAsia="Times New Roman" w:hAnsi="Times New Roman"/>
          <w:sz w:val="16"/>
          <w:szCs w:val="16"/>
          <w:color w:val="auto"/>
        </w:rPr>
        <w:t xml:space="preserve">. (a) The Company may, at any time, on the last day of any Interest Period with respect thereto, in the case of Eurodollar Loans (or on any other day if the Company reasonably promptly pays the costs arising therefrom pursuant to Section 2.12), and from time to time, in the case of Base Rate Loans, and upon three Business Days’ irrevocable notice (such notice to be revocable only if such prepayment is conditioned upon a refinancing of the Loans or other events mutually agreed between the Company and the Administrative Agent), in the case of Eurodollar Loans, and upon one Business Day’s notice, in case of Base Rate Loans, to the Administrative Agent, prepay the Loans on the date specified in such notice, in whole or in part, with accrued interest to the date of such prepayment on the amount prepaid;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each partial prepayment of Loans shall be in a principal amount of $5,000,000 or a larger integral multiple of $1,000,000.</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265" w:right="239" w:bottom="1440" w:gutter="0" w:footer="0" w:header="0"/>
        </w:sectPr>
      </w:pPr>
    </w:p>
    <w:bookmarkStart w:id="180" w:name="page181"/>
    <w:bookmarkEnd w:id="180"/>
    <w:p>
      <w:pPr>
        <w:ind w:right="440" w:firstLine="915"/>
        <w:spacing w:after="0" w:line="301" w:lineRule="auto"/>
        <w:tabs>
          <w:tab w:leader="none" w:pos="114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Upon receipt of a notice of prepayment of Loans pursuant to Section 2.9(a), the Administrative Agent shall promptly notify each Bank of the contents thereof and of such Bank’s ratable share of such prepayment.</w:t>
      </w:r>
    </w:p>
    <w:p>
      <w:pPr>
        <w:spacing w:after="0" w:line="17" w:lineRule="exact"/>
        <w:rPr>
          <w:sz w:val="20"/>
          <w:szCs w:val="20"/>
          <w:color w:val="auto"/>
        </w:rPr>
      </w:pPr>
    </w:p>
    <w:p>
      <w:pPr>
        <w:ind w:firstLine="914"/>
        <w:spacing w:after="0" w:line="268" w:lineRule="auto"/>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Pro Rata Treatment and Payments</w:t>
      </w:r>
      <w:r>
        <w:rPr>
          <w:rFonts w:ascii="Times New Roman" w:cs="Times New Roman" w:eastAsia="Times New Roman" w:hAnsi="Times New Roman"/>
          <w:sz w:val="16"/>
          <w:szCs w:val="16"/>
          <w:color w:val="auto"/>
        </w:rPr>
        <w:t>. (a) Each borrowing of Loans by the Company from the Banks and each payment (including each prepayment) by the Company on account of principal of and interest on the Loans shall be made pro rata according to the respective principal and interest owed to the Banks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43" w:lineRule="exact"/>
        <w:rPr>
          <w:sz w:val="20"/>
          <w:szCs w:val="20"/>
          <w:color w:val="auto"/>
        </w:rPr>
      </w:pPr>
    </w:p>
    <w:p>
      <w:pPr>
        <w:jc w:val="both"/>
        <w:ind w:right="20" w:firstLine="915"/>
        <w:spacing w:after="0" w:line="275" w:lineRule="auto"/>
        <w:tabs>
          <w:tab w:leader="none" w:pos="114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Company shall fail to give any such notice, each Bank shall apply the amount received to the payment of the then outstanding Loans pro rata according to the respective outstanding principal amounts of such Loans.</w:t>
      </w:r>
    </w:p>
    <w:p>
      <w:pPr>
        <w:spacing w:after="0" w:line="38" w:lineRule="exact"/>
        <w:rPr>
          <w:sz w:val="20"/>
          <w:szCs w:val="20"/>
          <w:color w:val="auto"/>
        </w:rPr>
      </w:pPr>
    </w:p>
    <w:p>
      <w:pPr>
        <w:ind w:right="40" w:firstLine="914"/>
        <w:spacing w:after="0" w:line="268"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Non-Receipt of Funds by the Administrative Agent</w:t>
      </w:r>
      <w:r>
        <w:rPr>
          <w:rFonts w:ascii="Times New Roman" w:cs="Times New Roman" w:eastAsia="Times New Roman" w:hAnsi="Times New Roman"/>
          <w:sz w:val="16"/>
          <w:szCs w:val="16"/>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43" w:lineRule="exact"/>
        <w:rPr>
          <w:sz w:val="20"/>
          <w:szCs w:val="20"/>
          <w:color w:val="auto"/>
        </w:rPr>
      </w:pPr>
    </w:p>
    <w:p>
      <w:pPr>
        <w:ind w:right="200" w:firstLine="915"/>
        <w:spacing w:after="0" w:line="301" w:lineRule="auto"/>
        <w:tabs>
          <w:tab w:leader="none" w:pos="114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certificate of the Administrative Agent submitted to any Bank with respect to any amount owing under the foregoing paragraph (a) shall be </w:t>
      </w:r>
      <w:r>
        <w:rPr>
          <w:rFonts w:ascii="Times New Roman" w:cs="Times New Roman" w:eastAsia="Times New Roman" w:hAnsi="Times New Roman"/>
          <w:sz w:val="16"/>
          <w:szCs w:val="16"/>
          <w:u w:val="single" w:color="auto"/>
          <w:color w:val="auto"/>
        </w:rPr>
        <w:t>prima facie</w:t>
      </w:r>
      <w:r>
        <w:rPr>
          <w:rFonts w:ascii="Times New Roman" w:cs="Times New Roman" w:eastAsia="Times New Roman" w:hAnsi="Times New Roman"/>
          <w:sz w:val="16"/>
          <w:szCs w:val="16"/>
          <w:color w:val="auto"/>
        </w:rPr>
        <w:t xml:space="preserve"> evidence of the facts stated therein.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00"/>
          </w:cols>
          <w:pgMar w:left="240" w:top="265" w:right="259" w:bottom="1440" w:gutter="0" w:footer="0" w:header="0"/>
        </w:sectPr>
      </w:pPr>
    </w:p>
    <w:bookmarkStart w:id="181" w:name="page182"/>
    <w:bookmarkEnd w:id="181"/>
    <w:p>
      <w:pPr>
        <w:ind w:right="20" w:firstLine="91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2.12 </w:t>
      </w:r>
      <w:r>
        <w:rPr>
          <w:rFonts w:ascii="Times New Roman" w:cs="Times New Roman" w:eastAsia="Times New Roman" w:hAnsi="Times New Roman"/>
          <w:sz w:val="16"/>
          <w:szCs w:val="16"/>
          <w:u w:val="single" w:color="auto"/>
          <w:color w:val="auto"/>
        </w:rPr>
        <w:t>Indemnity</w:t>
      </w:r>
      <w:r>
        <w:rPr>
          <w:rFonts w:ascii="Times New Roman" w:cs="Times New Roman" w:eastAsia="Times New Roman" w:hAnsi="Times New Roman"/>
          <w:sz w:val="16"/>
          <w:szCs w:val="16"/>
          <w:color w:val="auto"/>
        </w:rPr>
        <w:t>. The Company agrees to indemnify each Bank and to hold each Bank harmless from any loss or expense (other than any loss of anticipated profits)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251" w:lineRule="exact"/>
        <w:rPr>
          <w:sz w:val="20"/>
          <w:szCs w:val="20"/>
          <w:color w:val="auto"/>
        </w:rPr>
      </w:pPr>
    </w:p>
    <w:p>
      <w:pPr>
        <w:ind w:firstLine="914"/>
        <w:spacing w:after="0" w:line="265" w:lineRule="auto"/>
        <w:rPr>
          <w:sz w:val="20"/>
          <w:szCs w:val="20"/>
          <w:color w:val="auto"/>
        </w:rPr>
      </w:pPr>
      <w:r>
        <w:rPr>
          <w:rFonts w:ascii="Times New Roman" w:cs="Times New Roman" w:eastAsia="Times New Roman" w:hAnsi="Times New Roman"/>
          <w:sz w:val="16"/>
          <w:szCs w:val="16"/>
          <w:color w:val="auto"/>
        </w:rPr>
        <w:t xml:space="preserve">2.13 </w:t>
      </w:r>
      <w:r>
        <w:rPr>
          <w:rFonts w:ascii="Times New Roman" w:cs="Times New Roman" w:eastAsia="Times New Roman" w:hAnsi="Times New Roman"/>
          <w:sz w:val="16"/>
          <w:szCs w:val="16"/>
          <w:u w:val="single" w:color="auto"/>
          <w:color w:val="auto"/>
        </w:rPr>
        <w:t>Capital Adequacy</w:t>
      </w:r>
      <w:r>
        <w:rPr>
          <w:rFonts w:ascii="Times New Roman" w:cs="Times New Roman" w:eastAsia="Times New Roman" w:hAnsi="Times New Roman"/>
          <w:sz w:val="16"/>
          <w:szCs w:val="16"/>
          <w:color w:val="auto"/>
        </w:rPr>
        <w:t xml:space="preserve">. In the event that any of the Banks shall have determined that the adoption after the Restatement Effective Date of any law, rule or regulation regarding capital and liquidity adequacy, or any change after the Restatement Effective Date therein or in the interpretation or application thereof or compliance by such Bank with any request or directive regarding capital and liquidity adequacy (whether or not having the force of law) from any central bank or Governmental Authority including under Basel III or Dodd-Frank,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in similar circumstances under comparable provisions of other financing agreements of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absent demonstrable error, of the facts stated therein. Notwithstanding the foregoing, the Company shall not be required to compensate a Bank for any increased costs or reductions incurred more than 180 days prior to the date that such Bank notifies the Company of the change in law giving rise to such increased costs or reductions and of such Bank’s intention to claim compensation under this Section;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266" w:right="239" w:bottom="1440" w:gutter="0" w:footer="0" w:header="0"/>
        </w:sectPr>
      </w:pPr>
    </w:p>
    <w:bookmarkStart w:id="182" w:name="page183"/>
    <w:bookmarkEnd w:id="182"/>
    <w:p>
      <w:pPr>
        <w:ind w:firstLine="914"/>
        <w:spacing w:after="0" w:line="26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2.14 </w:t>
      </w:r>
      <w:r>
        <w:rPr>
          <w:rFonts w:ascii="Times New Roman" w:cs="Times New Roman" w:eastAsia="Times New Roman" w:hAnsi="Times New Roman"/>
          <w:sz w:val="16"/>
          <w:szCs w:val="16"/>
          <w:u w:val="single" w:color="auto"/>
          <w:color w:val="auto"/>
        </w:rPr>
        <w:t>Inability to Determine Interest Rate</w:t>
      </w:r>
      <w:r>
        <w:rPr>
          <w:rFonts w:ascii="Times New Roman" w:cs="Times New Roman" w:eastAsia="Times New Roman" w:hAnsi="Times New Roman"/>
          <w:sz w:val="16"/>
          <w:szCs w:val="16"/>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 Period the Administrative Agent shall give telecopy notice thereof to the Company and the Banks as soon as practicable thereafter. If such notice is given (a) any Eurodollar Loans requested to be made on the first day of such Interest Period shall be made as Base Rate Loans, (b) any Loans that were to have been converted on the first day of such Interest Period to Eurodollar Loans shall be converted to or continued as Base Rate Loans and (c) any outstanding Eurodollar Loans shall be converted, on the first day of such Interest Period, to Base Rate Loans. Until such notice has been withdrawn by the Administrative Agent, no further Eurodollar Loans shall be made or continued as such, nor shall the Company have the right to convert Loans to Eurodollar Loans.</w:t>
      </w:r>
    </w:p>
    <w:p>
      <w:pPr>
        <w:spacing w:after="0" w:line="41" w:lineRule="exact"/>
        <w:rPr>
          <w:sz w:val="20"/>
          <w:szCs w:val="20"/>
          <w:color w:val="auto"/>
        </w:rPr>
      </w:pPr>
    </w:p>
    <w:p>
      <w:pPr>
        <w:ind w:right="40" w:firstLine="914"/>
        <w:spacing w:after="0" w:line="264" w:lineRule="auto"/>
        <w:rPr>
          <w:sz w:val="20"/>
          <w:szCs w:val="20"/>
          <w:color w:val="auto"/>
        </w:rPr>
      </w:pPr>
      <w:r>
        <w:rPr>
          <w:rFonts w:ascii="Times New Roman" w:cs="Times New Roman" w:eastAsia="Times New Roman" w:hAnsi="Times New Roman"/>
          <w:sz w:val="16"/>
          <w:szCs w:val="16"/>
          <w:color w:val="auto"/>
        </w:rPr>
        <w:t xml:space="preserve">2.15 </w:t>
      </w:r>
      <w:r>
        <w:rPr>
          <w:rFonts w:ascii="Times New Roman" w:cs="Times New Roman" w:eastAsia="Times New Roman" w:hAnsi="Times New Roman"/>
          <w:sz w:val="16"/>
          <w:szCs w:val="16"/>
          <w:u w:val="single" w:color="auto"/>
          <w:color w:val="auto"/>
        </w:rPr>
        <w:t>Illegality</w:t>
      </w:r>
      <w:r>
        <w:rPr>
          <w:rFonts w:ascii="Times New Roman" w:cs="Times New Roman" w:eastAsia="Times New Roman" w:hAnsi="Times New Roman"/>
          <w:sz w:val="16"/>
          <w:szCs w:val="16"/>
          <w:color w:val="auto"/>
        </w:rPr>
        <w:t xml:space="preserve">. Notwithstanding any other provision herein, if the adoption of or any change in any Requirement of Law or in the interpretation or application thereof (including under Basel III or Dodd-Frank)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Base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Base Rate Loans at the earlier of (i) the end of such Interest Period and</w:t>
      </w:r>
    </w:p>
    <w:p>
      <w:pPr>
        <w:spacing w:after="0" w:line="5" w:lineRule="exact"/>
        <w:rPr>
          <w:sz w:val="20"/>
          <w:szCs w:val="20"/>
          <w:color w:val="auto"/>
        </w:rPr>
      </w:pPr>
    </w:p>
    <w:p>
      <w:pPr>
        <w:ind w:right="100" w:firstLine="1"/>
        <w:spacing w:after="0" w:line="285" w:lineRule="auto"/>
        <w:tabs>
          <w:tab w:leader="none" w:pos="24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required under such Requirement of Law. Each Bank that has delivered a notice pursuant to this Section, if the circumstances giving rise to such notice cease to exist, shall notify the Company thereof as soon as practicable.</w:t>
      </w:r>
    </w:p>
    <w:p>
      <w:pPr>
        <w:spacing w:after="0" w:line="29" w:lineRule="exact"/>
        <w:rPr>
          <w:sz w:val="20"/>
          <w:szCs w:val="20"/>
          <w:color w:val="auto"/>
        </w:rPr>
      </w:pPr>
    </w:p>
    <w:p>
      <w:pPr>
        <w:ind w:right="20" w:firstLine="914"/>
        <w:spacing w:after="0" w:line="282" w:lineRule="auto"/>
        <w:rPr>
          <w:sz w:val="20"/>
          <w:szCs w:val="20"/>
          <w:color w:val="auto"/>
        </w:rPr>
      </w:pPr>
      <w:r>
        <w:rPr>
          <w:rFonts w:ascii="Times New Roman" w:cs="Times New Roman" w:eastAsia="Times New Roman" w:hAnsi="Times New Roman"/>
          <w:sz w:val="16"/>
          <w:szCs w:val="16"/>
          <w:color w:val="auto"/>
        </w:rPr>
        <w:t xml:space="preserve">2.16 </w:t>
      </w:r>
      <w:r>
        <w:rPr>
          <w:rFonts w:ascii="Times New Roman" w:cs="Times New Roman" w:eastAsia="Times New Roman" w:hAnsi="Times New Roman"/>
          <w:sz w:val="16"/>
          <w:szCs w:val="16"/>
          <w:u w:val="single" w:color="auto"/>
          <w:color w:val="auto"/>
        </w:rPr>
        <w:t>Requirements of Law</w:t>
      </w:r>
      <w:r>
        <w:rPr>
          <w:rFonts w:ascii="Times New Roman" w:cs="Times New Roman" w:eastAsia="Times New Roman" w:hAnsi="Times New Roman"/>
          <w:sz w:val="16"/>
          <w:szCs w:val="16"/>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Restatement Effective Date:</w:t>
      </w:r>
    </w:p>
    <w:p>
      <w:pPr>
        <w:spacing w:after="0" w:line="31" w:lineRule="exact"/>
        <w:rPr>
          <w:sz w:val="20"/>
          <w:szCs w:val="20"/>
          <w:color w:val="auto"/>
        </w:rPr>
      </w:pPr>
    </w:p>
    <w:p>
      <w:pPr>
        <w:ind w:right="40" w:firstLine="915"/>
        <w:spacing w:after="0" w:line="282" w:lineRule="auto"/>
        <w:tabs>
          <w:tab w:leader="none" w:pos="110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subject any Bank to any tax on its loans, loan principal, letters of credit, commitments, or other obligations, or its deposits, reserves, other liabilities or capital attributable thereto (except for Non-Excluded Taxes covered by Section 2.17, changes in the rate of tax on the overall net income of such Bank, any branch profits imposed by the United States of America or any similar tax imposed by any other jurisdiction and any United States federal withholding taxes imposed under FATCA);</w:t>
      </w:r>
    </w:p>
    <w:p>
      <w:pPr>
        <w:spacing w:after="0" w:line="31" w:lineRule="exact"/>
        <w:rPr>
          <w:rFonts w:ascii="Times New Roman" w:cs="Times New Roman" w:eastAsia="Times New Roman" w:hAnsi="Times New Roman"/>
          <w:sz w:val="16"/>
          <w:szCs w:val="16"/>
          <w:color w:val="auto"/>
        </w:rPr>
      </w:pPr>
    </w:p>
    <w:p>
      <w:pPr>
        <w:jc w:val="both"/>
        <w:ind w:right="440" w:firstLine="915"/>
        <w:spacing w:after="0" w:line="282" w:lineRule="auto"/>
        <w:tabs>
          <w:tab w:leader="none" w:pos="1155"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340"/>
          </w:cols>
          <w:pgMar w:left="240" w:top="265" w:right="319" w:bottom="1440" w:gutter="0" w:footer="0" w:header="0"/>
        </w:sectPr>
      </w:pPr>
    </w:p>
    <w:bookmarkStart w:id="183" w:name="page184"/>
    <w:bookmarkEnd w:id="183"/>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(iii) shall impose on such Bank any other condition;</w:t>
      </w:r>
    </w:p>
    <w:p>
      <w:pPr>
        <w:spacing w:after="0" w:line="16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in similar circumstances under comparable provisions of other financing agreements of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324"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38" w:lineRule="exact"/>
        <w:rPr>
          <w:sz w:val="20"/>
          <w:szCs w:val="20"/>
          <w:color w:val="auto"/>
        </w:rPr>
      </w:pPr>
    </w:p>
    <w:p>
      <w:pPr>
        <w:jc w:val="both"/>
        <w:ind w:right="20" w:firstLine="915"/>
        <w:spacing w:after="0" w:line="282" w:lineRule="auto"/>
        <w:tabs>
          <w:tab w:leader="none" w:pos="114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31" w:lineRule="exact"/>
        <w:rPr>
          <w:rFonts w:ascii="Times New Roman" w:cs="Times New Roman" w:eastAsia="Times New Roman" w:hAnsi="Times New Roman"/>
          <w:sz w:val="16"/>
          <w:szCs w:val="16"/>
          <w:color w:val="auto"/>
        </w:rPr>
      </w:pPr>
    </w:p>
    <w:p>
      <w:pPr>
        <w:ind w:right="140" w:firstLine="915"/>
        <w:spacing w:after="0" w:line="275" w:lineRule="auto"/>
        <w:tabs>
          <w:tab w:leader="none" w:pos="1137"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Dodd-Frank and all requests, rules, guidelines, requirements and directives thereunder or issued in connection therewith or in implementation thereof, shall in each case be deemed to be a change in law under this Agreement, regardless of the date enacted, adopted, issued or implemented.</w:t>
      </w:r>
    </w:p>
    <w:p>
      <w:pPr>
        <w:spacing w:after="0" w:line="38" w:lineRule="exact"/>
        <w:rPr>
          <w:sz w:val="20"/>
          <w:szCs w:val="20"/>
          <w:color w:val="auto"/>
        </w:rPr>
      </w:pPr>
    </w:p>
    <w:p>
      <w:pPr>
        <w:ind w:firstLine="914"/>
        <w:spacing w:after="0" w:line="271" w:lineRule="auto"/>
        <w:rPr>
          <w:sz w:val="20"/>
          <w:szCs w:val="20"/>
          <w:color w:val="auto"/>
        </w:rPr>
      </w:pPr>
      <w:r>
        <w:rPr>
          <w:rFonts w:ascii="Times New Roman" w:cs="Times New Roman" w:eastAsia="Times New Roman" w:hAnsi="Times New Roman"/>
          <w:sz w:val="16"/>
          <w:szCs w:val="16"/>
          <w:color w:val="auto"/>
        </w:rPr>
        <w:t xml:space="preserve">2.17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(a) All payments made by or on account of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265" w:right="239" w:bottom="1440" w:gutter="0" w:footer="0" w:header="0"/>
        </w:sectPr>
      </w:pPr>
    </w:p>
    <w:bookmarkStart w:id="184" w:name="page185"/>
    <w:bookmarkEnd w:id="184"/>
    <w:p>
      <w:pPr>
        <w:ind w:right="80"/>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w:t>
      </w:r>
    </w:p>
    <w:p>
      <w:pPr>
        <w:ind w:firstLine="1"/>
        <w:spacing w:after="0" w:line="265" w:lineRule="auto"/>
        <w:tabs>
          <w:tab w:leader="none" w:pos="28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United States federal withholding taxes imposed under FATCA;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any such non-excluded taxes, levies, imposts, duties, charges, fees, deductions or withholdings (“</w:t>
      </w:r>
      <w:r>
        <w:rPr>
          <w:rFonts w:ascii="Times New Roman" w:cs="Times New Roman" w:eastAsia="Times New Roman" w:hAnsi="Times New Roman"/>
          <w:sz w:val="16"/>
          <w:szCs w:val="16"/>
          <w:u w:val="single" w:color="auto"/>
          <w:color w:val="auto"/>
        </w:rPr>
        <w:t>Non-Excluded Taxes</w:t>
      </w:r>
      <w:r>
        <w:rPr>
          <w:rFonts w:ascii="Times New Roman" w:cs="Times New Roman" w:eastAsia="Times New Roman" w:hAnsi="Times New Roman"/>
          <w:sz w:val="16"/>
          <w:szCs w:val="16"/>
          <w:color w:val="auto"/>
        </w:rPr>
        <w:t xml:space="preserve">”) or Other Taxes are required to be withheld from any amounts payable by or on account of the Company to the Administrative Agent or any Bank as determined in good faith by the applicable withholding agent, (x) such amounts shall be paid to the relevant Governmental Authority by the applicable withholding agent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federal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45" w:lineRule="exact"/>
        <w:rPr>
          <w:rFonts w:ascii="Times New Roman" w:cs="Times New Roman" w:eastAsia="Times New Roman" w:hAnsi="Times New Roman"/>
          <w:sz w:val="16"/>
          <w:szCs w:val="16"/>
          <w:color w:val="auto"/>
        </w:rPr>
      </w:pPr>
    </w:p>
    <w:p>
      <w:pPr>
        <w:ind w:left="1140" w:hanging="225"/>
        <w:spacing w:after="0"/>
        <w:tabs>
          <w:tab w:leader="none" w:pos="114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the Company shall pay any Other Taxes to the relevant Governmental Authority in accordance with applicable law.</w:t>
      </w:r>
    </w:p>
    <w:p>
      <w:pPr>
        <w:spacing w:after="0" w:line="92" w:lineRule="exact"/>
        <w:rPr>
          <w:rFonts w:ascii="Times New Roman" w:cs="Times New Roman" w:eastAsia="Times New Roman" w:hAnsi="Times New Roman"/>
          <w:sz w:val="16"/>
          <w:szCs w:val="16"/>
          <w:color w:val="auto"/>
        </w:rPr>
      </w:pPr>
    </w:p>
    <w:p>
      <w:pPr>
        <w:ind w:right="140" w:firstLine="915"/>
        <w:spacing w:after="0" w:line="268" w:lineRule="auto"/>
        <w:tabs>
          <w:tab w:leader="none" w:pos="1137"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(i) the Company fails to pay any Non-Excluded Taxes or Other Taxes when due to the appropriate taxing authority or</w:t>
      </w:r>
    </w:p>
    <w:p>
      <w:pPr>
        <w:ind w:right="160" w:firstLine="1"/>
        <w:spacing w:after="0" w:line="273" w:lineRule="auto"/>
        <w:tabs>
          <w:tab w:leader="none" w:pos="24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Non-Excluded Taxes (other than taxes described in clauses (1) and (2) of the final proviso of Section 2.17(a)) or Other Taxes are imposed directly upon the Administrative Agent or any Bank, the Company shall indemnify the Administrative Agent and the Banks for such amounts and any incremental taxes, interest or penalties that may become payable by the Administrative Agent or any Bank as a result of any such failure, in the case of (i) or any such direct imposition, in the case of (ii).</w:t>
      </w:r>
    </w:p>
    <w:p>
      <w:pPr>
        <w:spacing w:after="0" w:line="39" w:lineRule="exact"/>
        <w:rPr>
          <w:rFonts w:ascii="Times New Roman" w:cs="Times New Roman" w:eastAsia="Times New Roman" w:hAnsi="Times New Roman"/>
          <w:sz w:val="16"/>
          <w:szCs w:val="16"/>
          <w:color w:val="auto"/>
        </w:rPr>
      </w:pPr>
    </w:p>
    <w:p>
      <w:pPr>
        <w:ind w:right="200" w:firstLine="915"/>
        <w:spacing w:after="0" w:line="272" w:lineRule="auto"/>
        <w:tabs>
          <w:tab w:leader="none" w:pos="114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reasonably requested by the Company or the Administrative Agent as will permit such payments to be made without withholding or at a reduced rate of withholding. Without limiting the generality of the foregoing, each Bank (or Assignee) that is not a “United States person” as defined in Section 7701(a)(30) of</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00"/>
          </w:cols>
          <w:pgMar w:left="240" w:top="265" w:right="259" w:bottom="1440" w:gutter="0" w:footer="0" w:header="0"/>
        </w:sectPr>
      </w:pPr>
    </w:p>
    <w:bookmarkStart w:id="185" w:name="page186"/>
    <w:bookmarkEnd w:id="185"/>
    <w:p>
      <w:pPr>
        <w:spacing w:after="0" w:line="26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Code (a “</w:t>
      </w:r>
      <w:r>
        <w:rPr>
          <w:rFonts w:ascii="Times New Roman" w:cs="Times New Roman" w:eastAsia="Times New Roman" w:hAnsi="Times New Roman"/>
          <w:sz w:val="16"/>
          <w:szCs w:val="16"/>
          <w:u w:val="single" w:color="auto"/>
          <w:color w:val="auto"/>
        </w:rPr>
        <w:t>Non-U.S. Lender</w:t>
      </w:r>
      <w:r>
        <w:rPr>
          <w:rFonts w:ascii="Times New Roman" w:cs="Times New Roman" w:eastAsia="Times New Roman" w:hAnsi="Times New Roman"/>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Form W-8BEN or W-8BEN, as applicable,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 Form W-8BEN-E, as applicable,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 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If a payment made to a Bank would be subject to U.S. federal withholding imposed by FATCA if such Lender were to fail to comply with the applicable reporting requirements of FATCA (including those contained in Section 1471(b) or 1472(b) of the Code, as applicable), such Bank shall deliver to the Company and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the preceding sentence, “FATCA” shall include any amendments made to FATCA after the date of this Agreement. Notwithstanding any other provision of this paragraph, a Non-U.S. Lender shall not be required to deliver any form pursuant to this paragraph that such Non-U.S. Lender is not legally able to deliver.</w:t>
      </w:r>
    </w:p>
    <w:p>
      <w:pPr>
        <w:spacing w:after="0" w:line="45" w:lineRule="exact"/>
        <w:rPr>
          <w:sz w:val="20"/>
          <w:szCs w:val="20"/>
          <w:color w:val="auto"/>
        </w:rPr>
      </w:pPr>
    </w:p>
    <w:p>
      <w:pPr>
        <w:ind w:right="20" w:firstLine="915"/>
        <w:spacing w:after="0" w:line="275" w:lineRule="auto"/>
        <w:tabs>
          <w:tab w:leader="none" w:pos="113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37" w:lineRule="exact"/>
        <w:rPr>
          <w:rFonts w:ascii="Times New Roman" w:cs="Times New Roman" w:eastAsia="Times New Roman" w:hAnsi="Times New Roman"/>
          <w:sz w:val="16"/>
          <w:szCs w:val="16"/>
          <w:color w:val="auto"/>
        </w:rPr>
      </w:pPr>
    </w:p>
    <w:p>
      <w:pPr>
        <w:ind w:right="60" w:firstLine="915"/>
        <w:spacing w:after="0" w:line="275" w:lineRule="auto"/>
        <w:tabs>
          <w:tab w:leader="none" w:pos="111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265" w:right="239" w:bottom="1440" w:gutter="0" w:footer="0" w:header="0"/>
        </w:sectPr>
      </w:pPr>
    </w:p>
    <w:bookmarkStart w:id="186" w:name="page187"/>
    <w:bookmarkEnd w:id="186"/>
    <w:p>
      <w:pPr>
        <w:ind w:right="140"/>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reasonable out-of-pocket expenses of the Administrative Agent or such Bank and without interest (other than any interest paid by the relevant Governmental Authority with respect to such refund);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40" w:lineRule="exact"/>
        <w:rPr>
          <w:sz w:val="20"/>
          <w:szCs w:val="20"/>
          <w:color w:val="auto"/>
        </w:rPr>
      </w:pPr>
    </w:p>
    <w:p>
      <w:pPr>
        <w:ind w:right="40" w:firstLine="915"/>
        <w:spacing w:after="0" w:line="282" w:lineRule="auto"/>
        <w:tabs>
          <w:tab w:leader="none" w:pos="1146"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withholding taxes imposed under FATCA, from and after the Restatement Effective Date, the Company and the Administrative Agent shall treat (and the Banks hereby authorize the Administrative Agent to treat) the Loans as not qualifying as a “grandfathered obligation” within the meaning of Treasury Regulation Section 1.1471-2(b)(2)(i).</w:t>
      </w:r>
    </w:p>
    <w:p>
      <w:pPr>
        <w:spacing w:after="0" w:line="31" w:lineRule="exact"/>
        <w:rPr>
          <w:rFonts w:ascii="Times New Roman" w:cs="Times New Roman" w:eastAsia="Times New Roman" w:hAnsi="Times New Roman"/>
          <w:sz w:val="16"/>
          <w:szCs w:val="16"/>
          <w:color w:val="auto"/>
        </w:rPr>
      </w:pPr>
    </w:p>
    <w:p>
      <w:pPr>
        <w:ind w:left="1140" w:hanging="225"/>
        <w:spacing w:after="0"/>
        <w:tabs>
          <w:tab w:leader="none" w:pos="11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agreements in this Section shall survive the termination of this Agreement and the payment of the Loans and all other amounts payable hereunder.</w:t>
      </w:r>
    </w:p>
    <w:p>
      <w:pPr>
        <w:spacing w:after="0" w:line="93" w:lineRule="exact"/>
        <w:rPr>
          <w:sz w:val="20"/>
          <w:szCs w:val="20"/>
          <w:color w:val="auto"/>
        </w:rPr>
      </w:pPr>
    </w:p>
    <w:p>
      <w:pPr>
        <w:ind w:firstLine="914"/>
        <w:spacing w:after="0" w:line="266" w:lineRule="auto"/>
        <w:rPr>
          <w:sz w:val="20"/>
          <w:szCs w:val="20"/>
          <w:color w:val="auto"/>
        </w:rPr>
      </w:pPr>
      <w:r>
        <w:rPr>
          <w:rFonts w:ascii="Times New Roman" w:cs="Times New Roman" w:eastAsia="Times New Roman" w:hAnsi="Times New Roman"/>
          <w:sz w:val="16"/>
          <w:szCs w:val="16"/>
          <w:color w:val="auto"/>
        </w:rPr>
        <w:t xml:space="preserve">2.18 </w:t>
      </w:r>
      <w:r>
        <w:rPr>
          <w:rFonts w:ascii="Times New Roman" w:cs="Times New Roman" w:eastAsia="Times New Roman" w:hAnsi="Times New Roman"/>
          <w:sz w:val="16"/>
          <w:szCs w:val="16"/>
          <w:u w:val="single" w:color="auto"/>
          <w:color w:val="auto"/>
        </w:rPr>
        <w:t>Commitment Reductions and Mandatory Prepayments</w:t>
      </w:r>
      <w:r>
        <w:rPr>
          <w:rFonts w:ascii="Times New Roman" w:cs="Times New Roman" w:eastAsia="Times New Roman" w:hAnsi="Times New Roman"/>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less any portion of such Net Proceeds reinvested by Company or any of its Subsidiaries, as applicable, in Additional Assets within 180 days from the applicable Designated Asset Sale from which such Net Proceeds were received (the “</w:t>
      </w:r>
      <w:r>
        <w:rPr>
          <w:rFonts w:ascii="Times New Roman" w:cs="Times New Roman" w:eastAsia="Times New Roman" w:hAnsi="Times New Roman"/>
          <w:sz w:val="16"/>
          <w:szCs w:val="16"/>
          <w:u w:val="single" w:color="auto"/>
          <w:color w:val="auto"/>
        </w:rPr>
        <w:t>Disposition Amount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 “Disposition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Loans then outstanding exceeds the amount of the Commitments as reduced pursuant to this Section 2.18 and (y) payment of the costs arising therefrom pursuant to Section 2.12.</w:t>
      </w:r>
    </w:p>
    <w:p>
      <w:pPr>
        <w:spacing w:after="0" w:line="50" w:lineRule="exact"/>
        <w:rPr>
          <w:sz w:val="20"/>
          <w:szCs w:val="20"/>
          <w:color w:val="auto"/>
        </w:rPr>
      </w:pPr>
    </w:p>
    <w:p>
      <w:pPr>
        <w:ind w:right="540" w:firstLine="914"/>
        <w:spacing w:after="0" w:line="301" w:lineRule="auto"/>
        <w:rPr>
          <w:sz w:val="20"/>
          <w:szCs w:val="20"/>
          <w:color w:val="auto"/>
        </w:rPr>
      </w:pPr>
      <w:r>
        <w:rPr>
          <w:rFonts w:ascii="Times New Roman" w:cs="Times New Roman" w:eastAsia="Times New Roman" w:hAnsi="Times New Roman"/>
          <w:sz w:val="16"/>
          <w:szCs w:val="16"/>
          <w:color w:val="auto"/>
        </w:rPr>
        <w:t xml:space="preserve">2.19 </w:t>
      </w:r>
      <w:r>
        <w:rPr>
          <w:rFonts w:ascii="Times New Roman" w:cs="Times New Roman" w:eastAsia="Times New Roman" w:hAnsi="Times New Roman"/>
          <w:sz w:val="16"/>
          <w:szCs w:val="16"/>
          <w:u w:val="single" w:color="auto"/>
          <w:color w:val="auto"/>
        </w:rPr>
        <w:t>Defaulting Lender</w:t>
      </w:r>
      <w:r>
        <w:rPr>
          <w:rFonts w:ascii="Times New Roman" w:cs="Times New Roman" w:eastAsia="Times New Roman" w:hAnsi="Times New Roman"/>
          <w:sz w:val="16"/>
          <w:szCs w:val="16"/>
          <w:color w:val="auto"/>
        </w:rPr>
        <w:t>. Notwithstanding any provision of this Agreement to the contrary, if any Bank becomes a Defaulting Lender, then the following provisions shall apply for so long as such Bank is a Defaulting Lender:</w:t>
      </w:r>
    </w:p>
    <w:p>
      <w:pPr>
        <w:spacing w:after="0" w:line="17" w:lineRule="exact"/>
        <w:rPr>
          <w:sz w:val="20"/>
          <w:szCs w:val="20"/>
          <w:color w:val="auto"/>
        </w:rPr>
      </w:pPr>
    </w:p>
    <w:p>
      <w:pPr>
        <w:ind w:left="5640" w:right="2320" w:hanging="4725"/>
        <w:spacing w:after="0" w:line="482" w:lineRule="auto"/>
        <w:tabs>
          <w:tab w:leader="none" w:pos="114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shall cease to accrue on the unfunded portion of the Commitment of such Defaulting Lender pursuant to Section 2.4; 31</w:t>
      </w:r>
    </w:p>
    <w:p>
      <w:pPr>
        <w:sectPr>
          <w:pgSz w:w="11900" w:h="16838" w:orient="portrait"/>
          <w:cols w:equalWidth="0" w:num="1">
            <w:col w:w="11400"/>
          </w:cols>
          <w:pgMar w:left="240" w:top="265" w:right="259" w:bottom="1440" w:gutter="0" w:footer="0" w:header="0"/>
        </w:sectPr>
      </w:pPr>
    </w:p>
    <w:bookmarkStart w:id="187" w:name="page188"/>
    <w:bookmarkEnd w:id="187"/>
    <w:p>
      <w:pPr>
        <w:ind w:right="60" w:firstLine="915"/>
        <w:spacing w:after="0" w:line="270" w:lineRule="auto"/>
        <w:tabs>
          <w:tab w:leader="none" w:pos="114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41" w:lineRule="exact"/>
        <w:rPr>
          <w:rFonts w:ascii="Times New Roman" w:cs="Times New Roman" w:eastAsia="Times New Roman" w:hAnsi="Times New Roman"/>
          <w:sz w:val="16"/>
          <w:szCs w:val="16"/>
          <w:color w:val="auto"/>
        </w:rPr>
      </w:pPr>
    </w:p>
    <w:p>
      <w:pPr>
        <w:ind w:firstLine="915"/>
        <w:spacing w:after="0" w:line="267" w:lineRule="auto"/>
        <w:tabs>
          <w:tab w:leader="none" w:pos="1137"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 (i) </w:t>
      </w: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to the payment of any amounts owing by such Defaulting Lender to the Administrative Agent hereunder, (ii)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to the funding of any Loan in respect of which such Defaulting Lender has failed to fund its portion thereof as required by this Agreement, as determined by the Administrative Agent, (iii) </w:t>
      </w: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Times New Roman" w:cs="Times New Roman" w:eastAsia="Times New Roman" w:hAnsi="Times New Roman"/>
          <w:sz w:val="16"/>
          <w:szCs w:val="16"/>
          <w:u w:val="single" w:color="auto"/>
          <w:color w:val="auto"/>
        </w:rPr>
        <w:t>fourth</w:t>
      </w:r>
      <w:r>
        <w:rPr>
          <w:rFonts w:ascii="Times New Roman" w:cs="Times New Roman" w:eastAsia="Times New Roman" w:hAnsi="Times New Roman"/>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Times New Roman" w:cs="Times New Roman" w:eastAsia="Times New Roman" w:hAnsi="Times New Roman"/>
          <w:sz w:val="16"/>
          <w:szCs w:val="16"/>
          <w:u w:val="single" w:color="auto"/>
          <w:color w:val="auto"/>
        </w:rPr>
        <w:t>fifth</w:t>
      </w:r>
      <w:r>
        <w:rPr>
          <w:rFonts w:ascii="Times New Roman" w:cs="Times New Roman" w:eastAsia="Times New Roman" w:hAnsi="Times New Roman"/>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21" w:lineRule="exact"/>
        <w:rPr>
          <w:sz w:val="20"/>
          <w:szCs w:val="20"/>
          <w:color w:val="auto"/>
        </w:rPr>
      </w:pPr>
    </w:p>
    <w:p>
      <w:pPr>
        <w:ind w:firstLine="914"/>
        <w:spacing w:after="0" w:line="265" w:lineRule="auto"/>
        <w:rPr>
          <w:sz w:val="20"/>
          <w:szCs w:val="20"/>
          <w:color w:val="auto"/>
        </w:rPr>
      </w:pPr>
      <w:r>
        <w:rPr>
          <w:rFonts w:ascii="Times New Roman" w:cs="Times New Roman" w:eastAsia="Times New Roman" w:hAnsi="Times New Roman"/>
          <w:sz w:val="16"/>
          <w:szCs w:val="16"/>
          <w:color w:val="auto"/>
        </w:rPr>
        <w:t xml:space="preserve">Notwithstanding Section 2.20, the Company may, upon not less than three Business Day’s notice to a Defaulting Lender and the Administrative Agent (which the Administrative Agent will promptly provide to the other Banks), terminate or reduce the unused Commitment of such Defaulting Lender (without being required to terminate or reduce the Commitments of other Banks);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w:t>
      </w:r>
    </w:p>
    <w:p>
      <w:pPr>
        <w:spacing w:after="0" w:line="2" w:lineRule="exact"/>
        <w:rPr>
          <w:sz w:val="20"/>
          <w:szCs w:val="20"/>
          <w:color w:val="auto"/>
        </w:rPr>
      </w:pPr>
    </w:p>
    <w:p>
      <w:pPr>
        <w:ind w:right="120" w:firstLine="1"/>
        <w:spacing w:after="0" w:line="262" w:lineRule="auto"/>
        <w:tabs>
          <w:tab w:leader="none" w:pos="22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w:t>
      </w:r>
    </w:p>
    <w:p>
      <w:pPr>
        <w:spacing w:after="0" w:line="1" w:lineRule="exact"/>
        <w:rPr>
          <w:rFonts w:ascii="Times New Roman" w:cs="Times New Roman" w:eastAsia="Times New Roman" w:hAnsi="Times New Roman"/>
          <w:sz w:val="16"/>
          <w:szCs w:val="16"/>
          <w:color w:val="auto"/>
        </w:rPr>
      </w:pPr>
    </w:p>
    <w:p>
      <w:pPr>
        <w:ind w:firstLine="1"/>
        <w:spacing w:after="0" w:line="285" w:lineRule="auto"/>
        <w:tabs>
          <w:tab w:leader="none" w:pos="232"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the new Commitments of banks or financial institutions that become Banks hereunder pursuant to this sentence does not exceed the amount of the terminated or reduced Commitment of the Defaulting Lender.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265" w:right="239" w:bottom="1440" w:gutter="0" w:footer="0" w:header="0"/>
        </w:sectPr>
      </w:pPr>
    </w:p>
    <w:bookmarkStart w:id="188" w:name="page189"/>
    <w:bookmarkEnd w:id="188"/>
    <w:p>
      <w:pPr>
        <w:ind w:firstLine="914"/>
        <w:spacing w:after="0" w:line="26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adjustments will be made retroactively with respect to fees accrued or payments made by or on behalf of the Company while such Bank was a Defaulting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except to the extent otherwise expressly agreed by the affected parties, a Bank’s ceasing to be a Defaulting Lender will not constitute a waiver or release of any claim of any party hereunder arising from such Bank’s having been a Defaulting Lender.</w:t>
      </w:r>
    </w:p>
    <w:p>
      <w:pPr>
        <w:spacing w:after="0" w:line="41" w:lineRule="exact"/>
        <w:rPr>
          <w:sz w:val="20"/>
          <w:szCs w:val="20"/>
          <w:color w:val="auto"/>
        </w:rPr>
      </w:pPr>
    </w:p>
    <w:p>
      <w:pPr>
        <w:ind w:firstLine="914"/>
        <w:spacing w:after="0" w:line="270" w:lineRule="auto"/>
        <w:rPr>
          <w:sz w:val="20"/>
          <w:szCs w:val="20"/>
          <w:color w:val="auto"/>
        </w:rPr>
      </w:pPr>
      <w:r>
        <w:rPr>
          <w:rFonts w:ascii="Times New Roman" w:cs="Times New Roman" w:eastAsia="Times New Roman" w:hAnsi="Times New Roman"/>
          <w:sz w:val="16"/>
          <w:szCs w:val="16"/>
          <w:color w:val="auto"/>
        </w:rPr>
        <w:t xml:space="preserve">2.20 </w:t>
      </w:r>
      <w:r>
        <w:rPr>
          <w:rFonts w:ascii="Times New Roman" w:cs="Times New Roman" w:eastAsia="Times New Roman" w:hAnsi="Times New Roman"/>
          <w:sz w:val="16"/>
          <w:szCs w:val="16"/>
          <w:u w:val="single" w:color="auto"/>
          <w:color w:val="auto"/>
        </w:rPr>
        <w:t>Mitigation Obligations; Replacement of Lenders</w:t>
      </w:r>
      <w:r>
        <w:rPr>
          <w:rFonts w:ascii="Times New Roman" w:cs="Times New Roman" w:eastAsia="Times New Roman" w:hAnsi="Times New Roman"/>
          <w:sz w:val="16"/>
          <w:szCs w:val="16"/>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such designation or assignment (i) would eliminate or reduce amounts payable pursuant to Section 2.16 or 2.17, as the case may be, in the future and (ii) if, in the sole good faith judgment of such Bank, would not subject such Bank to any unreimbursed cost or expense, would not violate applicable law or would not otherwise be materially disadvantageous to such Bank. The Company hereby agrees to pay all reasonable costs and expenses incurred by any Bank in connection with any such designation or assignment.</w:t>
      </w:r>
    </w:p>
    <w:p>
      <w:pPr>
        <w:spacing w:after="0" w:line="42" w:lineRule="exact"/>
        <w:rPr>
          <w:sz w:val="20"/>
          <w:szCs w:val="20"/>
          <w:color w:val="auto"/>
        </w:rPr>
      </w:pPr>
    </w:p>
    <w:p>
      <w:pPr>
        <w:ind w:right="40" w:firstLine="915"/>
        <w:spacing w:after="0" w:line="266" w:lineRule="auto"/>
        <w:tabs>
          <w:tab w:leader="none" w:pos="114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 (which assignee may be another Bank, if a Bank accepts such assignment);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265" w:right="2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SECTION 3. RESERVED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4. REPRESENTATIONS AND WARRANTIES</w:t>
      </w:r>
    </w:p>
    <w:p>
      <w:pPr>
        <w:spacing w:after="0" w:line="168" w:lineRule="exact"/>
        <w:rPr>
          <w:sz w:val="20"/>
          <w:szCs w:val="20"/>
          <w:color w:val="auto"/>
        </w:rPr>
      </w:pPr>
    </w:p>
    <w:p>
      <w:pPr>
        <w:ind w:right="60" w:firstLine="914"/>
        <w:spacing w:after="0" w:line="301" w:lineRule="auto"/>
        <w:rPr>
          <w:sz w:val="20"/>
          <w:szCs w:val="20"/>
          <w:color w:val="auto"/>
        </w:rPr>
      </w:pPr>
      <w:r>
        <w:rPr>
          <w:rFonts w:ascii="Times New Roman" w:cs="Times New Roman" w:eastAsia="Times New Roman" w:hAnsi="Times New Roman"/>
          <w:sz w:val="16"/>
          <w:szCs w:val="16"/>
          <w:color w:val="auto"/>
        </w:rPr>
        <w:t>In order to induce the Banks to enter into this Agreement and to make the Loans herein provided for, the Company hereby represents and warrants to the Banks and the Administrative Agent that:</w:t>
      </w:r>
    </w:p>
    <w:p>
      <w:pPr>
        <w:spacing w:after="0" w:line="17" w:lineRule="exact"/>
        <w:rPr>
          <w:sz w:val="20"/>
          <w:szCs w:val="20"/>
          <w:color w:val="auto"/>
        </w:rPr>
      </w:pPr>
    </w:p>
    <w:p>
      <w:pPr>
        <w:ind w:right="120" w:firstLine="914"/>
        <w:spacing w:after="0" w:line="270"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Financial Condition</w:t>
      </w:r>
      <w:r>
        <w:rPr>
          <w:rFonts w:ascii="Times New Roman" w:cs="Times New Roman" w:eastAsia="Times New Roman" w:hAnsi="Times New Roman"/>
          <w:sz w:val="16"/>
          <w:szCs w:val="16"/>
          <w:color w:val="auto"/>
        </w:rPr>
        <w:t>. The audited consolidated balance sheets of the Company and its consolidated Subsidiaries as at December 31, 2012, December 31, 2013 and December 31, 2014,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42" w:lineRule="exact"/>
        <w:rPr>
          <w:sz w:val="20"/>
          <w:szCs w:val="20"/>
          <w:color w:val="auto"/>
        </w:rPr>
      </w:pPr>
    </w:p>
    <w:p>
      <w:pPr>
        <w:ind w:right="680" w:firstLine="914"/>
        <w:spacing w:after="0" w:line="30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Except as disclosed in the SEC Filings, since December 31, 2014, there has been no event or development that would reasonably be expected to have a Material Adverse Effect.</w:t>
      </w:r>
    </w:p>
    <w:p>
      <w:pPr>
        <w:spacing w:after="0" w:line="17" w:lineRule="exact"/>
        <w:rPr>
          <w:sz w:val="20"/>
          <w:szCs w:val="20"/>
          <w:color w:val="auto"/>
        </w:rPr>
      </w:pPr>
    </w:p>
    <w:p>
      <w:pPr>
        <w:ind w:firstLine="914"/>
        <w:spacing w:after="0" w:line="266"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Existence; Compliance with Law</w:t>
      </w:r>
      <w:r>
        <w:rPr>
          <w:rFonts w:ascii="Times New Roman" w:cs="Times New Roman" w:eastAsia="Times New Roman" w:hAnsi="Times New Roman"/>
          <w:sz w:val="16"/>
          <w:szCs w:val="16"/>
          <w:color w:val="auto"/>
        </w:rPr>
        <w:t>. The Company (a) is a limited liability company formed and validly existing under the Limited Liability Company Law of the State of Delaware, or, if at any time after the Restatement Effective Date the Company has changed its form of business organization to a corporate or partnership form or has changed its jurisdiction of organization, is, on any date on or after the 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or be in good standing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or be in good standing would not reasonably be expected, in the aggregate, to have a Material Adverse Effect. Each of the Company and its Significant Subsidiaries is in compliance with all Requirements of Law except to the extent that the failure to comply therewith would not reasonably be expected, in the aggregate, to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20"/>
          </w:cols>
          <w:pgMar w:left="240" w:top="265" w:right="239" w:bottom="1440" w:gutter="0" w:footer="0" w:header="0"/>
        </w:sectPr>
      </w:pPr>
    </w:p>
    <w:bookmarkStart w:id="190" w:name="page191"/>
    <w:bookmarkEnd w:id="190"/>
    <w:p>
      <w:pPr>
        <w:ind w:firstLine="91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4.4 </w:t>
      </w:r>
      <w:r>
        <w:rPr>
          <w:rFonts w:ascii="Times New Roman" w:cs="Times New Roman" w:eastAsia="Times New Roman" w:hAnsi="Times New Roman"/>
          <w:sz w:val="16"/>
          <w:szCs w:val="16"/>
          <w:u w:val="single" w:color="auto"/>
          <w:color w:val="auto"/>
        </w:rPr>
        <w:t>Power; Authorization; Enforceable Obligations</w:t>
      </w:r>
      <w:r>
        <w:rPr>
          <w:rFonts w:ascii="Times New Roman" w:cs="Times New Roman" w:eastAsia="Times New Roman" w:hAnsi="Times New Roman"/>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except such as have been obtained or made and are in full force and effect,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No Legal Bar</w:t>
      </w:r>
      <w:r>
        <w:rPr>
          <w:rFonts w:ascii="Times New Roman" w:cs="Times New Roman" w:eastAsia="Times New Roman" w:hAnsi="Times New Roman"/>
          <w:sz w:val="16"/>
          <w:szCs w:val="16"/>
          <w:color w:val="auto"/>
        </w:rPr>
        <w:t>. The execution, delivery and performance of this Agreement and the Notes, the borrowings hereunder and the use of the proceeds thereof,</w:t>
      </w:r>
    </w:p>
    <w:p>
      <w:pPr>
        <w:spacing w:after="0" w:line="30" w:lineRule="exact"/>
        <w:rPr>
          <w:sz w:val="20"/>
          <w:szCs w:val="20"/>
          <w:color w:val="auto"/>
        </w:rPr>
      </w:pPr>
    </w:p>
    <w:p>
      <w:pPr>
        <w:ind w:right="60" w:firstLine="1"/>
        <w:spacing w:after="0" w:line="270" w:lineRule="auto"/>
        <w:tabs>
          <w:tab w:leader="none" w:pos="195"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violate (a) the organizational or governing documents of the Company or any of its Significant Subsidiaries, (b) any other material Requirement of Law or (c) any Contractual Obligation of the Company or of any of its Significant Subsidiaries, and (ii) will not result in, or require, the creation or imposition of any Lien on any of its or their respective properties or revenues pursuant to any Requirement of Law or Contractual Obligation, except with respect to clauses (i)(c) and (ii) only, to the extent that any such violation or creation or imposition of a Lien would not reasonably be expected to have, in the aggregate, a Material Adverse Effect.</w:t>
      </w:r>
    </w:p>
    <w:p>
      <w:pPr>
        <w:spacing w:after="0" w:line="41" w:lineRule="exact"/>
        <w:rPr>
          <w:sz w:val="20"/>
          <w:szCs w:val="20"/>
          <w:color w:val="auto"/>
        </w:rPr>
      </w:pPr>
    </w:p>
    <w:p>
      <w:pPr>
        <w:ind w:right="60" w:firstLine="914"/>
        <w:spacing w:after="0" w:line="275"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No Material Litigation</w:t>
      </w:r>
      <w:r>
        <w:rPr>
          <w:rFonts w:ascii="Times New Roman" w:cs="Times New Roman" w:eastAsia="Times New Roman" w:hAnsi="Times New Roman"/>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38" w:lineRule="exact"/>
        <w:rPr>
          <w:sz w:val="20"/>
          <w:szCs w:val="20"/>
          <w:color w:val="auto"/>
        </w:rPr>
      </w:pPr>
    </w:p>
    <w:p>
      <w:pPr>
        <w:ind w:right="220" w:firstLine="914"/>
        <w:spacing w:after="0" w:line="301"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No Default</w:t>
      </w:r>
      <w:r>
        <w:rPr>
          <w:rFonts w:ascii="Times New Roman" w:cs="Times New Roman" w:eastAsia="Times New Roman" w:hAnsi="Times New Roman"/>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265" w:right="239" w:bottom="1440" w:gutter="0" w:footer="0" w:header="0"/>
        </w:sectPr>
      </w:pPr>
    </w:p>
    <w:bookmarkStart w:id="191" w:name="page192"/>
    <w:bookmarkEnd w:id="191"/>
    <w:p>
      <w:pPr>
        <w:ind w:firstLine="914"/>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4.8 </w:t>
      </w:r>
      <w:r>
        <w:rPr>
          <w:rFonts w:ascii="Times New Roman" w:cs="Times New Roman" w:eastAsia="Times New Roman" w:hAnsi="Times New Roman"/>
          <w:sz w:val="16"/>
          <w:szCs w:val="16"/>
          <w:u w:val="single" w:color="auto"/>
          <w:color w:val="auto"/>
        </w:rPr>
        <w:t>Ownership of Property; Liens</w:t>
      </w:r>
      <w:r>
        <w:rPr>
          <w:rFonts w:ascii="Times New Roman" w:cs="Times New Roman" w:eastAsia="Times New Roman" w:hAnsi="Times New Roman"/>
          <w:sz w:val="16"/>
          <w:szCs w:val="16"/>
          <w:color w:val="auto"/>
        </w:rPr>
        <w:t>. Each of the Company and its Subsidiaries, if any, has good title to or valid leasehold interests in all its real property, and good title to or valid leasehold interests in all its other property, except, in each case, for such exceptions as would not reasonably be expected to have a Material Adverse Effect, and none of such property is subject to any Lien prohibited by Section 7.3.</w:t>
      </w:r>
    </w:p>
    <w:p>
      <w:pPr>
        <w:spacing w:after="0" w:line="31" w:lineRule="exact"/>
        <w:rPr>
          <w:sz w:val="20"/>
          <w:szCs w:val="20"/>
          <w:color w:val="auto"/>
        </w:rPr>
      </w:pPr>
    </w:p>
    <w:p>
      <w:pPr>
        <w:ind w:right="140" w:firstLine="914"/>
        <w:spacing w:after="0" w:line="272"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40" w:lineRule="exact"/>
        <w:rPr>
          <w:sz w:val="20"/>
          <w:szCs w:val="20"/>
          <w:color w:val="auto"/>
        </w:rPr>
      </w:pPr>
    </w:p>
    <w:p>
      <w:pPr>
        <w:ind w:right="120" w:firstLine="914"/>
        <w:spacing w:after="0" w:line="282"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Federal Regulations</w:t>
      </w:r>
      <w:r>
        <w:rPr>
          <w:rFonts w:ascii="Times New Roman" w:cs="Times New Roman" w:eastAsia="Times New Roman" w:hAnsi="Times New Roman"/>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31" w:lineRule="exact"/>
        <w:rPr>
          <w:sz w:val="20"/>
          <w:szCs w:val="20"/>
          <w:color w:val="auto"/>
        </w:rPr>
      </w:pPr>
    </w:p>
    <w:p>
      <w:pPr>
        <w:ind w:right="20" w:firstLine="914"/>
        <w:spacing w:after="0" w:line="264"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Except as, in the aggregate, would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w:t>
      </w:r>
    </w:p>
    <w:p>
      <w:pPr>
        <w:spacing w:after="0" w:line="1" w:lineRule="exact"/>
        <w:rPr>
          <w:sz w:val="20"/>
          <w:szCs w:val="20"/>
          <w:color w:val="auto"/>
        </w:rPr>
      </w:pPr>
    </w:p>
    <w:p>
      <w:pPr>
        <w:ind w:right="60" w:firstLine="1"/>
        <w:spacing w:after="0" w:line="273" w:lineRule="auto"/>
        <w:tabs>
          <w:tab w:leader="none" w:pos="23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would reasonably be expected to result in any liability under Section 4201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265" w:right="239" w:bottom="1440" w:gutter="0" w:footer="0" w:header="0"/>
        </w:sectPr>
      </w:pPr>
    </w:p>
    <w:bookmarkStart w:id="192" w:name="page193"/>
    <w:bookmarkEnd w:id="192"/>
    <w:p>
      <w:pPr>
        <w:ind w:right="280"/>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of ERISA; (f) neither the Company nor any Commonly Controlled Entity has received any notice of a determination that a Multiemployer Plan is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40" w:lineRule="exact"/>
        <w:rPr>
          <w:sz w:val="20"/>
          <w:szCs w:val="20"/>
          <w:color w:val="auto"/>
        </w:rPr>
      </w:pPr>
    </w:p>
    <w:p>
      <w:pPr>
        <w:ind w:right="520" w:firstLine="914"/>
        <w:spacing w:after="0" w:line="301"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Neither the Company nor any of its Subsidiaries is an “investment company”, or a company “controlled” by a registered “investment company”, within the meaning of the Investment Company Act of 1940, as amended.</w:t>
      </w:r>
    </w:p>
    <w:p>
      <w:pPr>
        <w:spacing w:after="0" w:line="17" w:lineRule="exact"/>
        <w:rPr>
          <w:sz w:val="20"/>
          <w:szCs w:val="20"/>
          <w:color w:val="auto"/>
        </w:rPr>
      </w:pPr>
    </w:p>
    <w:p>
      <w:pPr>
        <w:ind w:right="40" w:firstLine="914"/>
        <w:spacing w:after="0" w:line="272"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Significant Subsidiaries</w:t>
      </w:r>
      <w:r>
        <w:rPr>
          <w:rFonts w:ascii="Times New Roman" w:cs="Times New Roman" w:eastAsia="Times New Roman" w:hAnsi="Times New Roman"/>
          <w:sz w:val="16"/>
          <w:szCs w:val="16"/>
          <w:color w:val="auto"/>
        </w:rPr>
        <w:t>. Except as disclosed in the SEC Filings or to the Administrative Agent (who shall promptly notify the other Banks upon receipt of such disclosure) by the Company in writing from time to time after the Restatement Effective Date, there are no outstanding subscriptions, options, warrants, calls, rights or other agreements or commitments (other than stock options granted to employees or directors and directors’ qualifying shares or interests in the Paris Subsidiaries that are owned by the Company’s French managing directors or other employees of such subsidiaries) of any nature relating to any Capital Stock of the Company or any of its Significant Subsidiaries, except as created by this Agreement.</w:t>
      </w:r>
    </w:p>
    <w:p>
      <w:pPr>
        <w:spacing w:after="0" w:line="40" w:lineRule="exact"/>
        <w:rPr>
          <w:sz w:val="20"/>
          <w:szCs w:val="20"/>
          <w:color w:val="auto"/>
        </w:rPr>
      </w:pPr>
    </w:p>
    <w:p>
      <w:pPr>
        <w:ind w:firstLine="914"/>
        <w:spacing w:after="0" w:line="268" w:lineRule="auto"/>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Accuracy of Information, etc</w:t>
      </w:r>
      <w:r>
        <w:rPr>
          <w:rFonts w:ascii="Times New Roman" w:cs="Times New Roman" w:eastAsia="Times New Roman" w:hAnsi="Times New Roman"/>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materially misleading in each case taken as a whole and in light of the circumstances under which they were made;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w:t>
      </w:r>
    </w:p>
    <w:p>
      <w:pPr>
        <w:spacing w:after="0" w:line="43" w:lineRule="exact"/>
        <w:rPr>
          <w:sz w:val="20"/>
          <w:szCs w:val="20"/>
          <w:color w:val="auto"/>
        </w:rPr>
      </w:pPr>
    </w:p>
    <w:p>
      <w:pPr>
        <w:ind w:right="100" w:firstLine="914"/>
        <w:spacing w:after="0" w:line="301"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(a) The proceeds of the Loans shall be used by the Company to refinance any outstanding amounts under the Original Credit Agreement and for general corporate purposes.</w:t>
      </w:r>
    </w:p>
    <w:p>
      <w:pPr>
        <w:spacing w:after="0" w:line="17" w:lineRule="exact"/>
        <w:rPr>
          <w:sz w:val="20"/>
          <w:szCs w:val="20"/>
          <w:color w:val="auto"/>
        </w:rPr>
      </w:pPr>
    </w:p>
    <w:p>
      <w:pPr>
        <w:ind w:firstLine="915"/>
        <w:spacing w:after="0" w:line="275" w:lineRule="auto"/>
        <w:tabs>
          <w:tab w:leader="none" w:pos="114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use the proceeds of the Loans (i) for the purpose of furthering an offer, payment, promise to pay, or authorization of the payment of money, to any Person in violation of applicable OFAC Regulations; (ii) for the purpose of funding, financing or facilitating any activities, business or transaction of or with a Sanctioned Person or in a Sanctioned Country, in violation of any applicable Sanctions; or (iii) for any other purpose that would violate any applicable anti-corruption laws of jurisdictions that have jurisdiction over the Company or any of its Subsidiaries or that would violate any Sanctions.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00"/>
          </w:cols>
          <w:pgMar w:left="240" w:top="265" w:right="259" w:bottom="1440" w:gutter="0" w:footer="0" w:header="0"/>
        </w:sectPr>
      </w:pPr>
    </w:p>
    <w:bookmarkStart w:id="193" w:name="page194"/>
    <w:bookmarkEnd w:id="193"/>
    <w:p>
      <w:pPr>
        <w:ind w:right="20" w:firstLine="914"/>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4.16 </w:t>
      </w:r>
      <w:r>
        <w:rPr>
          <w:rFonts w:ascii="Times New Roman" w:cs="Times New Roman" w:eastAsia="Times New Roman" w:hAnsi="Times New Roman"/>
          <w:sz w:val="16"/>
          <w:szCs w:val="16"/>
          <w:u w:val="single" w:color="auto"/>
          <w:color w:val="auto"/>
        </w:rPr>
        <w:t>Sanctions, OFAC and Patriot Act</w:t>
      </w:r>
      <w:r>
        <w:rPr>
          <w:rFonts w:ascii="Times New Roman" w:cs="Times New Roman" w:eastAsia="Times New Roman" w:hAnsi="Times New Roman"/>
          <w:sz w:val="16"/>
          <w:szCs w:val="16"/>
          <w:color w:val="auto"/>
        </w:rPr>
        <w:t>. (a) None of the Company, any of its Subsidiaries, or any of the Company’s directors or officers, nor, to the knowledge of the Company, any of its employees and agents or any directors, officers, employees and agents of any of its Subsidiaries, is a Sanctioned Person. The Company, its Subsidiaries and, to the knowledge of the Company, the directors, officers and employees of the Company and the Company’s Subsidiaries are in compliance with applicable Sanctions in all material respects.</w:t>
      </w:r>
    </w:p>
    <w:p>
      <w:pPr>
        <w:spacing w:after="0" w:line="38" w:lineRule="exact"/>
        <w:rPr>
          <w:sz w:val="20"/>
          <w:szCs w:val="20"/>
          <w:color w:val="auto"/>
        </w:rPr>
      </w:pPr>
    </w:p>
    <w:p>
      <w:pPr>
        <w:ind w:right="60" w:firstLine="915"/>
        <w:spacing w:after="0" w:line="282" w:lineRule="auto"/>
        <w:tabs>
          <w:tab w:leader="none" w:pos="114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is in compliance in all material respects with (i) the United and Strengthening America by Providing Appropriate Tools Required to Intercept and Obstruct Terrorism Act of 2001, Public Law 107-56 (the “</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 and (ii) applicable anti-corruption laws of jurisdictions that have jurisdiction over the Company or any of its Subsidiaries, including the FCPA.</w:t>
      </w:r>
    </w:p>
    <w:p>
      <w:pPr>
        <w:spacing w:after="0" w:line="31" w:lineRule="exact"/>
        <w:rPr>
          <w:rFonts w:ascii="Times New Roman" w:cs="Times New Roman" w:eastAsia="Times New Roman" w:hAnsi="Times New Roman"/>
          <w:sz w:val="16"/>
          <w:szCs w:val="16"/>
          <w:color w:val="auto"/>
        </w:rPr>
      </w:pPr>
    </w:p>
    <w:p>
      <w:pPr>
        <w:ind w:right="160" w:firstLine="915"/>
        <w:spacing w:after="0" w:line="282" w:lineRule="auto"/>
        <w:tabs>
          <w:tab w:leader="none" w:pos="1137"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have instituted and maintain policies and procedures reasonably designed to ensure compliance by the Company and its Subsidiaries with applicable anti-corruption laws of jurisdictions that have jurisdiction over the Company or any of its Subsidiaries, including the FCPA, and applicable Sanctions, including OFAC Regulations.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5. CONDITIONS PRECEDENT</w:t>
      </w:r>
    </w:p>
    <w:p>
      <w:pPr>
        <w:spacing w:after="0" w:line="168" w:lineRule="exact"/>
        <w:rPr>
          <w:sz w:val="20"/>
          <w:szCs w:val="20"/>
          <w:color w:val="auto"/>
        </w:rPr>
      </w:pPr>
    </w:p>
    <w:p>
      <w:pPr>
        <w:ind w:right="520" w:firstLine="914"/>
        <w:spacing w:after="0" w:line="30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Conditions of Initial Loans</w:t>
      </w:r>
      <w:r>
        <w:rPr>
          <w:rFonts w:ascii="Times New Roman" w:cs="Times New Roman" w:eastAsia="Times New Roman" w:hAnsi="Times New Roman"/>
          <w:sz w:val="16"/>
          <w:szCs w:val="16"/>
          <w:color w:val="auto"/>
        </w:rPr>
        <w:t>. The obligation of each Bank to make its initial Loan hereunder and the effectiveness of this Agreement are subject to the satisfaction of the following conditions precedent:</w:t>
      </w:r>
    </w:p>
    <w:p>
      <w:pPr>
        <w:spacing w:after="0" w:line="17" w:lineRule="exact"/>
        <w:rPr>
          <w:sz w:val="20"/>
          <w:szCs w:val="20"/>
          <w:color w:val="auto"/>
        </w:rPr>
      </w:pPr>
    </w:p>
    <w:p>
      <w:pPr>
        <w:ind w:left="460" w:right="80" w:firstLine="436"/>
        <w:spacing w:after="0" w:line="301" w:lineRule="auto"/>
        <w:tabs>
          <w:tab w:leader="none" w:pos="1121"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of Agreement</w:t>
      </w:r>
      <w:r>
        <w:rPr>
          <w:rFonts w:ascii="Times New Roman" w:cs="Times New Roman" w:eastAsia="Times New Roman" w:hAnsi="Times New Roman"/>
          <w:sz w:val="16"/>
          <w:szCs w:val="16"/>
          <w:color w:val="auto"/>
        </w:rPr>
        <w:t>. The Administrative Agent shall have received this Agreement, executed by an authorized officer of each Bank party hereto and by an authorized officer of the Company.</w:t>
      </w:r>
    </w:p>
    <w:p>
      <w:pPr>
        <w:spacing w:after="0" w:line="16" w:lineRule="exact"/>
        <w:rPr>
          <w:rFonts w:ascii="Times New Roman" w:cs="Times New Roman" w:eastAsia="Times New Roman" w:hAnsi="Times New Roman"/>
          <w:sz w:val="16"/>
          <w:szCs w:val="16"/>
          <w:color w:val="auto"/>
        </w:rPr>
      </w:pPr>
    </w:p>
    <w:p>
      <w:pPr>
        <w:jc w:val="both"/>
        <w:ind w:left="460" w:right="180" w:firstLine="436"/>
        <w:spacing w:after="0" w:line="282" w:lineRule="auto"/>
        <w:tabs>
          <w:tab w:leader="none" w:pos="113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 The Administrative Agent shall have received a Note conforming to the requirements hereof and executed by an authorized officer of the Company for each Bank that has requested a Note prior to the Restatement Effective Date. The Administrative Agent shall promptly forward any such Notes to the appropriate Banks.</w:t>
      </w:r>
    </w:p>
    <w:p>
      <w:pPr>
        <w:spacing w:after="0" w:line="31" w:lineRule="exact"/>
        <w:rPr>
          <w:rFonts w:ascii="Times New Roman" w:cs="Times New Roman" w:eastAsia="Times New Roman" w:hAnsi="Times New Roman"/>
          <w:sz w:val="16"/>
          <w:szCs w:val="16"/>
          <w:color w:val="auto"/>
        </w:rPr>
      </w:pPr>
    </w:p>
    <w:p>
      <w:pPr>
        <w:ind w:left="460" w:right="360" w:firstLine="436"/>
        <w:spacing w:after="0" w:line="301" w:lineRule="auto"/>
        <w:tabs>
          <w:tab w:leader="none" w:pos="1121"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Original Credit Agreement</w:t>
      </w:r>
      <w:r>
        <w:rPr>
          <w:rFonts w:ascii="Times New Roman" w:cs="Times New Roman" w:eastAsia="Times New Roman" w:hAnsi="Times New Roman"/>
          <w:sz w:val="16"/>
          <w:szCs w:val="16"/>
          <w:color w:val="auto"/>
        </w:rPr>
        <w:t>. Prior to or substantially simultaneously with the Restatement Effective Date, the Company shall have repaid all outstanding loans, unpaid interest thereon and all fees and expenses owed thereunder.</w:t>
      </w:r>
    </w:p>
    <w:p>
      <w:pPr>
        <w:spacing w:after="0" w:line="16" w:lineRule="exact"/>
        <w:rPr>
          <w:rFonts w:ascii="Times New Roman" w:cs="Times New Roman" w:eastAsia="Times New Roman" w:hAnsi="Times New Roman"/>
          <w:sz w:val="16"/>
          <w:szCs w:val="16"/>
          <w:color w:val="auto"/>
        </w:rPr>
      </w:pPr>
    </w:p>
    <w:p>
      <w:pPr>
        <w:ind w:left="460" w:firstLine="436"/>
        <w:spacing w:after="0" w:line="275" w:lineRule="auto"/>
        <w:tabs>
          <w:tab w:leader="none" w:pos="113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Opinion</w:t>
      </w:r>
      <w:r>
        <w:rPr>
          <w:rFonts w:ascii="Times New Roman" w:cs="Times New Roman" w:eastAsia="Times New Roman" w:hAnsi="Times New Roman"/>
          <w:sz w:val="16"/>
          <w:szCs w:val="16"/>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Restatement Effective Date and addressed to the Administrative Agent and the Banks.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420"/>
          </w:cols>
          <w:pgMar w:left="240" w:top="265" w:right="239" w:bottom="1440" w:gutter="0" w:footer="0" w:header="0"/>
        </w:sectPr>
      </w:pPr>
    </w:p>
    <w:bookmarkStart w:id="194" w:name="page195"/>
    <w:bookmarkEnd w:id="194"/>
    <w:p>
      <w:pPr>
        <w:ind w:left="460" w:right="60" w:firstLine="436"/>
        <w:spacing w:after="0" w:line="282" w:lineRule="auto"/>
        <w:tabs>
          <w:tab w:leader="none" w:pos="1121"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Closing Certificate</w:t>
      </w:r>
      <w:r>
        <w:rPr>
          <w:rFonts w:ascii="Times New Roman" w:cs="Times New Roman" w:eastAsia="Times New Roman" w:hAnsi="Times New Roman"/>
          <w:sz w:val="16"/>
          <w:szCs w:val="16"/>
          <w:color w:val="auto"/>
        </w:rPr>
        <w:t>. The Administrative Agent shall have received a Closing Certificate of the Company dated the Restatement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31" w:lineRule="exact"/>
        <w:rPr>
          <w:rFonts w:ascii="Times New Roman" w:cs="Times New Roman" w:eastAsia="Times New Roman" w:hAnsi="Times New Roman"/>
          <w:sz w:val="16"/>
          <w:szCs w:val="16"/>
          <w:color w:val="auto"/>
        </w:rPr>
      </w:pPr>
    </w:p>
    <w:p>
      <w:pPr>
        <w:jc w:val="both"/>
        <w:ind w:left="460" w:right="120" w:firstLine="436"/>
        <w:spacing w:after="0" w:line="282" w:lineRule="auto"/>
        <w:tabs>
          <w:tab w:leader="none" w:pos="110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Incumbency and Signatures</w:t>
      </w:r>
      <w:r>
        <w:rPr>
          <w:rFonts w:ascii="Times New Roman" w:cs="Times New Roman" w:eastAsia="Times New Roman" w:hAnsi="Times New Roman"/>
          <w:sz w:val="16"/>
          <w:szCs w:val="16"/>
          <w:color w:val="auto"/>
        </w:rPr>
        <w:t>. The Administrative Agent shall have received a certificate of an officer of the Company, dated the Restatement Effective Date, as to the incumbency and signatures of the officers of the Company, duly authorized to sign this Agreement, the Notes and any certificate or other document required to be delivered pursuant thereto.</w:t>
      </w:r>
    </w:p>
    <w:p>
      <w:pPr>
        <w:spacing w:after="0" w:line="31" w:lineRule="exact"/>
        <w:rPr>
          <w:rFonts w:ascii="Times New Roman" w:cs="Times New Roman" w:eastAsia="Times New Roman" w:hAnsi="Times New Roman"/>
          <w:sz w:val="16"/>
          <w:szCs w:val="16"/>
          <w:color w:val="auto"/>
        </w:rPr>
      </w:pPr>
    </w:p>
    <w:p>
      <w:pPr>
        <w:ind w:left="460" w:right="360" w:firstLine="436"/>
        <w:spacing w:after="0" w:line="301" w:lineRule="auto"/>
        <w:tabs>
          <w:tab w:leader="none" w:pos="113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Administrative Agent shall have received all fees required to be paid to it and each Bank under this Agreement on or prior to the Restatement Effective Date.</w:t>
      </w:r>
    </w:p>
    <w:p>
      <w:pPr>
        <w:spacing w:after="0" w:line="17" w:lineRule="exact"/>
        <w:rPr>
          <w:sz w:val="20"/>
          <w:szCs w:val="20"/>
          <w:color w:val="auto"/>
        </w:rPr>
      </w:pPr>
    </w:p>
    <w:p>
      <w:pPr>
        <w:ind w:right="180" w:firstLine="914"/>
        <w:spacing w:after="0" w:line="301"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Conditions to All Loans</w:t>
      </w:r>
      <w:r>
        <w:rPr>
          <w:rFonts w:ascii="Times New Roman" w:cs="Times New Roman" w:eastAsia="Times New Roman" w:hAnsi="Times New Roman"/>
          <w:sz w:val="16"/>
          <w:szCs w:val="16"/>
          <w:color w:val="auto"/>
        </w:rPr>
        <w:t>. The making by each Bank of any Loan hereunder (but not the conversion or continuation of any Loan pursuant to Section 2.7) is subject to the satisfaction of the following conditions precedent on the relevant Borrowing Date:</w:t>
      </w:r>
    </w:p>
    <w:p>
      <w:pPr>
        <w:spacing w:after="0" w:line="17" w:lineRule="exact"/>
        <w:rPr>
          <w:sz w:val="20"/>
          <w:szCs w:val="20"/>
          <w:color w:val="auto"/>
        </w:rPr>
      </w:pPr>
    </w:p>
    <w:p>
      <w:pPr>
        <w:ind w:left="460" w:firstLine="436"/>
        <w:spacing w:after="0" w:line="272" w:lineRule="auto"/>
        <w:tabs>
          <w:tab w:leader="none" w:pos="112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The representations and warranties made by the Company herein or which are contained in any certificate furnished at any time under or in connection herewith (other than those representations and warranties set forth in Sections 4.2 and 4.6 of this Agreement) shall be true and correct in all material respects on and as of the Borrowing Date as if made on and as of such date (it being understood and agreed that any representation and warranty that (i) is qualified as to “materiality” or “Material Adverse Effect” shall be true and correct (after giving effect to any qualification therein) in all respects and (ii) by its terms is made as of a specified date shall be true and correct in all material respects only as of such specified date).</w:t>
      </w:r>
    </w:p>
    <w:p>
      <w:pPr>
        <w:spacing w:after="0" w:line="39" w:lineRule="exact"/>
        <w:rPr>
          <w:rFonts w:ascii="Times New Roman" w:cs="Times New Roman" w:eastAsia="Times New Roman" w:hAnsi="Times New Roman"/>
          <w:sz w:val="16"/>
          <w:szCs w:val="16"/>
          <w:color w:val="auto"/>
        </w:rPr>
      </w:pPr>
    </w:p>
    <w:p>
      <w:pPr>
        <w:ind w:left="460" w:right="580" w:firstLine="436"/>
        <w:spacing w:after="0" w:line="301" w:lineRule="auto"/>
        <w:tabs>
          <w:tab w:leader="none" w:pos="113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Default</w:t>
      </w:r>
      <w:r>
        <w:rPr>
          <w:rFonts w:ascii="Times New Roman" w:cs="Times New Roman" w:eastAsia="Times New Roman" w:hAnsi="Times New Roman"/>
          <w:sz w:val="16"/>
          <w:szCs w:val="16"/>
          <w:color w:val="auto"/>
        </w:rPr>
        <w:t>. No Default or Event of Default shall have occurred and be continuing on such date or after giving effect to the Loan to be made on such Borrowing Date.</w:t>
      </w:r>
    </w:p>
    <w:p>
      <w:pPr>
        <w:spacing w:after="0" w:line="16" w:lineRule="exact"/>
        <w:rPr>
          <w:rFonts w:ascii="Times New Roman" w:cs="Times New Roman" w:eastAsia="Times New Roman" w:hAnsi="Times New Roman"/>
          <w:sz w:val="16"/>
          <w:szCs w:val="16"/>
          <w:color w:val="auto"/>
        </w:rPr>
      </w:pPr>
    </w:p>
    <w:p>
      <w:pPr>
        <w:ind w:left="460" w:right="180" w:firstLine="436"/>
        <w:spacing w:after="0" w:line="301" w:lineRule="auto"/>
        <w:tabs>
          <w:tab w:leader="none" w:pos="112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92" w:lineRule="exact"/>
        <w:rPr>
          <w:sz w:val="20"/>
          <w:szCs w:val="20"/>
          <w:color w:val="auto"/>
        </w:rPr>
      </w:pPr>
    </w:p>
    <w:p>
      <w:pPr>
        <w:ind w:right="60" w:firstLine="914"/>
        <w:spacing w:after="0" w:line="301" w:lineRule="auto"/>
        <w:rPr>
          <w:sz w:val="20"/>
          <w:szCs w:val="20"/>
          <w:color w:val="auto"/>
        </w:rPr>
      </w:pPr>
      <w:r>
        <w:rPr>
          <w:rFonts w:ascii="Times New Roman" w:cs="Times New Roman" w:eastAsia="Times New Roman" w:hAnsi="Times New Roman"/>
          <w:sz w:val="16"/>
          <w:szCs w:val="16"/>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20"/>
          </w:cols>
          <w:pgMar w:left="240" w:top="265" w:right="2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SECTION 6. AFFIRMATIVE COVENANTS</w:t>
      </w:r>
    </w:p>
    <w:p>
      <w:pPr>
        <w:spacing w:after="0" w:line="168" w:lineRule="exact"/>
        <w:rPr>
          <w:sz w:val="20"/>
          <w:szCs w:val="20"/>
          <w:color w:val="auto"/>
        </w:rPr>
      </w:pPr>
    </w:p>
    <w:p>
      <w:pPr>
        <w:jc w:val="both"/>
        <w:ind w:right="320" w:firstLine="914"/>
        <w:spacing w:after="0" w:line="282" w:lineRule="auto"/>
        <w:rPr>
          <w:sz w:val="20"/>
          <w:szCs w:val="20"/>
          <w:color w:val="auto"/>
        </w:rPr>
      </w:pPr>
      <w:r>
        <w:rPr>
          <w:rFonts w:ascii="Times New Roman" w:cs="Times New Roman" w:eastAsia="Times New Roman" w:hAnsi="Times New Roman"/>
          <w:sz w:val="16"/>
          <w:szCs w:val="16"/>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and (except in the case of delivery of financial information, reports and notices) shall cause each Significant Subsidiary to:</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Furnish to the Administrative Agent for delivery to each Bank:</w:t>
      </w:r>
    </w:p>
    <w:p>
      <w:pPr>
        <w:spacing w:after="0" w:line="93" w:lineRule="exact"/>
        <w:rPr>
          <w:sz w:val="20"/>
          <w:szCs w:val="20"/>
          <w:color w:val="auto"/>
        </w:rPr>
      </w:pPr>
    </w:p>
    <w:p>
      <w:pPr>
        <w:ind w:left="460" w:right="140" w:firstLine="436"/>
        <w:spacing w:after="0" w:line="272" w:lineRule="auto"/>
        <w:tabs>
          <w:tab w:leader="none" w:pos="1121"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available, but in any event within 90 days after each December 31</w:t>
      </w:r>
      <w:r>
        <w:rPr>
          <w:rFonts w:ascii="Times New Roman" w:cs="Times New Roman" w:eastAsia="Times New Roman" w:hAnsi="Times New Roman"/>
          <w:sz w:val="10"/>
          <w:szCs w:val="10"/>
          <w:color w:val="auto"/>
        </w:rPr>
        <w:t>st</w:t>
      </w:r>
      <w:r>
        <w:rPr>
          <w:rFonts w:ascii="Times New Roman" w:cs="Times New Roman" w:eastAsia="Times New Roman" w:hAnsi="Times New Roman"/>
          <w:sz w:val="16"/>
          <w:szCs w:val="16"/>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financial statements that are made available on the SEC’s EDGAR system or the Company’s website shall be deemed delivered to the Administrative Agent on the date such documents are made so available; and</w:t>
      </w:r>
    </w:p>
    <w:p>
      <w:pPr>
        <w:spacing w:after="0" w:line="39" w:lineRule="exact"/>
        <w:rPr>
          <w:rFonts w:ascii="Times New Roman" w:cs="Times New Roman" w:eastAsia="Times New Roman" w:hAnsi="Times New Roman"/>
          <w:sz w:val="16"/>
          <w:szCs w:val="16"/>
          <w:color w:val="auto"/>
        </w:rPr>
      </w:pPr>
    </w:p>
    <w:p>
      <w:pPr>
        <w:ind w:left="460" w:right="40" w:firstLine="436"/>
        <w:spacing w:after="0" w:line="271" w:lineRule="auto"/>
        <w:tabs>
          <w:tab w:leader="none" w:pos="113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financial statements that are made available on the SEC’s EDGAR system or the Company’s website shall be deemed delivered to the Administrative Agent on the date such documents are made so available, and no such certification shall be required;</w:t>
      </w:r>
    </w:p>
    <w:p>
      <w:pPr>
        <w:spacing w:after="0" w:line="3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all such financial statements to be complete and correct in all material respects and to be prepared in reasonable detail in accordance with GAAP applied consistently throughout the period reflected therein (except as disclosed therein), and in the case of clause (b) above, subject to normal year-end audit adjustments and the absence of footnotes. Notwithstanding anything to the contrary in this Section 6.1, if financial statements for the Company shall no longer be publicly available on the SEC’s EDGAR system or the Company’s website, this Section 6.1 shall be deemed to be satisfied upon the delivery of financial statements of Holdings.</w:t>
      </w:r>
    </w:p>
    <w:p>
      <w:pPr>
        <w:spacing w:after="0" w:line="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Certificates; Other Information</w:t>
      </w:r>
      <w:r>
        <w:rPr>
          <w:rFonts w:ascii="Times New Roman" w:cs="Times New Roman" w:eastAsia="Times New Roman" w:hAnsi="Times New Roman"/>
          <w:sz w:val="16"/>
          <w:szCs w:val="16"/>
          <w:color w:val="auto"/>
        </w:rPr>
        <w:t>. Furnish to the Administrative Agent for delivery to each Bank:</w:t>
      </w:r>
    </w:p>
    <w:p>
      <w:pPr>
        <w:spacing w:after="0" w:line="93" w:lineRule="exact"/>
        <w:rPr>
          <w:sz w:val="20"/>
          <w:szCs w:val="20"/>
          <w:color w:val="auto"/>
        </w:rPr>
      </w:pPr>
    </w:p>
    <w:p>
      <w:pPr>
        <w:ind w:left="1120" w:hanging="224"/>
        <w:spacing w:after="0"/>
        <w:tabs>
          <w:tab w:leader="none" w:pos="1120"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the delivery of the financial statements referred to in Sections 6.1(a) and (b), a certificate of an authorized financial officer of the Company</w:t>
      </w:r>
    </w:p>
    <w:p>
      <w:pPr>
        <w:spacing w:after="0" w:line="29" w:lineRule="exact"/>
        <w:rPr>
          <w:rFonts w:ascii="Times New Roman" w:cs="Times New Roman" w:eastAsia="Times New Roman" w:hAnsi="Times New Roman"/>
          <w:sz w:val="16"/>
          <w:szCs w:val="16"/>
          <w:color w:val="auto"/>
        </w:rPr>
      </w:pPr>
    </w:p>
    <w:p>
      <w:pPr>
        <w:ind w:left="460" w:right="60" w:hanging="2"/>
        <w:spacing w:after="0" w:line="273" w:lineRule="auto"/>
        <w:tabs>
          <w:tab w:leader="none" w:pos="65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stating that, to the best of such authorized financial officer’s knowledge, there has not been any Default or Event of Default, and if such Default or Event of Default has occurred, specifying the details thereof and any action taken or proposed to be taken with respect thereto and (ii) setting forth quarterly computations with respect to compliance with Section 7.1 of this Agreement;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265" w:right="239" w:bottom="1440" w:gutter="0" w:footer="0" w:header="0"/>
        </w:sectPr>
      </w:pPr>
    </w:p>
    <w:bookmarkStart w:id="196" w:name="page197"/>
    <w:bookmarkEnd w:id="196"/>
    <w:p>
      <w:pPr>
        <w:ind w:left="1120" w:hanging="224"/>
        <w:spacing w:after="0"/>
        <w:tabs>
          <w:tab w:leader="none" w:pos="11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[Reserved];</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 and</w:t>
      </w:r>
    </w:p>
    <w:p>
      <w:pPr>
        <w:spacing w:after="0" w:line="92" w:lineRule="exact"/>
        <w:rPr>
          <w:rFonts w:ascii="Times New Roman" w:cs="Times New Roman" w:eastAsia="Times New Roman" w:hAnsi="Times New Roman"/>
          <w:sz w:val="16"/>
          <w:szCs w:val="16"/>
          <w:color w:val="auto"/>
        </w:rPr>
      </w:pPr>
    </w:p>
    <w:p>
      <w:pPr>
        <w:ind w:left="460" w:right="120" w:firstLine="436"/>
        <w:spacing w:after="0" w:line="282" w:lineRule="auto"/>
        <w:tabs>
          <w:tab w:leader="none" w:pos="113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such additional financial and other information (including such documents and information required by bank regulatory authorities under applicable “know-your-customer”, anti-terrorism and anti-money laundering rules and regulations, including the USA PATRIOT Act), as the Banks may from time to time reasonably request and which the Company is not expressly prohibited by law or written contract from disclosing.</w:t>
      </w:r>
    </w:p>
    <w:p>
      <w:pPr>
        <w:spacing w:after="0" w:line="31" w:lineRule="exact"/>
        <w:rPr>
          <w:sz w:val="20"/>
          <w:szCs w:val="20"/>
          <w:color w:val="auto"/>
        </w:rPr>
      </w:pPr>
    </w:p>
    <w:p>
      <w:pPr>
        <w:ind w:firstLine="914"/>
        <w:spacing w:after="0" w:line="266"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Conduct of Business and Maintenance of Existence; Compliance</w:t>
      </w:r>
      <w:r>
        <w:rPr>
          <w:rFonts w:ascii="Times New Roman" w:cs="Times New Roman" w:eastAsia="Times New Roman" w:hAnsi="Times New Roman"/>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rights, privileges and franchises necessary or desirable in the normal conduct of its business except where failure to take such action would not reasonably be expected, in the aggregate, to have a Material Adverse Effect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251" w:lineRule="exact"/>
        <w:rPr>
          <w:sz w:val="20"/>
          <w:szCs w:val="20"/>
          <w:color w:val="auto"/>
        </w:rPr>
      </w:pPr>
    </w:p>
    <w:p>
      <w:pPr>
        <w:ind w:right="80" w:firstLine="914"/>
        <w:spacing w:after="0" w:line="275"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Maintenance of Property; Insurance</w:t>
      </w:r>
      <w:r>
        <w:rPr>
          <w:rFonts w:ascii="Times New Roman" w:cs="Times New Roman" w:eastAsia="Times New Roman" w:hAnsi="Times New Roman"/>
          <w:sz w:val="16"/>
          <w:szCs w:val="16"/>
          <w:color w:val="auto"/>
        </w:rPr>
        <w:t>. Keep all property useful and necessary in its business in good working order and condition, ordinary wear and tear excepted and except where failure to do so would not reasonably be expected, in the aggregate, to have a Material Adverse Effect; maintain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38" w:lineRule="exact"/>
        <w:rPr>
          <w:sz w:val="20"/>
          <w:szCs w:val="20"/>
          <w:color w:val="auto"/>
        </w:rPr>
      </w:pPr>
    </w:p>
    <w:p>
      <w:pPr>
        <w:ind w:right="80" w:firstLine="914"/>
        <w:spacing w:after="0" w:line="282"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Inspection of Property; Books and Records; Discussions</w:t>
      </w:r>
      <w:r>
        <w:rPr>
          <w:rFonts w:ascii="Times New Roman" w:cs="Times New Roman" w:eastAsia="Times New Roman" w:hAnsi="Times New Roman"/>
          <w:sz w:val="16"/>
          <w:szCs w:val="16"/>
          <w:color w:val="auto"/>
        </w:rPr>
        <w:t>. (a) Keep proper books of records and account in which full, true and correct entries in all material respects shall be made of all dealings and transactions in relation to its business and activities; and (b) if an Event of Default has occurred and is continuing, or if the Administrative Agent reasonably believes that 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265" w:right="239" w:bottom="1440" w:gutter="0" w:footer="0" w:header="0"/>
        </w:sectPr>
      </w:pPr>
    </w:p>
    <w:bookmarkStart w:id="197" w:name="page198"/>
    <w:bookmarkEnd w:id="197"/>
    <w:p>
      <w:pPr>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Event of Default will occur within a period of six months following the date of the applicable determination,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Promptly give notice to the Administrative Agent and each Bank:</w:t>
      </w:r>
    </w:p>
    <w:p>
      <w:pPr>
        <w:spacing w:after="0" w:line="93" w:lineRule="exact"/>
        <w:rPr>
          <w:sz w:val="20"/>
          <w:szCs w:val="20"/>
          <w:color w:val="auto"/>
        </w:rPr>
      </w:pPr>
    </w:p>
    <w:p>
      <w:pPr>
        <w:ind w:left="1120" w:hanging="224"/>
        <w:spacing w:after="0"/>
        <w:tabs>
          <w:tab w:leader="none" w:pos="11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occurrence of any Default or Event of Default upon any executive officer of the Company or any Significant Subsidiary obtaining knowledge thereof;</w:t>
      </w:r>
    </w:p>
    <w:p>
      <w:pPr>
        <w:spacing w:after="0" w:line="92" w:lineRule="exact"/>
        <w:rPr>
          <w:rFonts w:ascii="Times New Roman" w:cs="Times New Roman" w:eastAsia="Times New Roman" w:hAnsi="Times New Roman"/>
          <w:sz w:val="16"/>
          <w:szCs w:val="16"/>
          <w:color w:val="auto"/>
        </w:rPr>
      </w:pPr>
    </w:p>
    <w:p>
      <w:pPr>
        <w:ind w:left="460" w:right="160" w:firstLine="436"/>
        <w:spacing w:after="0" w:line="301" w:lineRule="auto"/>
        <w:tabs>
          <w:tab w:leader="none" w:pos="113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16" w:lineRule="exact"/>
        <w:rPr>
          <w:rFonts w:ascii="Times New Roman" w:cs="Times New Roman" w:eastAsia="Times New Roman" w:hAnsi="Times New Roman"/>
          <w:sz w:val="16"/>
          <w:szCs w:val="16"/>
          <w:color w:val="auto"/>
        </w:rPr>
      </w:pPr>
    </w:p>
    <w:p>
      <w:pPr>
        <w:ind w:left="460" w:right="100" w:firstLine="436"/>
        <w:spacing w:after="0" w:line="266" w:lineRule="auto"/>
        <w:tabs>
          <w:tab w:leader="none" w:pos="1121"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$25,000,000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9"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other development that has had or would reasonably be expected to have a Material Adverse Effect.</w:t>
      </w:r>
    </w:p>
    <w:p>
      <w:pPr>
        <w:spacing w:after="0" w:line="168"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265" w:right="23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SECTION 7. NEGATIVE COVENANTS</w:t>
      </w:r>
    </w:p>
    <w:p>
      <w:pPr>
        <w:spacing w:after="0" w:line="168" w:lineRule="exact"/>
        <w:rPr>
          <w:sz w:val="20"/>
          <w:szCs w:val="20"/>
          <w:color w:val="auto"/>
        </w:rPr>
      </w:pPr>
    </w:p>
    <w:p>
      <w:pPr>
        <w:ind w:firstLine="914"/>
        <w:spacing w:after="0" w:line="282" w:lineRule="auto"/>
        <w:rPr>
          <w:sz w:val="20"/>
          <w:szCs w:val="20"/>
          <w:color w:val="auto"/>
        </w:rPr>
      </w:pPr>
      <w:r>
        <w:rPr>
          <w:rFonts w:ascii="Times New Roman" w:cs="Times New Roman" w:eastAsia="Times New Roman" w:hAnsi="Times New Roman"/>
          <w:sz w:val="16"/>
          <w:szCs w:val="16"/>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not, and shall not permit any of its Significant Subsidiaries to, directly or indirectly:</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Financial Condition Covenants.</w:t>
      </w:r>
    </w:p>
    <w:p>
      <w:pPr>
        <w:spacing w:after="0" w:line="93" w:lineRule="exact"/>
        <w:rPr>
          <w:sz w:val="20"/>
          <w:szCs w:val="20"/>
          <w:color w:val="auto"/>
        </w:rPr>
      </w:pPr>
    </w:p>
    <w:p>
      <w:pPr>
        <w:ind w:left="460" w:right="340" w:firstLine="436"/>
        <w:spacing w:after="0" w:line="301" w:lineRule="auto"/>
        <w:tabs>
          <w:tab w:leader="none" w:pos="112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Consolidated Leverage Ratio</w:t>
      </w:r>
      <w:r>
        <w:rPr>
          <w:rFonts w:ascii="Times New Roman" w:cs="Times New Roman" w:eastAsia="Times New Roman" w:hAnsi="Times New Roman"/>
          <w:sz w:val="16"/>
          <w:szCs w:val="16"/>
          <w:color w:val="auto"/>
        </w:rPr>
        <w:t>. Permit the Consolidated Leverage Ratio as of the last day of any fiscal quarter, commencing with the fiscal quarter ended September 30, 2015, to be greater than 3.25 to 1.00.</w:t>
      </w:r>
    </w:p>
    <w:p>
      <w:pPr>
        <w:spacing w:after="0" w:line="16" w:lineRule="exact"/>
        <w:rPr>
          <w:rFonts w:ascii="Times New Roman" w:cs="Times New Roman" w:eastAsia="Times New Roman" w:hAnsi="Times New Roman"/>
          <w:sz w:val="16"/>
          <w:szCs w:val="16"/>
          <w:color w:val="auto"/>
        </w:rPr>
      </w:pPr>
    </w:p>
    <w:p>
      <w:pPr>
        <w:ind w:left="460" w:right="160" w:firstLine="436"/>
        <w:spacing w:after="0" w:line="301" w:lineRule="auto"/>
        <w:tabs>
          <w:tab w:leader="none" w:pos="113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Consolidated Interest Coverage Ratio</w:t>
      </w:r>
      <w:r>
        <w:rPr>
          <w:rFonts w:ascii="Times New Roman" w:cs="Times New Roman" w:eastAsia="Times New Roman" w:hAnsi="Times New Roman"/>
          <w:sz w:val="16"/>
          <w:szCs w:val="16"/>
          <w:color w:val="auto"/>
        </w:rPr>
        <w:t>. Permit the Consolidated Interest Coverage Ratio for the period of four consecutive fiscal quarters ending on the last day of any fiscal quarter, commencing with the fiscal quarter ended September 30, 2015, to be less than 3.00 to 1.00.</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Limitation on Indebtedness</w:t>
      </w:r>
      <w:r>
        <w:rPr>
          <w:rFonts w:ascii="Times New Roman" w:cs="Times New Roman" w:eastAsia="Times New Roman" w:hAnsi="Times New Roman"/>
          <w:sz w:val="16"/>
          <w:szCs w:val="16"/>
          <w:color w:val="auto"/>
        </w:rPr>
        <w:t>. Create, incur, assume or suffer to exist any Indebtedness, except:</w:t>
      </w:r>
    </w:p>
    <w:p>
      <w:pPr>
        <w:spacing w:after="0" w:line="93" w:lineRule="exact"/>
        <w:rPr>
          <w:sz w:val="20"/>
          <w:szCs w:val="20"/>
          <w:color w:val="auto"/>
        </w:rPr>
      </w:pPr>
    </w:p>
    <w:p>
      <w:pPr>
        <w:ind w:left="1120" w:hanging="224"/>
        <w:spacing w:after="0"/>
        <w:tabs>
          <w:tab w:leader="none" w:pos="11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arising under this Agreement or the Notes;</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any Wholly Owned Subsidiary of the Company to the Company or any other Wholly Owned Subsidiary of the Company;</w:t>
      </w:r>
    </w:p>
    <w:p>
      <w:pPr>
        <w:spacing w:after="0" w:line="92" w:lineRule="exact"/>
        <w:rPr>
          <w:rFonts w:ascii="Times New Roman" w:cs="Times New Roman" w:eastAsia="Times New Roman" w:hAnsi="Times New Roman"/>
          <w:sz w:val="16"/>
          <w:szCs w:val="16"/>
          <w:color w:val="auto"/>
        </w:rPr>
      </w:pPr>
    </w:p>
    <w:p>
      <w:pPr>
        <w:ind w:left="460" w:right="160" w:firstLine="436"/>
        <w:spacing w:after="0" w:line="301" w:lineRule="auto"/>
        <w:tabs>
          <w:tab w:leader="none" w:pos="1121"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outstanding on the Restatement Effective Date and listed on Schedule 7.2 and any Permitted Refinancing Indebtedness incurred to Refinance such Indebtedness;</w:t>
      </w:r>
    </w:p>
    <w:p>
      <w:pPr>
        <w:spacing w:after="0" w:line="16"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Company;</w:t>
      </w:r>
    </w:p>
    <w:p>
      <w:pPr>
        <w:spacing w:after="0" w:line="92" w:lineRule="exact"/>
        <w:rPr>
          <w:rFonts w:ascii="Times New Roman" w:cs="Times New Roman" w:eastAsia="Times New Roman" w:hAnsi="Times New Roman"/>
          <w:sz w:val="16"/>
          <w:szCs w:val="16"/>
          <w:color w:val="auto"/>
        </w:rPr>
      </w:pPr>
    </w:p>
    <w:p>
      <w:pPr>
        <w:ind w:left="460" w:right="60" w:firstLine="436"/>
        <w:spacing w:after="0" w:line="282" w:lineRule="auto"/>
        <w:tabs>
          <w:tab w:leader="none" w:pos="1121"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secured Broker-Dealer Indebtedness (including that of LFNY) and Indebtedness of Lazard Frères Banque;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after giving effect to the incurrence of any unsecured Indebtedness by Lazard Frères Banque or LFNY, as the case may be, permitted under this Section 7.2(e), the aggregate of its unencumbered assets shall exceed the aggregate of its unsecured Indebtedness;</w:t>
      </w:r>
    </w:p>
    <w:p>
      <w:pPr>
        <w:spacing w:after="0" w:line="31" w:lineRule="exact"/>
        <w:rPr>
          <w:rFonts w:ascii="Times New Roman" w:cs="Times New Roman" w:eastAsia="Times New Roman" w:hAnsi="Times New Roman"/>
          <w:sz w:val="16"/>
          <w:szCs w:val="16"/>
          <w:color w:val="auto"/>
        </w:rPr>
      </w:pPr>
    </w:p>
    <w:p>
      <w:pPr>
        <w:ind w:left="460" w:right="20" w:firstLine="436"/>
        <w:spacing w:after="0" w:line="269" w:lineRule="auto"/>
        <w:tabs>
          <w:tab w:leader="none" w:pos="110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a Subsidiary acquired after the Restatement Effective Date or a corporation or other entity merged into or consolidated with the Company or any Subsidiary after the Restatement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(whether such Permitted Refinancing Indebtedness is incurred substantially concurrently with the consummation of such acquisition, merger or consolidation or thereafter);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immediately after giving effect to the acquisition or assumption of such Indebtedness (other than Permitted Refinancing Indebtedness incurred to Refinance such Indebtedness), the Company shall be in pro forma compliance with the financial covenant set forth in Section 7.1(a);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00"/>
          </w:cols>
          <w:pgMar w:left="240" w:top="265" w:right="259" w:bottom="1440" w:gutter="0" w:footer="0" w:header="0"/>
        </w:sectPr>
      </w:pPr>
    </w:p>
    <w:bookmarkStart w:id="199" w:name="page200"/>
    <w:bookmarkEnd w:id="199"/>
    <w:p>
      <w:pPr>
        <w:ind w:left="1120" w:hanging="224"/>
        <w:spacing w:after="0"/>
        <w:tabs>
          <w:tab w:leader="none" w:pos="11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[Reserved];</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Capital Lease Obligations in an aggregate principal amount not to exceed $40,000,000 at any one time outstanding;</w:t>
      </w:r>
    </w:p>
    <w:p>
      <w:pPr>
        <w:spacing w:after="0" w:line="92" w:lineRule="exact"/>
        <w:rPr>
          <w:rFonts w:ascii="Times New Roman" w:cs="Times New Roman" w:eastAsia="Times New Roman" w:hAnsi="Times New Roman"/>
          <w:sz w:val="16"/>
          <w:szCs w:val="16"/>
          <w:color w:val="auto"/>
        </w:rPr>
      </w:pPr>
    </w:p>
    <w:p>
      <w:pPr>
        <w:ind w:left="460" w:firstLine="436"/>
        <w:spacing w:after="0" w:line="275" w:lineRule="auto"/>
        <w:tabs>
          <w:tab w:leader="none" w:pos="109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money Indebtedness incurred by any Subsidiary of the Company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37" w:lineRule="exact"/>
        <w:rPr>
          <w:rFonts w:ascii="Times New Roman" w:cs="Times New Roman" w:eastAsia="Times New Roman" w:hAnsi="Times New Roman"/>
          <w:sz w:val="16"/>
          <w:szCs w:val="16"/>
          <w:color w:val="auto"/>
        </w:rPr>
      </w:pPr>
    </w:p>
    <w:p>
      <w:pPr>
        <w:ind w:left="1100" w:hanging="204"/>
        <w:spacing w:after="0"/>
        <w:tabs>
          <w:tab w:leader="none" w:pos="11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 connection with Permitted Receivables Financings in an aggregate principal amount not to exceed $50,000,000 at any one time outstanding;</w:t>
      </w:r>
    </w:p>
    <w:p>
      <w:pPr>
        <w:spacing w:after="0" w:line="92" w:lineRule="exact"/>
        <w:rPr>
          <w:rFonts w:ascii="Times New Roman" w:cs="Times New Roman" w:eastAsia="Times New Roman" w:hAnsi="Times New Roman"/>
          <w:sz w:val="16"/>
          <w:szCs w:val="16"/>
          <w:color w:val="auto"/>
        </w:rPr>
      </w:pPr>
    </w:p>
    <w:p>
      <w:pPr>
        <w:ind w:left="460" w:right="200" w:firstLine="436"/>
        <w:spacing w:after="0" w:line="301" w:lineRule="auto"/>
        <w:tabs>
          <w:tab w:leader="none" w:pos="109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 respect of letters of credit issued for the account of the Subsidiaries (other than letters of credit issued as guaranties for Indebtedness of the Company and its Subsidiaries);</w:t>
      </w:r>
    </w:p>
    <w:p>
      <w:pPr>
        <w:spacing w:after="0" w:line="16" w:lineRule="exact"/>
        <w:rPr>
          <w:rFonts w:ascii="Times New Roman" w:cs="Times New Roman" w:eastAsia="Times New Roman" w:hAnsi="Times New Roman"/>
          <w:sz w:val="16"/>
          <w:szCs w:val="16"/>
          <w:color w:val="auto"/>
        </w:rPr>
      </w:pPr>
    </w:p>
    <w:p>
      <w:pPr>
        <w:ind w:left="1180" w:hanging="284"/>
        <w:spacing w:after="0"/>
        <w:tabs>
          <w:tab w:leader="none" w:pos="118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Indebtedness of any of the Subsidiaries;</w:t>
      </w:r>
    </w:p>
    <w:p>
      <w:pPr>
        <w:spacing w:after="0" w:line="92" w:lineRule="exact"/>
        <w:rPr>
          <w:rFonts w:ascii="Times New Roman" w:cs="Times New Roman" w:eastAsia="Times New Roman" w:hAnsi="Times New Roman"/>
          <w:sz w:val="16"/>
          <w:szCs w:val="16"/>
          <w:color w:val="auto"/>
        </w:rPr>
      </w:pPr>
    </w:p>
    <w:p>
      <w:pPr>
        <w:ind w:left="460" w:right="160" w:firstLine="436"/>
        <w:spacing w:after="0" w:line="282" w:lineRule="auto"/>
        <w:tabs>
          <w:tab w:leader="none" w:pos="113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additional Indebtedness of any of the Subsidiaries in an aggregate principal amount (for all Subsidiaries) not to exceed $250,000,000 at any one time outstanding;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immediately after giving effect to the incurrence of such additional Indebtedness, the Company shall be in pro forma compliance with the financial covenant set forth in Section 7.1(a);</w:t>
      </w:r>
    </w:p>
    <w:p>
      <w:pPr>
        <w:spacing w:after="0" w:line="31" w:lineRule="exact"/>
        <w:rPr>
          <w:rFonts w:ascii="Times New Roman" w:cs="Times New Roman" w:eastAsia="Times New Roman" w:hAnsi="Times New Roman"/>
          <w:sz w:val="16"/>
          <w:szCs w:val="16"/>
          <w:color w:val="auto"/>
        </w:rPr>
      </w:pPr>
    </w:p>
    <w:p>
      <w:pPr>
        <w:ind w:left="460" w:right="280" w:firstLine="436"/>
        <w:spacing w:after="0" w:line="301" w:lineRule="auto"/>
        <w:tabs>
          <w:tab w:leader="none" w:pos="113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 Obligations of the Subsidiaries in respect of Indebtedness of the Company or its Subsidiaries so long as the incurrence of such Indebtedness is permitted under this Agreement; and</w:t>
      </w:r>
    </w:p>
    <w:p>
      <w:pPr>
        <w:spacing w:after="0" w:line="16"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Specified Non-Recourse Indebtedness.</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Limitation on Liens</w:t>
      </w:r>
      <w:r>
        <w:rPr>
          <w:rFonts w:ascii="Times New Roman" w:cs="Times New Roman" w:eastAsia="Times New Roman" w:hAnsi="Times New Roman"/>
          <w:sz w:val="16"/>
          <w:szCs w:val="16"/>
          <w:color w:val="auto"/>
        </w:rPr>
        <w:t>. Create, incur, assume or suffer to exist any Lien upon any of its property, assets or revenues, whether now owned or hereafter acquired,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w:t>
      </w:r>
    </w:p>
    <w:p>
      <w:pPr>
        <w:spacing w:after="0" w:line="80" w:lineRule="exact"/>
        <w:rPr>
          <w:sz w:val="20"/>
          <w:szCs w:val="20"/>
          <w:color w:val="auto"/>
        </w:rPr>
      </w:pPr>
    </w:p>
    <w:p>
      <w:pPr>
        <w:ind w:left="460" w:right="100" w:firstLine="436"/>
        <w:spacing w:after="0" w:line="301" w:lineRule="auto"/>
        <w:tabs>
          <w:tab w:leader="none" w:pos="1121"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created, incurred or assumed by any Subsidiary of the Company which is a registered broker-dealer upon assets owned by such Subsidiary or held for such Subsidiary’s account to secure Trade Debt;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20"/>
          </w:cols>
          <w:pgMar w:left="240" w:top="265" w:right="239" w:bottom="1440" w:gutter="0" w:footer="0" w:header="0"/>
        </w:sectPr>
      </w:pPr>
    </w:p>
    <w:bookmarkStart w:id="200" w:name="page201"/>
    <w:bookmarkEnd w:id="200"/>
    <w:p>
      <w:pPr>
        <w:ind w:left="2" w:right="500" w:firstLine="436"/>
        <w:spacing w:after="0" w:line="301" w:lineRule="auto"/>
        <w:tabs>
          <w:tab w:leader="none" w:pos="673"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16" w:lineRule="exact"/>
        <w:rPr>
          <w:rFonts w:ascii="Times New Roman" w:cs="Times New Roman" w:eastAsia="Times New Roman" w:hAnsi="Times New Roman"/>
          <w:sz w:val="16"/>
          <w:szCs w:val="16"/>
          <w:color w:val="auto"/>
        </w:rPr>
      </w:pPr>
    </w:p>
    <w:p>
      <w:pPr>
        <w:ind w:left="2" w:right="20" w:firstLine="436"/>
        <w:spacing w:after="0" w:line="301" w:lineRule="auto"/>
        <w:tabs>
          <w:tab w:leader="none" w:pos="66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16" w:lineRule="exact"/>
        <w:rPr>
          <w:rFonts w:ascii="Times New Roman" w:cs="Times New Roman" w:eastAsia="Times New Roman" w:hAnsi="Times New Roman"/>
          <w:sz w:val="16"/>
          <w:szCs w:val="16"/>
          <w:color w:val="auto"/>
        </w:rPr>
      </w:pPr>
    </w:p>
    <w:p>
      <w:pPr>
        <w:ind w:left="2" w:right="40" w:firstLine="436"/>
        <w:spacing w:after="0" w:line="270" w:lineRule="auto"/>
        <w:tabs>
          <w:tab w:leader="none" w:pos="673"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w:t>
      </w:r>
    </w:p>
    <w:p>
      <w:pPr>
        <w:spacing w:after="0" w:line="1" w:lineRule="exact"/>
        <w:rPr>
          <w:rFonts w:ascii="Times New Roman" w:cs="Times New Roman" w:eastAsia="Times New Roman" w:hAnsi="Times New Roman"/>
          <w:sz w:val="16"/>
          <w:szCs w:val="16"/>
          <w:color w:val="auto"/>
        </w:rPr>
      </w:pPr>
    </w:p>
    <w:p>
      <w:pPr>
        <w:ind w:left="2" w:right="300" w:hanging="2"/>
        <w:spacing w:after="0" w:line="285" w:lineRule="auto"/>
        <w:tabs>
          <w:tab w:leader="none" w:pos="28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from UCC financing statements regarding operating leases and (iv) Liens on securities that are the subject of repurchase agreements constituting Cash Equivalents;</w:t>
      </w:r>
    </w:p>
    <w:p>
      <w:pPr>
        <w:spacing w:after="0" w:line="28" w:lineRule="exact"/>
        <w:rPr>
          <w:rFonts w:ascii="Times New Roman" w:cs="Times New Roman" w:eastAsia="Times New Roman" w:hAnsi="Times New Roman"/>
          <w:sz w:val="16"/>
          <w:szCs w:val="16"/>
          <w:color w:val="auto"/>
        </w:rPr>
      </w:pPr>
    </w:p>
    <w:p>
      <w:pPr>
        <w:jc w:val="both"/>
        <w:ind w:left="2" w:right="380" w:firstLine="436"/>
        <w:spacing w:after="0" w:line="282" w:lineRule="auto"/>
        <w:tabs>
          <w:tab w:leader="none" w:pos="664"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incurred or pledges or deposits made to secure the performance of bids, tenders, sales contracts, trade contracts (other than for borrowed money), leases, statutory and other obligations required by law, surety and appeal bonds, performance bonds and other obligations of a like nature incurred in the ordinary course of business;</w:t>
      </w:r>
    </w:p>
    <w:p>
      <w:pPr>
        <w:spacing w:after="0" w:line="31" w:lineRule="exact"/>
        <w:rPr>
          <w:rFonts w:ascii="Times New Roman" w:cs="Times New Roman" w:eastAsia="Times New Roman" w:hAnsi="Times New Roman"/>
          <w:sz w:val="16"/>
          <w:szCs w:val="16"/>
          <w:color w:val="auto"/>
        </w:rPr>
      </w:pPr>
    </w:p>
    <w:p>
      <w:pPr>
        <w:ind w:left="2" w:right="20" w:firstLine="436"/>
        <w:spacing w:after="0" w:line="282" w:lineRule="auto"/>
        <w:tabs>
          <w:tab w:leader="none" w:pos="645"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31" w:lineRule="exact"/>
        <w:rPr>
          <w:rFonts w:ascii="Times New Roman" w:cs="Times New Roman" w:eastAsia="Times New Roman" w:hAnsi="Times New Roman"/>
          <w:sz w:val="16"/>
          <w:szCs w:val="16"/>
          <w:color w:val="auto"/>
        </w:rPr>
      </w:pPr>
    </w:p>
    <w:p>
      <w:pPr>
        <w:ind w:left="2" w:right="160" w:firstLine="436"/>
        <w:spacing w:after="0" w:line="301" w:lineRule="auto"/>
        <w:tabs>
          <w:tab w:leader="none" w:pos="673"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real property, leasehold improvements and equipment of the Company securing Specified Non-Recourse Indebtedness and/or Specified Recourse Indebtedness;</w:t>
      </w:r>
    </w:p>
    <w:p>
      <w:pPr>
        <w:spacing w:after="0" w:line="16" w:lineRule="exact"/>
        <w:rPr>
          <w:rFonts w:ascii="Times New Roman" w:cs="Times New Roman" w:eastAsia="Times New Roman" w:hAnsi="Times New Roman"/>
          <w:sz w:val="16"/>
          <w:szCs w:val="16"/>
          <w:color w:val="auto"/>
        </w:rPr>
      </w:pPr>
    </w:p>
    <w:p>
      <w:pPr>
        <w:ind w:left="662" w:hanging="224"/>
        <w:spacing w:after="0"/>
        <w:tabs>
          <w:tab w:leader="none" w:pos="662"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judgment Liens in respect of judgments that do not constitute an Event of Default under clause (h) of Section 9;</w:t>
      </w:r>
    </w:p>
    <w:p>
      <w:pPr>
        <w:spacing w:after="0" w:line="92" w:lineRule="exact"/>
        <w:rPr>
          <w:rFonts w:ascii="Times New Roman" w:cs="Times New Roman" w:eastAsia="Times New Roman" w:hAnsi="Times New Roman"/>
          <w:sz w:val="16"/>
          <w:szCs w:val="16"/>
          <w:color w:val="auto"/>
        </w:rPr>
      </w:pPr>
    </w:p>
    <w:p>
      <w:pPr>
        <w:ind w:left="2" w:firstLine="436"/>
        <w:spacing w:after="0" w:line="275" w:lineRule="auto"/>
        <w:tabs>
          <w:tab w:leader="none" w:pos="63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 contemplation of such acquisition that do not secure the purchase price);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Lien shall extend to or cover any property other than property being acquired, constructed on or improved;</w:t>
      </w:r>
    </w:p>
    <w:p>
      <w:pPr>
        <w:spacing w:after="0" w:line="37" w:lineRule="exact"/>
        <w:rPr>
          <w:rFonts w:ascii="Times New Roman" w:cs="Times New Roman" w:eastAsia="Times New Roman" w:hAnsi="Times New Roman"/>
          <w:sz w:val="16"/>
          <w:szCs w:val="16"/>
          <w:color w:val="auto"/>
        </w:rPr>
      </w:pPr>
    </w:p>
    <w:p>
      <w:pPr>
        <w:ind w:left="2" w:right="220" w:firstLine="436"/>
        <w:spacing w:after="0" w:line="282" w:lineRule="auto"/>
        <w:tabs>
          <w:tab w:leader="none" w:pos="63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94" w:lineRule="exact"/>
        <w:rPr>
          <w:sz w:val="20"/>
          <w:szCs w:val="20"/>
          <w:color w:val="auto"/>
        </w:rPr>
      </w:pPr>
    </w:p>
    <w:p>
      <w:pPr>
        <w:jc w:val="center"/>
        <w:ind w:right="418"/>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942"/>
          </w:cols>
          <w:pgMar w:left="698" w:top="265" w:right="259" w:bottom="1440" w:gutter="0" w:footer="0" w:header="0"/>
        </w:sectPr>
      </w:pPr>
    </w:p>
    <w:bookmarkStart w:id="201" w:name="page202"/>
    <w:bookmarkEnd w:id="201"/>
    <w:p>
      <w:pPr>
        <w:ind w:left="1120" w:hanging="224"/>
        <w:spacing w:after="0"/>
        <w:tabs>
          <w:tab w:leader="none" w:pos="112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any extension, renewal or replacement (or successive extensions, renewals or replacements), in whole or in part, of any of the Liens permitted by clause</w:t>
      </w:r>
    </w:p>
    <w:p>
      <w:pPr>
        <w:spacing w:after="0" w:line="29" w:lineRule="exact"/>
        <w:rPr>
          <w:rFonts w:ascii="Times New Roman" w:cs="Times New Roman" w:eastAsia="Times New Roman" w:hAnsi="Times New Roman"/>
          <w:sz w:val="16"/>
          <w:szCs w:val="16"/>
          <w:color w:val="auto"/>
        </w:rPr>
      </w:pPr>
    </w:p>
    <w:p>
      <w:pPr>
        <w:ind w:left="660" w:hanging="202"/>
        <w:spacing w:after="0"/>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upon the same real property or assets theretofore subject thereto without increase in the amount of Indebtedness secured thereby;</w:t>
      </w:r>
    </w:p>
    <w:p>
      <w:pPr>
        <w:spacing w:after="0" w:line="80" w:lineRule="exact"/>
        <w:rPr>
          <w:rFonts w:ascii="Times New Roman" w:cs="Times New Roman" w:eastAsia="Times New Roman" w:hAnsi="Times New Roman"/>
          <w:sz w:val="16"/>
          <w:szCs w:val="16"/>
          <w:color w:val="auto"/>
        </w:rPr>
      </w:pPr>
    </w:p>
    <w:p>
      <w:pPr>
        <w:ind w:left="460" w:right="300" w:firstLine="436"/>
        <w:spacing w:after="0" w:line="268" w:lineRule="auto"/>
        <w:tabs>
          <w:tab w:leader="none" w:pos="1094"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Lien on any property or asset (or proceeds therefrom) that is existing prior to the acquisition thereof by the Company or any Subsidiary or on any property or asset of any Person that becomes a Subsidiary after the Restatement Effective Date that is existing prior to the time such Person becomes a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Lien is not created in contemplation of or in connection with such acquisition or such Person becoming a Subsidiary, as the case may be,</w:t>
      </w:r>
    </w:p>
    <w:p>
      <w:pPr>
        <w:ind w:left="460" w:right="120" w:hanging="2"/>
        <w:spacing w:after="0" w:line="273" w:lineRule="auto"/>
        <w:tabs>
          <w:tab w:leader="none" w:pos="701"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Times New Roman" w:cs="Times New Roman" w:eastAsia="Times New Roman" w:hAnsi="Times New Roman"/>
          <w:sz w:val="16"/>
          <w:szCs w:val="16"/>
          <w:color w:val="auto"/>
        </w:rPr>
      </w:pPr>
    </w:p>
    <w:p>
      <w:pPr>
        <w:ind w:left="1180" w:hanging="284"/>
        <w:spacing w:after="0"/>
        <w:tabs>
          <w:tab w:leader="none" w:pos="118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securing Indebtedness permitted under Sections 7.2(b) (only to the extent required under Requirements of Law), 7.2(e) and 7.2(k);</w:t>
      </w:r>
    </w:p>
    <w:p>
      <w:pPr>
        <w:spacing w:after="0" w:line="92" w:lineRule="exact"/>
        <w:rPr>
          <w:rFonts w:ascii="Times New Roman" w:cs="Times New Roman" w:eastAsia="Times New Roman" w:hAnsi="Times New Roman"/>
          <w:sz w:val="16"/>
          <w:szCs w:val="16"/>
          <w:color w:val="auto"/>
        </w:rPr>
      </w:pPr>
    </w:p>
    <w:p>
      <w:pPr>
        <w:ind w:left="460" w:right="220" w:firstLine="436"/>
        <w:spacing w:after="0" w:line="272" w:lineRule="auto"/>
        <w:tabs>
          <w:tab w:leader="none" w:pos="113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securing Indebtedness permitted under Sections 7.2(h) and 7.2(i) on property acquired or held by the Company or any Subsidiary solely for the purpose of financing the acquisition, construction or improvement of such property (including any such property made the subject of a Capital Lease Obligation) or other Lien existing on any such property or assets at the time of such acquisition (other than any such Liens created in contemplation of such acquisition that do not secure the purchase price); provided, however, that no such Lien shall extend to or cover any property other than the property being acquired, constructed on or improved or subject to such Capital Lease Obligation;</w:t>
      </w:r>
    </w:p>
    <w:p>
      <w:pPr>
        <w:spacing w:after="0" w:line="39"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the Restatement Effective Date set forth on Schedule 7.2; and</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Liens securing Indebtedness or other obligations not prohibited under Section 7.2 in an aggregate principal amount outstanding not to exceed</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$50,000,000 at any time outstanding.</w:t>
      </w:r>
    </w:p>
    <w:p>
      <w:pPr>
        <w:spacing w:after="0" w:line="80" w:lineRule="exact"/>
        <w:rPr>
          <w:sz w:val="20"/>
          <w:szCs w:val="20"/>
          <w:color w:val="auto"/>
        </w:rPr>
      </w:pPr>
    </w:p>
    <w:p>
      <w:pPr>
        <w:ind w:firstLine="914"/>
        <w:spacing w:after="0" w:line="282"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Limitation on Fundamental Changes</w:t>
      </w:r>
      <w:r>
        <w:rPr>
          <w:rFonts w:ascii="Times New Roman" w:cs="Times New Roman" w:eastAsia="Times New Roman" w:hAnsi="Times New Roman"/>
          <w:sz w:val="16"/>
          <w:szCs w:val="16"/>
          <w:color w:val="auto"/>
        </w:rPr>
        <w:t>. Consummate any merger, amalgamation, statutory share exchange or consolidation or similar transaction (collectively, to “</w:t>
      </w:r>
      <w:r>
        <w:rPr>
          <w:rFonts w:ascii="Times New Roman" w:cs="Times New Roman" w:eastAsia="Times New Roman" w:hAnsi="Times New Roman"/>
          <w:sz w:val="16"/>
          <w:szCs w:val="16"/>
          <w:u w:val="single" w:color="auto"/>
          <w:color w:val="auto"/>
        </w:rPr>
        <w:t>Merge</w:t>
      </w:r>
      <w:r>
        <w:rPr>
          <w:rFonts w:ascii="Times New Roman" w:cs="Times New Roman" w:eastAsia="Times New Roman" w:hAnsi="Times New Roman"/>
          <w:sz w:val="16"/>
          <w:szCs w:val="16"/>
          <w:color w:val="auto"/>
        </w:rPr>
        <w:t>” or a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Times New Roman" w:cs="Times New Roman" w:eastAsia="Times New Roman" w:hAnsi="Times New Roman"/>
          <w:sz w:val="16"/>
          <w:szCs w:val="16"/>
          <w:u w:val="single" w:color="auto"/>
          <w:color w:val="auto"/>
        </w:rPr>
        <w:t>Business Combination</w:t>
      </w:r>
      <w:r>
        <w:rPr>
          <w:rFonts w:ascii="Times New Roman" w:cs="Times New Roman" w:eastAsia="Times New Roman" w:hAnsi="Times New Roman"/>
          <w:sz w:val="16"/>
          <w:szCs w:val="16"/>
          <w:color w:val="auto"/>
        </w:rPr>
        <w:t>”), except that:</w:t>
      </w:r>
    </w:p>
    <w:p>
      <w:pPr>
        <w:spacing w:after="0" w:line="31" w:lineRule="exact"/>
        <w:rPr>
          <w:sz w:val="20"/>
          <w:szCs w:val="20"/>
          <w:color w:val="auto"/>
        </w:rPr>
      </w:pPr>
    </w:p>
    <w:p>
      <w:pPr>
        <w:ind w:left="460" w:right="100" w:firstLine="436"/>
        <w:spacing w:after="0" w:line="301" w:lineRule="auto"/>
        <w:tabs>
          <w:tab w:leader="none" w:pos="1121"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of the Company may Merge with or into the Company or enter into a Business Combination with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be the continuing or surviving person) or Merge with or into, or enter into a Business Combination with, any other Subsidiary;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400"/>
          </w:cols>
          <w:pgMar w:left="240" w:top="265" w:right="259" w:bottom="1440" w:gutter="0" w:footer="0" w:header="0"/>
        </w:sectPr>
      </w:pPr>
    </w:p>
    <w:bookmarkStart w:id="202" w:name="page203"/>
    <w:bookmarkEnd w:id="202"/>
    <w:p>
      <w:pPr>
        <w:ind w:left="460" w:right="180" w:firstLine="436"/>
        <w:spacing w:after="0" w:line="282" w:lineRule="auto"/>
        <w:tabs>
          <w:tab w:leader="none" w:pos="113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31" w:lineRule="exact"/>
        <w:rPr>
          <w:rFonts w:ascii="Times New Roman" w:cs="Times New Roman" w:eastAsia="Times New Roman" w:hAnsi="Times New Roman"/>
          <w:sz w:val="16"/>
          <w:szCs w:val="16"/>
          <w:color w:val="auto"/>
        </w:rPr>
      </w:pPr>
    </w:p>
    <w:p>
      <w:pPr>
        <w:ind w:left="460" w:right="40" w:firstLine="436"/>
        <w:spacing w:after="0" w:line="272" w:lineRule="auto"/>
        <w:tabs>
          <w:tab w:leader="none" w:pos="1121"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ind w:firstLine="914"/>
        <w:spacing w:after="0" w:line="266" w:lineRule="auto"/>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Clauses Restricting Subsidiary Distributions</w:t>
      </w:r>
      <w:r>
        <w:rPr>
          <w:rFonts w:ascii="Times New Roman" w:cs="Times New Roman" w:eastAsia="Times New Roman" w:hAnsi="Times New Roman"/>
          <w:sz w:val="16"/>
          <w:szCs w:val="16"/>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 respect to a Person that is not a Significant Subsidiary on the Restatement Effective Date,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47" w:lineRule="exact"/>
        <w:rPr>
          <w:sz w:val="20"/>
          <w:szCs w:val="20"/>
          <w:color w:val="auto"/>
        </w:rPr>
      </w:pPr>
    </w:p>
    <w:p>
      <w:pPr>
        <w:ind w:right="400" w:firstLine="914"/>
        <w:spacing w:after="0" w:line="282" w:lineRule="auto"/>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420"/>
          </w:cols>
          <w:pgMar w:left="240" w:top="266" w:right="239" w:bottom="1440" w:gutter="0" w:footer="0" w:header="0"/>
        </w:sectPr>
      </w:pPr>
    </w:p>
    <w:bookmarkStart w:id="203" w:name="page204"/>
    <w:bookmarkEnd w:id="203"/>
    <w:p>
      <w:pPr>
        <w:ind w:right="80"/>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Company or any of its Subsidiaries, whether now or hereafter outstanding, or make any other distribution in respect thereof, either directly or indirectly, whether in cash or property or in obligations of any of the Company or any Subsidiary (collectively, “</w:t>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 if, at the time thereof and immediately after giving effect thereto, a Default or Event of Default shall have occurred and be continuing. Notwithstanding the foregoing, the Company and each Subsidiary may make the following Restricted Payments:</w:t>
      </w:r>
    </w:p>
    <w:p>
      <w:pPr>
        <w:spacing w:after="0" w:line="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(a) amounts necessary for tax distributions in accordance with Article VI of the Company’s operating agreement as in effect as of the Restatement Effective</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w:t>
      </w:r>
    </w:p>
    <w:p>
      <w:pPr>
        <w:spacing w:after="0" w:line="80" w:lineRule="exact"/>
        <w:rPr>
          <w:sz w:val="20"/>
          <w:szCs w:val="20"/>
          <w:color w:val="auto"/>
        </w:rPr>
      </w:pPr>
    </w:p>
    <w:p>
      <w:pPr>
        <w:ind w:left="1120" w:hanging="224"/>
        <w:spacing w:after="0"/>
        <w:tabs>
          <w:tab w:leader="none" w:pos="11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made in accordance with the Company’s operating agreement, as in effect as of the Restatement Effective Date, in respect of profit participation</w:t>
      </w:r>
    </w:p>
    <w:p>
      <w:pPr>
        <w:spacing w:after="0" w:line="29"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w:t>
      </w:r>
    </w:p>
    <w:p>
      <w:pPr>
        <w:spacing w:after="0" w:line="80"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Payments made by any Subsidiary of the Company to the Company or any other Subsidiary of the Company or ratably with respect to its Capital</w:t>
      </w:r>
    </w:p>
    <w:p>
      <w:pPr>
        <w:spacing w:after="0" w:line="29"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w:t>
      </w:r>
    </w:p>
    <w:p>
      <w:pPr>
        <w:spacing w:after="0" w:line="80"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rata distributions to any holders of Capital Stock in a joint venture;</w:t>
      </w:r>
    </w:p>
    <w:p>
      <w:pPr>
        <w:spacing w:after="0" w:line="92" w:lineRule="exact"/>
        <w:rPr>
          <w:rFonts w:ascii="Times New Roman" w:cs="Times New Roman" w:eastAsia="Times New Roman" w:hAnsi="Times New Roman"/>
          <w:sz w:val="16"/>
          <w:szCs w:val="16"/>
          <w:color w:val="auto"/>
        </w:rPr>
      </w:pPr>
    </w:p>
    <w:p>
      <w:pPr>
        <w:ind w:left="460" w:right="180" w:firstLine="436"/>
        <w:spacing w:after="0" w:line="301" w:lineRule="auto"/>
        <w:tabs>
          <w:tab w:leader="none" w:pos="112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16" w:lineRule="exact"/>
        <w:rPr>
          <w:rFonts w:ascii="Times New Roman" w:cs="Times New Roman" w:eastAsia="Times New Roman" w:hAnsi="Times New Roman"/>
          <w:sz w:val="16"/>
          <w:szCs w:val="16"/>
          <w:color w:val="auto"/>
        </w:rPr>
      </w:pPr>
    </w:p>
    <w:p>
      <w:pPr>
        <w:ind w:left="460" w:right="140" w:firstLine="436"/>
        <w:spacing w:after="0" w:line="282" w:lineRule="auto"/>
        <w:tabs>
          <w:tab w:leader="none" w:pos="110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Payments made by the Company or by any Significant Subsidiary of the Company, in connection with the purchase of Holdings Capital Stock in an amount equal to 100% of Holdings Capital Stock that the Company or Holdings expects to ultimately issue pursuant to any equity compensation plan authorized and approved by the Board of Directors of Holdings or the Company in respect of year-end incentive compensation attributable to the prior year;</w:t>
      </w:r>
    </w:p>
    <w:p>
      <w:pPr>
        <w:spacing w:after="0" w:line="31"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payments to employees holding Capital Stock received upon the exercise of compensation options under a benefit plan; and</w:t>
      </w:r>
    </w:p>
    <w:p>
      <w:pPr>
        <w:spacing w:after="0" w:line="92" w:lineRule="exact"/>
        <w:rPr>
          <w:rFonts w:ascii="Times New Roman" w:cs="Times New Roman" w:eastAsia="Times New Roman" w:hAnsi="Times New Roman"/>
          <w:sz w:val="16"/>
          <w:szCs w:val="16"/>
          <w:color w:val="auto"/>
        </w:rPr>
      </w:pPr>
    </w:p>
    <w:p>
      <w:pPr>
        <w:ind w:left="1120" w:hanging="224"/>
        <w:spacing w:after="0"/>
        <w:tabs>
          <w:tab w:leader="none" w:pos="11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Payments made in connection with the Lazard Asset Management Equity Plan.</w:t>
      </w:r>
    </w:p>
    <w:p>
      <w:pPr>
        <w:spacing w:after="0" w:line="93" w:lineRule="exact"/>
        <w:rPr>
          <w:sz w:val="20"/>
          <w:szCs w:val="20"/>
          <w:color w:val="auto"/>
        </w:rPr>
      </w:pPr>
    </w:p>
    <w:p>
      <w:pPr>
        <w:ind w:right="80" w:firstLine="914"/>
        <w:spacing w:after="0" w:line="280" w:lineRule="auto"/>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Disposition of Designated Subsidiaries</w:t>
      </w:r>
      <w:r>
        <w:rPr>
          <w:rFonts w:ascii="Times New Roman" w:cs="Times New Roman" w:eastAsia="Times New Roman" w:hAnsi="Times New Roman"/>
          <w:sz w:val="16"/>
          <w:szCs w:val="16"/>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20"/>
          </w:cols>
          <w:pgMar w:left="240" w:top="265" w:right="239" w:bottom="1440" w:gutter="0" w:footer="0" w:header="0"/>
        </w:sectPr>
      </w:pPr>
    </w:p>
    <w:bookmarkStart w:id="204" w:name="page205"/>
    <w:bookmarkEnd w:id="204"/>
    <w:p>
      <w:pPr>
        <w:ind w:left="4402"/>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SECTION 8. RESERVED</w:t>
      </w:r>
    </w:p>
    <w:p>
      <w:pPr>
        <w:spacing w:after="0" w:line="168" w:lineRule="exact"/>
        <w:rPr>
          <w:sz w:val="20"/>
          <w:szCs w:val="20"/>
          <w:color w:val="auto"/>
        </w:rPr>
      </w:pPr>
    </w:p>
    <w:p>
      <w:pPr>
        <w:ind w:left="3982"/>
        <w:spacing w:after="0"/>
        <w:rPr>
          <w:sz w:val="20"/>
          <w:szCs w:val="20"/>
          <w:color w:val="auto"/>
        </w:rPr>
      </w:pPr>
      <w:r>
        <w:rPr>
          <w:rFonts w:ascii="Times New Roman" w:cs="Times New Roman" w:eastAsia="Times New Roman" w:hAnsi="Times New Roman"/>
          <w:sz w:val="16"/>
          <w:szCs w:val="16"/>
          <w:color w:val="auto"/>
        </w:rPr>
        <w:t>SECTION 9. EVENTS OF DEFAULT</w:t>
      </w:r>
    </w:p>
    <w:p>
      <w:pPr>
        <w:spacing w:after="0" w:line="168"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6"/>
          <w:szCs w:val="16"/>
          <w:color w:val="auto"/>
        </w:rPr>
        <w:t>If any of the following events shall occur and be continuing:</w:t>
      </w:r>
    </w:p>
    <w:p>
      <w:pPr>
        <w:spacing w:after="0" w:line="93" w:lineRule="exact"/>
        <w:rPr>
          <w:sz w:val="20"/>
          <w:szCs w:val="20"/>
          <w:color w:val="auto"/>
        </w:rPr>
      </w:pPr>
    </w:p>
    <w:p>
      <w:pPr>
        <w:ind w:left="2" w:right="40" w:firstLine="436"/>
        <w:spacing w:after="0" w:line="301" w:lineRule="auto"/>
        <w:tabs>
          <w:tab w:leader="none" w:pos="664"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fail to pay any principal of any Loan when any such amount becomes due in accordance with the terms hereof; or to pay any interest on any Loan, or any other amount payable hereunder, within five days after such interest or other amount becomes due in accordance with the terms hereof; or</w:t>
      </w:r>
    </w:p>
    <w:p>
      <w:pPr>
        <w:spacing w:after="0" w:line="16" w:lineRule="exact"/>
        <w:rPr>
          <w:rFonts w:ascii="Times New Roman" w:cs="Times New Roman" w:eastAsia="Times New Roman" w:hAnsi="Times New Roman"/>
          <w:sz w:val="16"/>
          <w:szCs w:val="16"/>
          <w:color w:val="auto"/>
        </w:rPr>
      </w:pPr>
    </w:p>
    <w:p>
      <w:pPr>
        <w:ind w:left="2" w:right="60" w:firstLine="436"/>
        <w:spacing w:after="0" w:line="301" w:lineRule="auto"/>
        <w:tabs>
          <w:tab w:leader="none" w:pos="673"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spacing w:after="0" w:line="16" w:lineRule="exact"/>
        <w:rPr>
          <w:rFonts w:ascii="Times New Roman" w:cs="Times New Roman" w:eastAsia="Times New Roman" w:hAnsi="Times New Roman"/>
          <w:sz w:val="16"/>
          <w:szCs w:val="16"/>
          <w:color w:val="auto"/>
        </w:rPr>
      </w:pPr>
    </w:p>
    <w:p>
      <w:pPr>
        <w:ind w:left="2" w:right="200" w:firstLine="436"/>
        <w:spacing w:after="0" w:line="301" w:lineRule="auto"/>
        <w:tabs>
          <w:tab w:leader="none" w:pos="664"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 or</w:t>
      </w:r>
    </w:p>
    <w:p>
      <w:pPr>
        <w:spacing w:after="0" w:line="16" w:lineRule="exact"/>
        <w:rPr>
          <w:rFonts w:ascii="Times New Roman" w:cs="Times New Roman" w:eastAsia="Times New Roman" w:hAnsi="Times New Roman"/>
          <w:sz w:val="16"/>
          <w:szCs w:val="16"/>
          <w:color w:val="auto"/>
        </w:rPr>
      </w:pPr>
    </w:p>
    <w:p>
      <w:pPr>
        <w:ind w:left="2" w:right="220" w:firstLine="436"/>
        <w:spacing w:after="0" w:line="301" w:lineRule="auto"/>
        <w:tabs>
          <w:tab w:leader="none" w:pos="673"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spacing w:after="0" w:line="16" w:lineRule="exact"/>
        <w:rPr>
          <w:rFonts w:ascii="Times New Roman" w:cs="Times New Roman" w:eastAsia="Times New Roman" w:hAnsi="Times New Roman"/>
          <w:sz w:val="16"/>
          <w:szCs w:val="16"/>
          <w:color w:val="auto"/>
        </w:rPr>
      </w:pPr>
    </w:p>
    <w:p>
      <w:pPr>
        <w:ind w:left="662" w:hanging="224"/>
        <w:spacing w:after="0"/>
        <w:tabs>
          <w:tab w:leader="none" w:pos="662"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default in the observance or performance of any other agreement contained in this Agreement (other than as provided in paragraphs</w:t>
      </w:r>
    </w:p>
    <w:p>
      <w:pPr>
        <w:spacing w:after="0" w:line="29" w:lineRule="exact"/>
        <w:rPr>
          <w:rFonts w:ascii="Times New Roman" w:cs="Times New Roman" w:eastAsia="Times New Roman" w:hAnsi="Times New Roman"/>
          <w:sz w:val="16"/>
          <w:szCs w:val="16"/>
          <w:color w:val="auto"/>
        </w:rPr>
      </w:pPr>
    </w:p>
    <w:p>
      <w:pPr>
        <w:ind w:left="2" w:right="520" w:hanging="2"/>
        <w:spacing w:after="0" w:line="285" w:lineRule="auto"/>
        <w:tabs>
          <w:tab w:leader="none" w:pos="22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(d) of this Section), and such default shall continue unremedied for a period of 30 days following notice thereof by the Administrative Agent to the Company; or</w:t>
      </w:r>
    </w:p>
    <w:p>
      <w:pPr>
        <w:spacing w:after="0" w:line="28" w:lineRule="exact"/>
        <w:rPr>
          <w:rFonts w:ascii="Times New Roman" w:cs="Times New Roman" w:eastAsia="Times New Roman" w:hAnsi="Times New Roman"/>
          <w:sz w:val="16"/>
          <w:szCs w:val="16"/>
          <w:color w:val="auto"/>
        </w:rPr>
      </w:pPr>
    </w:p>
    <w:p>
      <w:pPr>
        <w:ind w:left="2" w:firstLine="436"/>
        <w:spacing w:after="0" w:line="270" w:lineRule="auto"/>
        <w:tabs>
          <w:tab w:leader="none" w:pos="645"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of its Significant Subsidiaries shall (i) default in any payment of principal of or interest on any Indebtedness (other than the Loans) in excess of $50,000,000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$50,000,000 to become due prior to its stated maturity; or</w:t>
      </w:r>
    </w:p>
    <w:p>
      <w:pPr>
        <w:spacing w:after="0" w:line="41" w:lineRule="exact"/>
        <w:rPr>
          <w:rFonts w:ascii="Times New Roman" w:cs="Times New Roman" w:eastAsia="Times New Roman" w:hAnsi="Times New Roman"/>
          <w:sz w:val="16"/>
          <w:szCs w:val="16"/>
          <w:color w:val="auto"/>
        </w:rPr>
      </w:pPr>
    </w:p>
    <w:p>
      <w:pPr>
        <w:ind w:left="2" w:right="40" w:firstLine="436"/>
        <w:spacing w:after="0" w:line="282" w:lineRule="auto"/>
        <w:tabs>
          <w:tab w:leader="none" w:pos="673"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w:t>
      </w:r>
    </w:p>
    <w:p>
      <w:pPr>
        <w:spacing w:after="0" w:line="94"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902"/>
          </w:cols>
          <w:pgMar w:left="698" w:top="265" w:right="299" w:bottom="1440" w:gutter="0" w:footer="0" w:header="0"/>
        </w:sectPr>
      </w:pPr>
    </w:p>
    <w:bookmarkStart w:id="205" w:name="page206"/>
    <w:bookmarkEnd w:id="205"/>
    <w:p>
      <w:pPr>
        <w:ind w:left="2"/>
        <w:spacing w:after="0" w:line="26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arise on the assets of the Company or any of its Significant Subsidiaries or any Commonly Controlled Entity; (iii) 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 (vii) the Company, any of its Significant Subsidiaries or any Commonly Controlled Entity shall, or shall be reasonably likely to, incur any liability in connection with a withdrawal from, or the Insolvency of, a Multiemployer Plan or there shall be a determination that any Multiemployer Plan is, or is expected to be, in “endangered” or “critical” status (within the meaning of Section 432 of the Code or Section 305 of ERISA); (viii) with respect to any Foreign Plan, there shall occur</w:t>
      </w:r>
    </w:p>
    <w:p>
      <w:pPr>
        <w:spacing w:after="0" w:line="2" w:lineRule="exact"/>
        <w:rPr>
          <w:sz w:val="20"/>
          <w:szCs w:val="20"/>
          <w:color w:val="auto"/>
        </w:rPr>
      </w:pPr>
    </w:p>
    <w:p>
      <w:pPr>
        <w:ind w:left="2" w:right="120" w:hanging="2"/>
        <w:spacing w:after="0" w:line="267" w:lineRule="auto"/>
        <w:tabs>
          <w:tab w:leader="none" w:pos="27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 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43" w:lineRule="exact"/>
        <w:rPr>
          <w:rFonts w:ascii="Times New Roman" w:cs="Times New Roman" w:eastAsia="Times New Roman" w:hAnsi="Times New Roman"/>
          <w:sz w:val="16"/>
          <w:szCs w:val="16"/>
          <w:color w:val="auto"/>
        </w:rPr>
      </w:pPr>
    </w:p>
    <w:p>
      <w:pPr>
        <w:ind w:left="2" w:firstLine="436"/>
        <w:spacing w:after="0" w:line="282" w:lineRule="auto"/>
        <w:tabs>
          <w:tab w:leader="none" w:pos="673"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judgments or decrees shall be entered against the Company or any of its Significant Subsidiaries involving in the aggregate a liability (not paid or to the extent not covered by insurance) of $50,000,000 or more and all such judgments or decrees shall not have been vacated, discharged, stayed or bonded pending appeal within 60 days from the entry thereof; or</w:t>
      </w:r>
    </w:p>
    <w:p>
      <w:pPr>
        <w:spacing w:after="0" w:line="31" w:lineRule="exact"/>
        <w:rPr>
          <w:rFonts w:ascii="Times New Roman" w:cs="Times New Roman" w:eastAsia="Times New Roman" w:hAnsi="Times New Roman"/>
          <w:sz w:val="16"/>
          <w:szCs w:val="16"/>
          <w:color w:val="auto"/>
        </w:rPr>
      </w:pPr>
    </w:p>
    <w:p>
      <w:pPr>
        <w:ind w:left="2" w:right="100" w:firstLine="436"/>
        <w:spacing w:after="0" w:line="270" w:lineRule="auto"/>
        <w:tabs>
          <w:tab w:leader="none" w:pos="636"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 (ii) there shall be commenced against the Company or any of its Significant Subsidiaries any case,</w:t>
      </w:r>
    </w:p>
    <w:p>
      <w:pPr>
        <w:spacing w:after="0" w:line="105"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962"/>
          </w:cols>
          <w:pgMar w:left="698" w:top="265" w:right="2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proceeding or other action of a nature referred to in clause (i) above that (A) results in the entry of an order for relief or any such adjudication or appointment or</w:t>
      </w:r>
    </w:p>
    <w:p>
      <w:pPr>
        <w:spacing w:after="0" w:line="30" w:lineRule="exact"/>
        <w:rPr>
          <w:sz w:val="20"/>
          <w:szCs w:val="20"/>
          <w:color w:val="auto"/>
        </w:rPr>
      </w:pPr>
    </w:p>
    <w:p>
      <w:pPr>
        <w:ind w:left="460" w:right="140" w:hanging="2"/>
        <w:spacing w:after="0" w:line="267" w:lineRule="auto"/>
        <w:tabs>
          <w:tab w:leader="none" w:pos="71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Times New Roman" w:cs="Times New Roman" w:eastAsia="Times New Roman" w:hAnsi="Times New Roman"/>
          <w:sz w:val="16"/>
          <w:szCs w:val="16"/>
          <w:color w:val="auto"/>
        </w:rPr>
      </w:pPr>
    </w:p>
    <w:p>
      <w:pPr>
        <w:ind w:left="1100" w:hanging="204"/>
        <w:spacing w:after="0"/>
        <w:tabs>
          <w:tab w:leader="none" w:pos="1100"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Control shall occur.</w:t>
      </w:r>
    </w:p>
    <w:p>
      <w:pPr>
        <w:spacing w:after="0" w:line="93"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10. RESERVED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11. THE ADMINISTRATIVE AGENT</w:t>
      </w:r>
    </w:p>
    <w:p>
      <w:pPr>
        <w:spacing w:after="0" w:line="168" w:lineRule="exact"/>
        <w:rPr>
          <w:sz w:val="20"/>
          <w:szCs w:val="20"/>
          <w:color w:val="auto"/>
        </w:rPr>
      </w:pPr>
    </w:p>
    <w:p>
      <w:pPr>
        <w:ind w:right="40" w:firstLine="914"/>
        <w:spacing w:after="0" w:line="270"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Appointment</w:t>
      </w:r>
      <w:r>
        <w:rPr>
          <w:rFonts w:ascii="Times New Roman" w:cs="Times New Roman" w:eastAsia="Times New Roman" w:hAnsi="Times New Roman"/>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400"/>
          </w:cols>
          <w:pgMar w:left="240" w:top="265" w:right="259" w:bottom="1440" w:gutter="0" w:footer="0" w:header="0"/>
        </w:sectPr>
      </w:pPr>
    </w:p>
    <w:bookmarkStart w:id="207" w:name="page208"/>
    <w:bookmarkEnd w:id="207"/>
    <w:p>
      <w:pPr>
        <w:ind w:right="100" w:firstLine="914"/>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11.2 </w:t>
      </w:r>
      <w:r>
        <w:rPr>
          <w:rFonts w:ascii="Times New Roman" w:cs="Times New Roman" w:eastAsia="Times New Roman" w:hAnsi="Times New Roman"/>
          <w:sz w:val="16"/>
          <w:szCs w:val="16"/>
          <w:u w:val="single" w:color="auto"/>
          <w:color w:val="auto"/>
        </w:rPr>
        <w:t>Delegation of Duties</w:t>
      </w:r>
      <w:r>
        <w:rPr>
          <w:rFonts w:ascii="Times New Roman" w:cs="Times New Roman" w:eastAsia="Times New Roman" w:hAnsi="Times New Roman"/>
          <w:sz w:val="16"/>
          <w:szCs w:val="16"/>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Exculpatory Provisions</w:t>
      </w:r>
      <w:r>
        <w:rPr>
          <w:rFonts w:ascii="Times New Roman" w:cs="Times New Roman" w:eastAsia="Times New Roman" w:hAnsi="Times New Roman"/>
          <w:sz w:val="16"/>
          <w:szCs w:val="16"/>
          <w:color w:val="auto"/>
        </w:rPr>
        <w:t>. Neither the Administrative Agent nor any of its officers, directors, employees, agents, attorneys-in-fact or Affiliates shall be</w:t>
      </w:r>
    </w:p>
    <w:p>
      <w:pPr>
        <w:spacing w:after="0" w:line="30" w:lineRule="exact"/>
        <w:rPr>
          <w:sz w:val="20"/>
          <w:szCs w:val="20"/>
          <w:color w:val="auto"/>
        </w:rPr>
      </w:pPr>
    </w:p>
    <w:p>
      <w:pPr>
        <w:ind w:firstLine="1"/>
        <w:spacing w:after="0" w:line="265" w:lineRule="auto"/>
        <w:tabs>
          <w:tab w:leader="none" w:pos="19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liable for any action lawfully taken or omitted to be taken by it or such Person under or in connection with this Agreement (except for its or such Person’s own gross negligence, bad faith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 The Administrative Agent will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bankruptcy or insolvency proceeding or that may effect a forfeiture, modification or termination of property of a Defaulting Lender in violation of any bankruptcy or insolvency proceeding.</w:t>
      </w:r>
    </w:p>
    <w:p>
      <w:pPr>
        <w:spacing w:after="0" w:line="47" w:lineRule="exact"/>
        <w:rPr>
          <w:sz w:val="20"/>
          <w:szCs w:val="20"/>
          <w:color w:val="auto"/>
        </w:rPr>
      </w:pPr>
    </w:p>
    <w:p>
      <w:pPr>
        <w:ind w:right="80" w:firstLine="914"/>
        <w:spacing w:after="0" w:line="267"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Reliance by Agent</w:t>
      </w:r>
      <w:r>
        <w:rPr>
          <w:rFonts w:ascii="Times New Roman" w:cs="Times New Roman" w:eastAsia="Times New Roman" w:hAnsi="Times New Roman"/>
          <w:sz w:val="16"/>
          <w:szCs w:val="16"/>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247" w:lineRule="exact"/>
        <w:rPr>
          <w:sz w:val="20"/>
          <w:szCs w:val="20"/>
          <w:color w:val="auto"/>
        </w:rPr>
      </w:pPr>
    </w:p>
    <w:p>
      <w:pPr>
        <w:ind w:right="320" w:firstLine="914"/>
        <w:spacing w:after="0" w:line="282"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420"/>
          </w:cols>
          <w:pgMar w:left="240" w:top="265" w:right="239" w:bottom="1440" w:gutter="0" w:footer="0" w:header="0"/>
        </w:sectPr>
      </w:pPr>
    </w:p>
    <w:bookmarkStart w:id="208" w:name="page209"/>
    <w:bookmarkEnd w:id="208"/>
    <w:p>
      <w:pPr>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Agent receives such a notice, the Administrative Agent shall give notice thereof to the Banks. The Administrative Agent shall take such action with respect to such Default or Event of Default as shall be reasonably directed by the Banks jointly;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38" w:lineRule="exact"/>
        <w:rPr>
          <w:sz w:val="20"/>
          <w:szCs w:val="20"/>
          <w:color w:val="auto"/>
        </w:rPr>
      </w:pPr>
    </w:p>
    <w:p>
      <w:pPr>
        <w:ind w:right="20" w:firstLine="914"/>
        <w:spacing w:after="0" w:line="266"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Non-Reliance on Administrative Agent</w:t>
      </w:r>
      <w:r>
        <w:rPr>
          <w:rFonts w:ascii="Times New Roman" w:cs="Times New Roman" w:eastAsia="Times New Roman" w:hAnsi="Times New Roman"/>
          <w:sz w:val="16"/>
          <w:szCs w:val="16"/>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45" w:lineRule="exact"/>
        <w:rPr>
          <w:sz w:val="20"/>
          <w:szCs w:val="20"/>
          <w:color w:val="auto"/>
        </w:rPr>
      </w:pPr>
    </w:p>
    <w:p>
      <w:pPr>
        <w:ind w:firstLine="914"/>
        <w:spacing w:after="0" w:line="268"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400"/>
          </w:cols>
          <w:pgMar w:left="240" w:top="265" w:right="259" w:bottom="1440" w:gutter="0" w:footer="0" w:header="0"/>
        </w:sectPr>
      </w:pPr>
    </w:p>
    <w:bookmarkStart w:id="209" w:name="page210"/>
    <w:bookmarkEnd w:id="209"/>
    <w:p>
      <w:pPr>
        <w:ind w:right="40" w:firstLine="914"/>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11.8 </w:t>
      </w:r>
      <w:r>
        <w:rPr>
          <w:rFonts w:ascii="Times New Roman" w:cs="Times New Roman" w:eastAsia="Times New Roman" w:hAnsi="Times New Roman"/>
          <w:sz w:val="16"/>
          <w:szCs w:val="16"/>
          <w:u w:val="single" w:color="auto"/>
          <w:color w:val="auto"/>
        </w:rPr>
        <w:t>Agent in Its Individual Capacity</w:t>
      </w:r>
      <w:r>
        <w:rPr>
          <w:rFonts w:ascii="Times New Roman" w:cs="Times New Roman" w:eastAsia="Times New Roman" w:hAnsi="Times New Roman"/>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38" w:lineRule="exact"/>
        <w:rPr>
          <w:sz w:val="20"/>
          <w:szCs w:val="20"/>
          <w:color w:val="auto"/>
        </w:rPr>
      </w:pPr>
    </w:p>
    <w:p>
      <w:pPr>
        <w:ind w:right="220" w:firstLine="914"/>
        <w:spacing w:after="0" w:line="268"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Successor Agent</w:t>
      </w:r>
      <w:r>
        <w:rPr>
          <w:rFonts w:ascii="Times New Roman" w:cs="Times New Roman" w:eastAsia="Times New Roman" w:hAnsi="Times New Roman"/>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w:t>
      </w:r>
    </w:p>
    <w:p>
      <w:pPr>
        <w:ind w:right="140"/>
        <w:spacing w:after="0" w:line="270" w:lineRule="auto"/>
        <w:rPr>
          <w:sz w:val="20"/>
          <w:szCs w:val="20"/>
          <w:color w:val="auto"/>
        </w:rPr>
      </w:pPr>
      <w:r>
        <w:rPr>
          <w:rFonts w:ascii="Times New Roman" w:cs="Times New Roman" w:eastAsia="Times New Roman" w:hAnsi="Times New Roman"/>
          <w:sz w:val="16"/>
          <w:szCs w:val="16"/>
          <w:color w:val="auto"/>
        </w:rPr>
        <w:t>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SECTION 12. MISCELLANEOUS</w:t>
      </w:r>
    </w:p>
    <w:p>
      <w:pPr>
        <w:spacing w:after="0" w:line="168" w:lineRule="exact"/>
        <w:rPr>
          <w:sz w:val="20"/>
          <w:szCs w:val="20"/>
          <w:color w:val="auto"/>
        </w:rPr>
      </w:pPr>
    </w:p>
    <w:p>
      <w:pPr>
        <w:ind w:firstLine="914"/>
        <w:spacing w:after="0" w:line="265"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 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waiver and no such amendment, supplement or modification shall (i) 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400"/>
          </w:cols>
          <w:pgMar w:left="240" w:top="265" w:right="259" w:bottom="1440" w:gutter="0" w:footer="0" w:header="0"/>
        </w:sectPr>
      </w:pPr>
    </w:p>
    <w:bookmarkStart w:id="210" w:name="page211"/>
    <w:bookmarkEnd w:id="210"/>
    <w:p>
      <w:pPr>
        <w:ind w:firstLine="914"/>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12.2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 All notices, requests and demands to or upon the respective parties hereto to be effective shall be in writing (including by facsimile), and, unless otherwise expressly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w:t>
      </w:r>
    </w:p>
    <w:p>
      <w:pPr>
        <w:spacing w:after="0" w:line="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Lazard Group LLC</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30 Rockefeller Plaza</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New York, New York 10020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Chief Financial Officer</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Facsimile: (212) 632-6670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E-mail Address: matthieu.bucaille@lazard.com</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With a copy to:</w:t>
      </w:r>
    </w:p>
    <w:p>
      <w:pPr>
        <w:spacing w:after="0" w:line="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Lazard Group LLC</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30 Rockefeller Plaza</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New York, New York 10020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Group Treasurer</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Facsimile: (212) 632-6670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E-mail Address: james.hansford@lazard.com</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and:</w:t>
      </w:r>
    </w:p>
    <w:p>
      <w:pPr>
        <w:spacing w:after="0" w:line="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Worldwide Plaza</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825 Eighth Avenue</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New York, New York 10019</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Stephen Kessing</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Facsimile: (212) 474-3700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E-mail Address: skessing@cravath.com</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Administrative Agent:</w:t>
      </w:r>
    </w:p>
    <w:p>
      <w:pPr>
        <w:spacing w:after="0" w:line="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Citibank, N.A.</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1615 Brett Road</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New Castle, Delaware 19720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Agency Operations</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Facsimile: (646) 274-5080 Telephone: (302) 894-6010</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E-mail Address: Robert.Ross@citigroup.com</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Copy to: GLAgentOfficeOps@citi.com</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300"/>
          </w:cols>
          <w:pgMar w:left="240" w:top="265" w:right="359" w:bottom="1440" w:gutter="0" w:footer="0" w:header="0"/>
        </w:sectPr>
      </w:pPr>
    </w:p>
    <w:bookmarkStart w:id="211" w:name="page212"/>
    <w:bookmarkEnd w:id="211"/>
    <w:p>
      <w:pPr>
        <w:ind w:left="560"/>
        <w:spacing w:after="0"/>
        <w:rPr>
          <w:sz w:val="20"/>
          <w:szCs w:val="20"/>
          <w:color w:val="auto"/>
        </w:rPr>
      </w:pPr>
      <w:r>
        <w:rPr>
          <w:rFonts w:ascii="Times New Roman" w:cs="Times New Roman" w:eastAsia="Times New Roman" w:hAnsi="Times New Roman"/>
          <w:sz w:val="16"/>
          <w:szCs w:val="16"/>
          <w:color w:val="auto"/>
        </w:rPr>
        <w:t>The Banks:</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6"/>
          <w:szCs w:val="16"/>
          <w:color w:val="auto"/>
        </w:rPr>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-490855</wp:posOffset>
            </wp:positionV>
            <wp:extent cx="729742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1320" w:space="380"/>
            <w:col w:w="9660"/>
          </w:cols>
          <w:pgMar w:left="240" w:top="265" w:right="299" w:bottom="1440" w:gutter="0" w:footer="0" w:header="0"/>
        </w:sectPr>
      </w:pPr>
    </w:p>
    <w:p>
      <w:pPr>
        <w:spacing w:after="0"/>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notice, request or demand to or upon the Administrative Agent or any Bank pursuant to Sections 2.6, 2.7, 2.8 and 2.9 shall not be effective until received.</w:t>
      </w:r>
    </w:p>
    <w:p>
      <w:pPr>
        <w:spacing w:after="0" w:line="93" w:lineRule="exact"/>
        <w:rPr>
          <w:sz w:val="20"/>
          <w:szCs w:val="20"/>
          <w:color w:val="auto"/>
        </w:rPr>
      </w:pPr>
    </w:p>
    <w:p>
      <w:pPr>
        <w:ind w:firstLine="915"/>
        <w:spacing w:after="0" w:line="267" w:lineRule="auto"/>
        <w:tabs>
          <w:tab w:leader="none" w:pos="114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45" w:lineRule="exact"/>
        <w:rPr>
          <w:rFonts w:ascii="Times New Roman" w:cs="Times New Roman" w:eastAsia="Times New Roman" w:hAnsi="Times New Roman"/>
          <w:sz w:val="16"/>
          <w:szCs w:val="16"/>
          <w:color w:val="auto"/>
        </w:rPr>
      </w:pPr>
    </w:p>
    <w:p>
      <w:pPr>
        <w:ind w:right="60" w:firstLine="915"/>
        <w:spacing w:after="0" w:line="301" w:lineRule="auto"/>
        <w:tabs>
          <w:tab w:leader="none" w:pos="1137"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further agrees that the Administrative Agent may make the Communications available to the Banks by posting the Communications on Debt Domain or a substantially similar electronic transmission systems (the “</w:t>
      </w:r>
      <w:r>
        <w:rPr>
          <w:rFonts w:ascii="Times New Roman" w:cs="Times New Roman" w:eastAsia="Times New Roman" w:hAnsi="Times New Roman"/>
          <w:sz w:val="16"/>
          <w:szCs w:val="16"/>
          <w:u w:val="single" w:color="auto"/>
          <w:color w:val="auto"/>
        </w:rPr>
        <w:t>Platform</w:t>
      </w:r>
      <w:r>
        <w:rPr>
          <w:rFonts w:ascii="Times New Roman" w:cs="Times New Roman" w:eastAsia="Times New Roman" w:hAnsi="Times New Roman"/>
          <w:sz w:val="16"/>
          <w:szCs w:val="16"/>
          <w:color w:val="auto"/>
        </w:rPr>
        <w:t>”).</w:t>
      </w:r>
    </w:p>
    <w:p>
      <w:pPr>
        <w:spacing w:after="0" w:line="16" w:lineRule="exact"/>
        <w:rPr>
          <w:rFonts w:ascii="Times New Roman" w:cs="Times New Roman" w:eastAsia="Times New Roman" w:hAnsi="Times New Roman"/>
          <w:sz w:val="16"/>
          <w:szCs w:val="16"/>
          <w:color w:val="auto"/>
        </w:rPr>
      </w:pPr>
    </w:p>
    <w:p>
      <w:pPr>
        <w:ind w:right="60" w:firstLine="915"/>
        <w:spacing w:after="0" w:line="272" w:lineRule="auto"/>
        <w:tabs>
          <w:tab w:leader="none" w:pos="1146"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agrees that the receipt of the Communications by the Administrative Agent at its e-mail address set forth in paragraph (b) of this Section shall 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39" w:lineRule="exact"/>
        <w:rPr>
          <w:rFonts w:ascii="Times New Roman" w:cs="Times New Roman" w:eastAsia="Times New Roman" w:hAnsi="Times New Roman"/>
          <w:sz w:val="16"/>
          <w:szCs w:val="16"/>
          <w:color w:val="auto"/>
        </w:rPr>
      </w:pPr>
    </w:p>
    <w:p>
      <w:pPr>
        <w:ind w:right="600" w:firstLine="915"/>
        <w:spacing w:after="0" w:line="301" w:lineRule="auto"/>
        <w:tabs>
          <w:tab w:leader="none" w:pos="1137"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herein shall prejudice the right of the Administrative Agent or any Bank to give any notice or other communication pursuant to any Credit Document in any other manner specified in such Credit Document.</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360"/>
          </w:cols>
          <w:pgMar w:left="240" w:top="265" w:right="299" w:bottom="1440" w:gutter="0" w:footer="0" w:header="0"/>
          <w:type w:val="continuous"/>
        </w:sectPr>
      </w:pPr>
    </w:p>
    <w:bookmarkStart w:id="212" w:name="page213"/>
    <w:bookmarkEnd w:id="212"/>
    <w:p>
      <w:pPr>
        <w:ind w:right="280" w:firstLine="914"/>
        <w:spacing w:after="0" w:line="27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12.3 </w:t>
      </w:r>
      <w:r>
        <w:rPr>
          <w:rFonts w:ascii="Times New Roman" w:cs="Times New Roman" w:eastAsia="Times New Roman" w:hAnsi="Times New Roman"/>
          <w:sz w:val="16"/>
          <w:szCs w:val="16"/>
          <w:u w:val="single" w:color="auto"/>
          <w:color w:val="auto"/>
        </w:rPr>
        <w:t>No Waiver; Cumulative Remedies</w:t>
      </w:r>
      <w:r>
        <w:rPr>
          <w:rFonts w:ascii="Times New Roman" w:cs="Times New Roman" w:eastAsia="Times New Roman" w:hAnsi="Times New Roman"/>
          <w:sz w:val="16"/>
          <w:szCs w:val="16"/>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38" w:lineRule="exact"/>
        <w:rPr>
          <w:sz w:val="20"/>
          <w:szCs w:val="20"/>
          <w:color w:val="auto"/>
        </w:rPr>
      </w:pPr>
    </w:p>
    <w:p>
      <w:pPr>
        <w:ind w:right="300" w:firstLine="914"/>
        <w:spacing w:after="0" w:line="301" w:lineRule="auto"/>
        <w:rPr>
          <w:sz w:val="20"/>
          <w:szCs w:val="20"/>
          <w:color w:val="auto"/>
        </w:rPr>
      </w:pPr>
      <w:r>
        <w:rPr>
          <w:rFonts w:ascii="Times New Roman" w:cs="Times New Roman" w:eastAsia="Times New Roman" w:hAnsi="Times New Roman"/>
          <w:sz w:val="16"/>
          <w:szCs w:val="16"/>
          <w:color w:val="auto"/>
        </w:rPr>
        <w:t xml:space="preserve">12.4 </w:t>
      </w:r>
      <w:r>
        <w:rPr>
          <w:rFonts w:ascii="Times New Roman" w:cs="Times New Roman" w:eastAsia="Times New Roman" w:hAnsi="Times New Roman"/>
          <w:sz w:val="16"/>
          <w:szCs w:val="16"/>
          <w:u w:val="single" w:color="auto"/>
          <w:color w:val="auto"/>
        </w:rPr>
        <w:t>Survival of Representations and Warranties</w:t>
      </w:r>
      <w:r>
        <w:rPr>
          <w:rFonts w:ascii="Times New Roman" w:cs="Times New Roman" w:eastAsia="Times New Roman" w:hAnsi="Times New Roman"/>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17" w:lineRule="exact"/>
        <w:rPr>
          <w:sz w:val="20"/>
          <w:szCs w:val="20"/>
          <w:color w:val="auto"/>
        </w:rPr>
      </w:pPr>
    </w:p>
    <w:p>
      <w:pPr>
        <w:ind w:firstLine="914"/>
        <w:spacing w:after="0" w:line="264" w:lineRule="auto"/>
        <w:rPr>
          <w:sz w:val="20"/>
          <w:szCs w:val="20"/>
          <w:color w:val="auto"/>
        </w:rPr>
      </w:pPr>
      <w:r>
        <w:rPr>
          <w:rFonts w:ascii="Times New Roman" w:cs="Times New Roman" w:eastAsia="Times New Roman" w:hAnsi="Times New Roman"/>
          <w:sz w:val="16"/>
          <w:szCs w:val="16"/>
          <w:color w:val="auto"/>
        </w:rPr>
        <w:t xml:space="preserve">12.5 </w:t>
      </w:r>
      <w:r>
        <w:rPr>
          <w:rFonts w:ascii="Times New Roman" w:cs="Times New Roman" w:eastAsia="Times New Roman" w:hAnsi="Times New Roman"/>
          <w:sz w:val="16"/>
          <w:szCs w:val="16"/>
          <w:u w:val="single" w:color="auto"/>
          <w:color w:val="auto"/>
        </w:rPr>
        <w:t>Payment of Expenses and Taxes</w:t>
      </w:r>
      <w:r>
        <w:rPr>
          <w:rFonts w:ascii="Times New Roman" w:cs="Times New Roman" w:eastAsia="Times New Roman" w:hAnsi="Times New Roman"/>
          <w:sz w:val="16"/>
          <w:szCs w:val="16"/>
          <w:color w:val="auto"/>
        </w:rPr>
        <w:t>. The Company agrees (a) to pay or reimburse the Administrative Agent and the Lead Arranger for all its reasonable and documented out-of-pocket costs and expenses incurred in connection with the syndication,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Lead Arranger and the Administrative Agent and filing and recording fees and expenses, with statements with respect to the foregoing to be submitted to the Company prior to the Restatement Effective Date (in the case of amounts to be paid on the Restatement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the Lead Arranger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any such other documents, and (d) to pay, indemnify, and hold each Bank, the Lead Arranger and the Administrative Agent and their respective officers, directors, employees, affiliates, agents and controlling persons (each,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harmless from and against any and all other liabilities, obligations, losses, damages, penalties, actions, judgments, suits, costs, expenses or disbursements of any kind or nature whatsoever with respect to the syndication (but solely with respect to the Lead Arranger and its officers, directors, employees, affiliates, agents and controlling persons),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Times New Roman" w:cs="Times New Roman" w:eastAsia="Times New Roman" w:hAnsi="Times New Roman"/>
          <w:sz w:val="16"/>
          <w:szCs w:val="16"/>
          <w:u w:val="single" w:color="auto"/>
          <w:color w:val="auto"/>
        </w:rPr>
        <w:t>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shall have no obligation hereunder to any Indemnitee with respect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420"/>
          </w:cols>
          <w:pgMar w:left="240" w:top="265" w:right="239" w:bottom="1440" w:gutter="0" w:footer="0" w:header="0"/>
        </w:sectPr>
      </w:pPr>
    </w:p>
    <w:bookmarkStart w:id="213" w:name="page214"/>
    <w:bookmarkEnd w:id="213"/>
    <w:p>
      <w:pPr>
        <w:ind w:right="120"/>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Indemnified Liabilities to the extent such Indemnified Liabilities are found by a court of competent jurisdiction to have resulted from the willful misconduct, bad faith or gross negligence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40" w:lineRule="exact"/>
        <w:rPr>
          <w:sz w:val="20"/>
          <w:szCs w:val="20"/>
          <w:color w:val="auto"/>
        </w:rPr>
      </w:pPr>
    </w:p>
    <w:p>
      <w:pPr>
        <w:ind w:right="40" w:firstLine="914"/>
        <w:spacing w:after="0" w:line="266" w:lineRule="auto"/>
        <w:rPr>
          <w:sz w:val="20"/>
          <w:szCs w:val="20"/>
          <w:color w:val="auto"/>
        </w:rPr>
      </w:pPr>
      <w:r>
        <w:rPr>
          <w:rFonts w:ascii="Times New Roman" w:cs="Times New Roman" w:eastAsia="Times New Roman" w:hAnsi="Times New Roman"/>
          <w:sz w:val="16"/>
          <w:szCs w:val="16"/>
          <w:color w:val="auto"/>
        </w:rPr>
        <w:t xml:space="preserve">12.6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The Banks shall not disclose any information that the Company or any of its Subsidiaries furnishes to the Banks, other than (a) as required by any law, rule or regulation or judicial process (in which case, except with respect to any routine or ordinary course audit or examination conducted by bank accountants or any governmental or bank regulatory authority exercising examination or regulatory authority that is not specific to the Company or any of its Subsidiaries, such Bank shall inform the Company promptly thereof to the extent permitted by law, rule or regulation or judicial process), (b) as requested by any state, federal or foreign authority or examiner regulating banks or banking (in which case, except with respect to any routine or ordinary course audit or examination conducted by bank accountants or any governmental or bank regulatory authority exercising examination or regulatory authority that is not specific to the Company or any of its Subsidiaries, such Bank shall inform the Company promptly thereof to the extent permitted by law or regulation), (c) to actual or proposed (with the consent of the Company) assignees, transferees and participants;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disclosure and any such proposed assignee, transferee or participant agrees to treat confidentially all such information and to use such information solely for the purpose of evaluating whether to become an assignee, transferee or participant, as the case may be, (d) to its Affiliates and its or their directors, officers, employees, agents, advisors and attorneys on a confidential and “need to know” basis and (e) to the extent such information becomes (A) publicly available other than as a result of a breach of this Section 12.6 or (B) available to the Administrative Agent, any Bank or any of their respective Affiliates on a nonconfidential basis from a source other than the Company.</w:t>
      </w:r>
    </w:p>
    <w:p>
      <w:pPr>
        <w:spacing w:after="0" w:line="249" w:lineRule="exact"/>
        <w:rPr>
          <w:sz w:val="20"/>
          <w:szCs w:val="20"/>
          <w:color w:val="auto"/>
        </w:rPr>
      </w:pPr>
    </w:p>
    <w:p>
      <w:pPr>
        <w:ind w:firstLine="914"/>
        <w:spacing w:after="0" w:line="269" w:lineRule="auto"/>
        <w:rPr>
          <w:sz w:val="20"/>
          <w:szCs w:val="20"/>
          <w:color w:val="auto"/>
        </w:rPr>
      </w:pPr>
      <w:r>
        <w:rPr>
          <w:rFonts w:ascii="Times New Roman" w:cs="Times New Roman" w:eastAsia="Times New Roman" w:hAnsi="Times New Roman"/>
          <w:sz w:val="16"/>
          <w:szCs w:val="16"/>
          <w:color w:val="auto"/>
        </w:rPr>
        <w:t xml:space="preserve">12.7 </w:t>
      </w:r>
      <w:r>
        <w:rPr>
          <w:rFonts w:ascii="Times New Roman" w:cs="Times New Roman" w:eastAsia="Times New Roman" w:hAnsi="Times New Roman"/>
          <w:sz w:val="16"/>
          <w:szCs w:val="16"/>
          <w:u w:val="single" w:color="auto"/>
          <w:color w:val="auto"/>
        </w:rPr>
        <w:t>Successors and Assigns; Participations and Assignments</w:t>
      </w:r>
      <w:r>
        <w:rPr>
          <w:rFonts w:ascii="Times New Roman" w:cs="Times New Roman" w:eastAsia="Times New Roman" w:hAnsi="Times New Roman"/>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41" w:lineRule="exact"/>
        <w:rPr>
          <w:sz w:val="20"/>
          <w:szCs w:val="20"/>
          <w:color w:val="auto"/>
        </w:rPr>
      </w:pPr>
    </w:p>
    <w:p>
      <w:pPr>
        <w:ind w:right="200" w:firstLine="914"/>
        <w:spacing w:after="0" w:line="301" w:lineRule="auto"/>
        <w:rPr>
          <w:sz w:val="20"/>
          <w:szCs w:val="20"/>
          <w:color w:val="auto"/>
        </w:rPr>
      </w:pPr>
      <w:r>
        <w:rPr>
          <w:rFonts w:ascii="Times New Roman" w:cs="Times New Roman" w:eastAsia="Times New Roman" w:hAnsi="Times New Roman"/>
          <w:sz w:val="16"/>
          <w:szCs w:val="16"/>
          <w:color w:val="auto"/>
        </w:rPr>
        <w:t>(b)(i) Subject to the conditions set forth in paragraph (b)(ii) below, any Bank may assign to one or more assignees (each, an “</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all or a portion of its rights and obligations under this Agreement (including all or a portion of its Commitments and the Loans at the time owing to it) with the prior written consent of: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420"/>
          </w:cols>
          <w:pgMar w:left="240" w:top="265" w:right="239" w:bottom="1440" w:gutter="0" w:footer="0" w:header="0"/>
        </w:sectPr>
      </w:pPr>
    </w:p>
    <w:bookmarkStart w:id="214" w:name="page215"/>
    <w:bookmarkEnd w:id="214"/>
    <w:p>
      <w:pPr>
        <w:ind w:left="460" w:firstLine="436"/>
        <w:spacing w:after="0" w:line="301" w:lineRule="auto"/>
        <w:tabs>
          <w:tab w:leader="none" w:pos="1167"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the Company (such consent not to be unreasonably withheld or delayed),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consent of the Company shall be required (x) for an assignment to an affiliate of a Bank from such Bank or (y) if an Event of Default under Sections 9(a) or (i) has occurred; and</w:t>
      </w:r>
    </w:p>
    <w:p>
      <w:pPr>
        <w:spacing w:after="0" w:line="16" w:lineRule="exact"/>
        <w:rPr>
          <w:rFonts w:ascii="Times New Roman" w:cs="Times New Roman" w:eastAsia="Times New Roman" w:hAnsi="Times New Roman"/>
          <w:sz w:val="16"/>
          <w:szCs w:val="16"/>
          <w:color w:val="auto"/>
        </w:rPr>
      </w:pPr>
    </w:p>
    <w:p>
      <w:pPr>
        <w:ind w:left="460" w:right="400" w:firstLine="436"/>
        <w:spacing w:after="0" w:line="301" w:lineRule="auto"/>
        <w:tabs>
          <w:tab w:leader="none" w:pos="115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consent of the Administrative Agent shall be required for an assignment of all or any portion of a Loan to a Bank, an affiliate of a Bank or an Approved Fund (as defined below).</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(ii) Assignments shall be subject to the following additional conditions:</w:t>
      </w:r>
    </w:p>
    <w:p>
      <w:pPr>
        <w:spacing w:after="0" w:line="93" w:lineRule="exact"/>
        <w:rPr>
          <w:sz w:val="20"/>
          <w:szCs w:val="20"/>
          <w:color w:val="auto"/>
        </w:rPr>
      </w:pPr>
    </w:p>
    <w:p>
      <w:pPr>
        <w:ind w:left="460" w:right="80" w:firstLine="436"/>
        <w:spacing w:after="0" w:line="274" w:lineRule="auto"/>
        <w:tabs>
          <w:tab w:leader="none" w:pos="116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amounts shall be aggregated in respect of each Bank and its affiliates or Approved Funds, if any;</w:t>
      </w:r>
    </w:p>
    <w:p>
      <w:pPr>
        <w:spacing w:after="0" w:line="242" w:lineRule="exact"/>
        <w:rPr>
          <w:rFonts w:ascii="Times New Roman" w:cs="Times New Roman" w:eastAsia="Times New Roman" w:hAnsi="Times New Roman"/>
          <w:sz w:val="16"/>
          <w:szCs w:val="16"/>
          <w:color w:val="auto"/>
        </w:rPr>
      </w:pPr>
    </w:p>
    <w:p>
      <w:pPr>
        <w:ind w:left="460" w:right="100" w:firstLine="436"/>
        <w:spacing w:after="0" w:line="282" w:lineRule="auto"/>
        <w:tabs>
          <w:tab w:leader="none" w:pos="115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to each assignment shall execute and deliver to the Administrative Agent an Assignment and Assumption, together with a processing and recordation fee of $3,500 (which fee may be waived by the Administrative Agent in its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only a single processing and recordation fee shall be payable in respect of multiple contemporaneous assignments to Approved Funds with respect to any Lender; and</w:t>
      </w:r>
    </w:p>
    <w:p>
      <w:pPr>
        <w:spacing w:after="0" w:line="31" w:lineRule="exact"/>
        <w:rPr>
          <w:rFonts w:ascii="Times New Roman" w:cs="Times New Roman" w:eastAsia="Times New Roman" w:hAnsi="Times New Roman"/>
          <w:sz w:val="16"/>
          <w:szCs w:val="16"/>
          <w:color w:val="auto"/>
        </w:rPr>
      </w:pPr>
    </w:p>
    <w:p>
      <w:pPr>
        <w:ind w:left="1160" w:hanging="264"/>
        <w:spacing w:after="0"/>
        <w:tabs>
          <w:tab w:leader="none" w:pos="11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Assignee, if it shall not be a Bank, shall deliver to the Administrative Agent an administrative questionnaire.</w:t>
      </w:r>
    </w:p>
    <w:p>
      <w:pPr>
        <w:spacing w:after="0" w:line="168" w:lineRule="exact"/>
        <w:rPr>
          <w:sz w:val="20"/>
          <w:szCs w:val="20"/>
          <w:color w:val="auto"/>
        </w:rPr>
      </w:pPr>
    </w:p>
    <w:p>
      <w:pPr>
        <w:jc w:val="both"/>
        <w:ind w:right="100" w:firstLine="457"/>
        <w:spacing w:after="0" w:line="282" w:lineRule="auto"/>
        <w:rPr>
          <w:sz w:val="20"/>
          <w:szCs w:val="20"/>
          <w:color w:val="auto"/>
        </w:rPr>
      </w:pPr>
      <w:r>
        <w:rPr>
          <w:rFonts w:ascii="Times New Roman" w:cs="Times New Roman" w:eastAsia="Times New Roman" w:hAnsi="Times New Roman"/>
          <w:sz w:val="16"/>
          <w:szCs w:val="16"/>
          <w:color w:val="auto"/>
        </w:rPr>
        <w:t>For the purposes of this Section 12.7, “</w:t>
      </w:r>
      <w:r>
        <w:rPr>
          <w:rFonts w:ascii="Times New Roman" w:cs="Times New Roman" w:eastAsia="Times New Roman" w:hAnsi="Times New Roman"/>
          <w:sz w:val="16"/>
          <w:szCs w:val="16"/>
          <w:u w:val="single" w:color="auto"/>
          <w:color w:val="auto"/>
        </w:rPr>
        <w:t>Approved Fund</w:t>
      </w:r>
      <w:r>
        <w:rPr>
          <w:rFonts w:ascii="Times New Roman" w:cs="Times New Roman" w:eastAsia="Times New Roman" w:hAnsi="Times New Roman"/>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 assignment will be made to any Defaulting Lender or any of its subsidiaries except for as set forth in Section 2.19(c).</w:t>
      </w:r>
    </w:p>
    <w:p>
      <w:pPr>
        <w:spacing w:after="0" w:line="93" w:lineRule="exact"/>
        <w:rPr>
          <w:sz w:val="20"/>
          <w:szCs w:val="20"/>
          <w:color w:val="auto"/>
        </w:rPr>
      </w:pPr>
    </w:p>
    <w:p>
      <w:pPr>
        <w:ind w:right="60" w:firstLine="915"/>
        <w:spacing w:after="0" w:line="269" w:lineRule="auto"/>
        <w:tabs>
          <w:tab w:leader="none" w:pos="12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420"/>
          </w:cols>
          <w:pgMar w:left="240" w:top="265" w:right="239" w:bottom="1440" w:gutter="0" w:footer="0" w:header="0"/>
        </w:sectPr>
      </w:pPr>
    </w:p>
    <w:bookmarkStart w:id="215" w:name="page216"/>
    <w:bookmarkEnd w:id="215"/>
    <w:p>
      <w:pPr>
        <w:ind w:firstLine="915"/>
        <w:spacing w:after="0" w:line="271" w:lineRule="auto"/>
        <w:tabs>
          <w:tab w:leader="none" w:pos="1191"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244" w:lineRule="exact"/>
        <w:rPr>
          <w:rFonts w:ascii="Times New Roman" w:cs="Times New Roman" w:eastAsia="Times New Roman" w:hAnsi="Times New Roman"/>
          <w:sz w:val="16"/>
          <w:szCs w:val="16"/>
          <w:color w:val="auto"/>
        </w:rPr>
      </w:pPr>
    </w:p>
    <w:p>
      <w:pPr>
        <w:ind w:right="40" w:firstLine="915"/>
        <w:spacing w:after="0" w:line="272" w:lineRule="auto"/>
        <w:tabs>
          <w:tab w:leader="none" w:pos="114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The Administrative Agent shall promptly notify the Company of the effectiveness of any assignment under this Section.</w:t>
      </w:r>
    </w:p>
    <w:p>
      <w:pPr>
        <w:spacing w:after="0" w:line="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(c)(i) Any Bank may, without the consent of the Company or the Administrative Agent, sell participations to one or more banks or other entities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in all or a portion of such Bank’s rights and obligations under this Agreement (including all or a portion of its Commitments and the Loans owing to 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Bank’s obligations under this Agreement shall remain unchanged, (B) such Bank shall remain solely responsible to the other parties hereto for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of such obligations and (C) the Company, the Administrative Agent and the other Banks shall continue to deal solely and directly with such Bank in connection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such Bank’s rights and obligations under this Agreement. Any agreement pursuant to which a Bank sells such a participation shall provide that such Bank shall retain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sole right to enforce this Agreement and to approve any amendment, modification or waiver of any provision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agreement may provide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such Bank will not, without the consent of the Participant, agree to any amendment, modification or waiver that (1) requires the consent of each Bank directly affected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thereby pursuant to the proviso to the second sentence of Section 12.1 and (2) directly affects such Participant. Subject to paragraph (c)(ii) of this Section,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agrees that each Participant shall be entitled to the benefits of Sections 2.12, 2.16 and 2.17 to the same extent as if it were a Bank and had acquired its interest by assignment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paragraph (b) of this Section. To the extent permitted by law, each Participant also shall be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420"/>
          </w:cols>
          <w:pgMar w:left="240" w:top="265" w:right="239" w:bottom="1440" w:gutter="0" w:footer="0" w:header="0"/>
        </w:sectPr>
      </w:pPr>
    </w:p>
    <w:bookmarkStart w:id="216" w:name="page217"/>
    <w:bookmarkEnd w:id="216"/>
    <w:p>
      <w:pPr>
        <w:ind w:right="180"/>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entitled to the benefits of Section 12.8(b) as though it were a Bank,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The entries in the Participant Register shall be conclusive, and such Bank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40" w:lineRule="exact"/>
        <w:rPr>
          <w:sz w:val="20"/>
          <w:szCs w:val="20"/>
          <w:color w:val="auto"/>
        </w:rPr>
      </w:pPr>
    </w:p>
    <w:p>
      <w:pPr>
        <w:ind w:right="200" w:firstLine="915"/>
        <w:spacing w:after="0" w:line="282" w:lineRule="auto"/>
        <w:tabs>
          <w:tab w:leader="none" w:pos="1155"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31" w:lineRule="exact"/>
        <w:rPr>
          <w:sz w:val="20"/>
          <w:szCs w:val="20"/>
          <w:color w:val="auto"/>
        </w:rPr>
      </w:pPr>
    </w:p>
    <w:p>
      <w:pPr>
        <w:ind w:right="160" w:firstLine="915"/>
        <w:spacing w:after="0" w:line="275" w:lineRule="auto"/>
        <w:tabs>
          <w:tab w:leader="none" w:pos="1137"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pledge or assignment of a security interest shall release a Bank from any of its obligations hereunder or substitute any such pledgee or Assignee for such Bank as a party hereto.</w:t>
      </w:r>
    </w:p>
    <w:p>
      <w:pPr>
        <w:spacing w:after="0" w:line="37" w:lineRule="exact"/>
        <w:rPr>
          <w:rFonts w:ascii="Times New Roman" w:cs="Times New Roman" w:eastAsia="Times New Roman" w:hAnsi="Times New Roman"/>
          <w:sz w:val="16"/>
          <w:szCs w:val="16"/>
          <w:color w:val="auto"/>
        </w:rPr>
      </w:pPr>
    </w:p>
    <w:p>
      <w:pPr>
        <w:ind w:right="100" w:firstLine="915"/>
        <w:spacing w:after="0" w:line="301" w:lineRule="auto"/>
        <w:tabs>
          <w:tab w:leader="none" w:pos="1137"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upon receipt of written notice from the relevant Bank, agrees to issue Notes to any Bank requiring Notes to facilitate transactions of the type described in paragraph (d) above.</w:t>
      </w:r>
    </w:p>
    <w:p>
      <w:pPr>
        <w:spacing w:after="0" w:line="16" w:lineRule="exact"/>
        <w:rPr>
          <w:rFonts w:ascii="Times New Roman" w:cs="Times New Roman" w:eastAsia="Times New Roman" w:hAnsi="Times New Roman"/>
          <w:sz w:val="16"/>
          <w:szCs w:val="16"/>
          <w:color w:val="auto"/>
        </w:rPr>
      </w:pPr>
    </w:p>
    <w:p>
      <w:pPr>
        <w:ind w:firstLine="915"/>
        <w:spacing w:after="0" w:line="266" w:lineRule="auto"/>
        <w:tabs>
          <w:tab w:leader="none" w:pos="1118"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420"/>
          </w:cols>
          <w:pgMar w:left="240" w:top="265" w:right="239" w:bottom="1440" w:gutter="0" w:footer="0" w:header="0"/>
        </w:sectPr>
      </w:pPr>
    </w:p>
    <w:bookmarkStart w:id="217" w:name="page218"/>
    <w:bookmarkEnd w:id="217"/>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 (vii) such assignee agrees that it will perform in accordance with their terms all the obligations that by the terms of this Agreement are required to be performed by it as a Bank.</w:t>
      </w:r>
    </w:p>
    <w:p>
      <w:pPr>
        <w:spacing w:after="0" w:line="40" w:lineRule="exact"/>
        <w:rPr>
          <w:sz w:val="20"/>
          <w:szCs w:val="20"/>
          <w:color w:val="auto"/>
        </w:rPr>
      </w:pPr>
    </w:p>
    <w:p>
      <w:pPr>
        <w:ind w:firstLine="914"/>
        <w:spacing w:after="0" w:line="269" w:lineRule="auto"/>
        <w:rPr>
          <w:sz w:val="20"/>
          <w:szCs w:val="20"/>
          <w:color w:val="auto"/>
        </w:rPr>
      </w:pPr>
      <w:r>
        <w:rPr>
          <w:rFonts w:ascii="Times New Roman" w:cs="Times New Roman" w:eastAsia="Times New Roman" w:hAnsi="Times New Roman"/>
          <w:sz w:val="16"/>
          <w:szCs w:val="16"/>
          <w:color w:val="auto"/>
        </w:rPr>
        <w:t xml:space="preserve">12.8 </w:t>
      </w:r>
      <w:r>
        <w:rPr>
          <w:rFonts w:ascii="Times New Roman" w:cs="Times New Roman" w:eastAsia="Times New Roman" w:hAnsi="Times New Roman"/>
          <w:sz w:val="16"/>
          <w:szCs w:val="16"/>
          <w:u w:val="single" w:color="auto"/>
          <w:color w:val="auto"/>
        </w:rPr>
        <w:t>Adjustments; Right of Setoff</w:t>
      </w:r>
      <w:r>
        <w:rPr>
          <w:rFonts w:ascii="Times New Roman" w:cs="Times New Roman" w:eastAsia="Times New Roman" w:hAnsi="Times New Roman"/>
          <w:sz w:val="16"/>
          <w:szCs w:val="16"/>
          <w:color w:val="auto"/>
        </w:rPr>
        <w:t>. (a) If any Bank (a “</w:t>
      </w:r>
      <w:r>
        <w:rPr>
          <w:rFonts w:ascii="Times New Roman" w:cs="Times New Roman" w:eastAsia="Times New Roman" w:hAnsi="Times New Roman"/>
          <w:sz w:val="16"/>
          <w:szCs w:val="16"/>
          <w:u w:val="single" w:color="auto"/>
          <w:color w:val="auto"/>
        </w:rPr>
        <w:t>Benefited Bank</w:t>
      </w:r>
      <w:r>
        <w:rPr>
          <w:rFonts w:ascii="Times New Roman" w:cs="Times New Roman" w:eastAsia="Times New Roman" w:hAnsi="Times New Roman"/>
          <w:sz w:val="16"/>
          <w:szCs w:val="16"/>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41" w:lineRule="exact"/>
        <w:rPr>
          <w:sz w:val="20"/>
          <w:szCs w:val="20"/>
          <w:color w:val="auto"/>
        </w:rPr>
      </w:pPr>
    </w:p>
    <w:p>
      <w:pPr>
        <w:ind w:right="60" w:firstLine="915"/>
        <w:spacing w:after="0" w:line="268" w:lineRule="auto"/>
        <w:tabs>
          <w:tab w:leader="none" w:pos="1146"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Defaulting Lender shall have any rights under this Section. Each Bank agrees promptly to notify the Company and the Administrative Agent after any such application made by such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give such notice shall not affect the validity of such application.</w:t>
      </w: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16"/>
          <w:szCs w:val="16"/>
          <w:b w:val="1"/>
          <w:bCs w:val="1"/>
          <w:u w:val="single" w:color="auto"/>
          <w:color w:val="auto"/>
        </w:rPr>
        <w:t>WAIVERS OF JURY TRIAL</w:t>
      </w:r>
    </w:p>
    <w:p>
      <w:pPr>
        <w:spacing w:after="0" w:line="93" w:lineRule="exact"/>
        <w:rPr>
          <w:sz w:val="20"/>
          <w:szCs w:val="20"/>
          <w:color w:val="auto"/>
        </w:rPr>
      </w:pPr>
    </w:p>
    <w:p>
      <w:pPr>
        <w:ind w:right="340" w:firstLine="914"/>
        <w:spacing w:after="0" w:line="306" w:lineRule="auto"/>
        <w:rPr>
          <w:sz w:val="20"/>
          <w:szCs w:val="20"/>
          <w:color w:val="auto"/>
        </w:rPr>
      </w:pPr>
      <w:r>
        <w:rPr>
          <w:rFonts w:ascii="Times New Roman" w:cs="Times New Roman" w:eastAsia="Times New Roman" w:hAnsi="Times New Roman"/>
          <w:sz w:val="16"/>
          <w:szCs w:val="16"/>
          <w:b w:val="1"/>
          <w:bCs w:val="1"/>
          <w:color w:val="auto"/>
        </w:rPr>
        <w:t>THE COMPANY AND THE ADMINISTRATIVE AGENT AND THE BANKS HEREBY IRREVOCABLY AND UNCONDITIONALLY WAIVE TRIAL BY JURY IN ANY LEGAL ACTION OR PROCEEDING RELATING TO THIS AGREEMENT AND FOR ANY COUNTERCLAIM THEREIN.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20"/>
          </w:cols>
          <w:pgMar w:left="240" w:top="265" w:right="239" w:bottom="1440" w:gutter="0" w:footer="0" w:header="0"/>
        </w:sectPr>
      </w:pPr>
    </w:p>
    <w:bookmarkStart w:id="218" w:name="page219"/>
    <w:bookmarkEnd w:id="218"/>
    <w:p>
      <w:pPr>
        <w:ind w:left="9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7420" cy="36830"/>
                    </a:xfrm>
                    <a:prstGeom prst="rect">
                      <a:avLst/>
                    </a:prstGeom>
                    <a:noFill/>
                  </pic:spPr>
                </pic:pic>
              </a:graphicData>
            </a:graphic>
          </wp:anchor>
        </w:drawing>
        <w:t xml:space="preserve">12.10 </w:t>
      </w:r>
      <w:r>
        <w:rPr>
          <w:rFonts w:ascii="Times New Roman" w:cs="Times New Roman" w:eastAsia="Times New Roman" w:hAnsi="Times New Roman"/>
          <w:sz w:val="16"/>
          <w:szCs w:val="16"/>
          <w:u w:val="single" w:color="auto"/>
          <w:color w:val="auto"/>
        </w:rPr>
        <w:t>Submission to Jurisdiction; Waivers</w:t>
      </w:r>
      <w:r>
        <w:rPr>
          <w:rFonts w:ascii="Times New Roman" w:cs="Times New Roman" w:eastAsia="Times New Roman" w:hAnsi="Times New Roman"/>
          <w:sz w:val="16"/>
          <w:szCs w:val="16"/>
          <w:color w:val="auto"/>
        </w:rPr>
        <w:t>. The Company hereby irrevocably and unconditionally:</w:t>
      </w:r>
    </w:p>
    <w:p>
      <w:pPr>
        <w:spacing w:after="0" w:line="93" w:lineRule="exact"/>
        <w:rPr>
          <w:sz w:val="20"/>
          <w:szCs w:val="20"/>
          <w:color w:val="auto"/>
        </w:rPr>
      </w:pPr>
    </w:p>
    <w:p>
      <w:pPr>
        <w:jc w:val="both"/>
        <w:ind w:left="460" w:firstLine="436"/>
        <w:spacing w:after="0" w:line="282" w:lineRule="auto"/>
        <w:tabs>
          <w:tab w:leader="none" w:pos="112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submits for itself and its property in any legal action or proceeding relating to this Agreement, or for recognition and enforcement of any judgment in respect thereof, to the exclusive general jurisdiction of the courts of the State of New York, the courts of the United States for the Southern District of New York, and appellate courts from any thereof;</w:t>
      </w:r>
    </w:p>
    <w:p>
      <w:pPr>
        <w:spacing w:after="0" w:line="31" w:lineRule="exact"/>
        <w:rPr>
          <w:rFonts w:ascii="Times New Roman" w:cs="Times New Roman" w:eastAsia="Times New Roman" w:hAnsi="Times New Roman"/>
          <w:sz w:val="16"/>
          <w:szCs w:val="16"/>
          <w:color w:val="auto"/>
        </w:rPr>
      </w:pPr>
    </w:p>
    <w:p>
      <w:pPr>
        <w:ind w:left="460" w:right="200" w:firstLine="436"/>
        <w:spacing w:after="0" w:line="301" w:lineRule="auto"/>
        <w:tabs>
          <w:tab w:leader="none" w:pos="113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 w:lineRule="exact"/>
        <w:rPr>
          <w:rFonts w:ascii="Times New Roman" w:cs="Times New Roman" w:eastAsia="Times New Roman" w:hAnsi="Times New Roman"/>
          <w:sz w:val="16"/>
          <w:szCs w:val="16"/>
          <w:color w:val="auto"/>
        </w:rPr>
      </w:pPr>
    </w:p>
    <w:p>
      <w:pPr>
        <w:jc w:val="both"/>
        <w:ind w:left="460" w:right="20" w:firstLine="436"/>
        <w:spacing w:after="0" w:line="282" w:lineRule="auto"/>
        <w:tabs>
          <w:tab w:leader="none" w:pos="112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31" w:lineRule="exact"/>
        <w:rPr>
          <w:rFonts w:ascii="Times New Roman" w:cs="Times New Roman" w:eastAsia="Times New Roman" w:hAnsi="Times New Roman"/>
          <w:sz w:val="16"/>
          <w:szCs w:val="16"/>
          <w:color w:val="auto"/>
        </w:rPr>
      </w:pPr>
    </w:p>
    <w:p>
      <w:pPr>
        <w:ind w:left="460" w:right="220" w:firstLine="436"/>
        <w:spacing w:after="0" w:line="301" w:lineRule="auto"/>
        <w:tabs>
          <w:tab w:leader="none" w:pos="113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nothing herein shall affect the right to effect service of process in any other manner permitted by law or shall limit the right to sue in any other jurisdiction; and</w:t>
      </w:r>
    </w:p>
    <w:p>
      <w:pPr>
        <w:spacing w:after="0" w:line="16" w:lineRule="exact"/>
        <w:rPr>
          <w:rFonts w:ascii="Times New Roman" w:cs="Times New Roman" w:eastAsia="Times New Roman" w:hAnsi="Times New Roman"/>
          <w:sz w:val="16"/>
          <w:szCs w:val="16"/>
          <w:color w:val="auto"/>
        </w:rPr>
      </w:pPr>
    </w:p>
    <w:p>
      <w:pPr>
        <w:ind w:left="460" w:right="160" w:firstLine="436"/>
        <w:spacing w:after="0" w:line="301" w:lineRule="auto"/>
        <w:tabs>
          <w:tab w:leader="none" w:pos="112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7" w:lineRule="exact"/>
        <w:rPr>
          <w:sz w:val="20"/>
          <w:szCs w:val="20"/>
          <w:color w:val="auto"/>
        </w:rPr>
      </w:pPr>
    </w:p>
    <w:p>
      <w:pPr>
        <w:ind w:right="40" w:firstLine="914"/>
        <w:spacing w:after="0" w:line="282" w:lineRule="auto"/>
        <w:rPr>
          <w:sz w:val="20"/>
          <w:szCs w:val="20"/>
          <w:color w:val="auto"/>
        </w:rPr>
      </w:pPr>
      <w:r>
        <w:rPr>
          <w:rFonts w:ascii="Times New Roman" w:cs="Times New Roman" w:eastAsia="Times New Roman" w:hAnsi="Times New Roman"/>
          <w:sz w:val="16"/>
          <w:szCs w:val="16"/>
          <w:color w:val="auto"/>
        </w:rPr>
        <w:t xml:space="preserve">12.11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27" w:lineRule="exact"/>
        <w:rPr>
          <w:sz w:val="20"/>
          <w:szCs w:val="20"/>
          <w:color w:val="auto"/>
        </w:rPr>
      </w:pPr>
    </w:p>
    <w:p>
      <w:pPr>
        <w:ind w:right="580" w:firstLine="914"/>
        <w:spacing w:after="0" w:line="306" w:lineRule="auto"/>
        <w:rPr>
          <w:sz w:val="20"/>
          <w:szCs w:val="20"/>
          <w:color w:val="auto"/>
        </w:rPr>
      </w:pPr>
      <w:r>
        <w:rPr>
          <w:rFonts w:ascii="Times New Roman" w:cs="Times New Roman" w:eastAsia="Times New Roman" w:hAnsi="Times New Roman"/>
          <w:sz w:val="16"/>
          <w:szCs w:val="16"/>
          <w:color w:val="auto"/>
        </w:rPr>
        <w:t xml:space="preserve">12.12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This Agreement and the Notes and the rights and obligations of the parties under this Agreement and the Notes shall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governed by, and construed and interpreted in accordance with, the law of the State of New York.</w:t>
      </w:r>
    </w:p>
    <w:p>
      <w:pPr>
        <w:spacing w:after="0" w:line="13" w:lineRule="exact"/>
        <w:rPr>
          <w:sz w:val="20"/>
          <w:szCs w:val="20"/>
          <w:color w:val="auto"/>
        </w:rPr>
      </w:pPr>
    </w:p>
    <w:p>
      <w:pPr>
        <w:jc w:val="both"/>
        <w:ind w:firstLine="914"/>
        <w:spacing w:after="0" w:line="282" w:lineRule="auto"/>
        <w:rPr>
          <w:sz w:val="20"/>
          <w:szCs w:val="20"/>
          <w:color w:val="auto"/>
        </w:rPr>
      </w:pPr>
      <w:r>
        <w:rPr>
          <w:rFonts w:ascii="Times New Roman" w:cs="Times New Roman" w:eastAsia="Times New Roman" w:hAnsi="Times New Roman"/>
          <w:sz w:val="16"/>
          <w:szCs w:val="16"/>
          <w:color w:val="auto"/>
        </w:rPr>
        <w:t xml:space="preserve">12.13 </w:t>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31" w:lineRule="exact"/>
        <w:rPr>
          <w:sz w:val="20"/>
          <w:szCs w:val="20"/>
          <w:color w:val="auto"/>
        </w:rPr>
      </w:pPr>
    </w:p>
    <w:p>
      <w:pPr>
        <w:jc w:val="both"/>
        <w:ind w:firstLine="914"/>
        <w:spacing w:after="0" w:line="270" w:lineRule="auto"/>
        <w:rPr>
          <w:sz w:val="20"/>
          <w:szCs w:val="20"/>
          <w:color w:val="auto"/>
        </w:rPr>
      </w:pPr>
      <w:r>
        <w:rPr>
          <w:rFonts w:ascii="Times New Roman" w:cs="Times New Roman" w:eastAsia="Times New Roman" w:hAnsi="Times New Roman"/>
          <w:sz w:val="16"/>
          <w:szCs w:val="16"/>
          <w:color w:val="auto"/>
        </w:rPr>
        <w:t xml:space="preserve">12.14 </w:t>
      </w:r>
      <w:r>
        <w:rPr>
          <w:rFonts w:ascii="Times New Roman" w:cs="Times New Roman" w:eastAsia="Times New Roman" w:hAnsi="Times New Roman"/>
          <w:sz w:val="16"/>
          <w:szCs w:val="16"/>
          <w:u w:val="single" w:color="auto"/>
          <w:color w:val="auto"/>
        </w:rPr>
        <w:t>Amendment and Restatement</w:t>
      </w:r>
      <w:r>
        <w:rPr>
          <w:rFonts w:ascii="Times New Roman" w:cs="Times New Roman" w:eastAsia="Times New Roman" w:hAnsi="Times New Roman"/>
          <w:sz w:val="16"/>
          <w:szCs w:val="16"/>
          <w:color w:val="auto"/>
        </w:rPr>
        <w:t>. This Agreement amends and restates the Original Credit Agreement. All references made to the Original Credit Agreement in any Credit Document or in any other instrument or document shall, without more, be deemed to refer to this Agreement. On and after the Restatement Effective Date,</w:t>
      </w:r>
    </w:p>
    <w:p>
      <w:pPr>
        <w:spacing w:after="0" w:line="1" w:lineRule="exact"/>
        <w:rPr>
          <w:sz w:val="20"/>
          <w:szCs w:val="20"/>
          <w:color w:val="auto"/>
        </w:rPr>
      </w:pPr>
    </w:p>
    <w:p>
      <w:pPr>
        <w:ind w:right="20" w:firstLine="1"/>
        <w:spacing w:after="0" w:line="270" w:lineRule="auto"/>
        <w:tabs>
          <w:tab w:leader="none" w:pos="195"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Credit Agreement and the other “Credit Documents” under the Original Credit Agreement shall terminate and have no further force and effect (other than those obligations and liabilities that expressly survive the termination of the Original Credit Agreement) and (ii) the Original Credit Agreement shall be amended and restated in the form of this Agreement and the Original Credit Agreement and the other “Credit Documents” thereunder shall be replaced in full by this Agreement and the other Credit Documents.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400"/>
          </w:cols>
          <w:pgMar w:left="240" w:top="265" w:right="259" w:bottom="1440" w:gutter="0" w:footer="0" w:header="0"/>
        </w:sectPr>
      </w:pPr>
    </w:p>
    <w:bookmarkStart w:id="219" w:name="page220"/>
    <w:bookmarkEnd w:id="219"/>
    <w:p>
      <w:pPr>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LAZARD GROUP LLC</w:t>
      </w:r>
    </w:p>
    <w:p>
      <w:pPr>
        <w:spacing w:after="0" w:line="219"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6"/>
          <w:szCs w:val="16"/>
          <w:color w:val="auto"/>
        </w:rPr>
        <w:t>By:</w:t>
        <w:tab/>
        <w:t>/s/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19050</wp:posOffset>
            </wp:positionV>
            <wp:extent cx="26612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Name: Matthieu Bucaille</w:t>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1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11060"/>
          </w:cols>
          <w:pgMar w:left="240" w:top="265" w:right="599" w:bottom="1440" w:gutter="0" w:footer="0" w:header="0"/>
        </w:sectPr>
      </w:pPr>
    </w:p>
    <w:bookmarkStart w:id="220" w:name="page221"/>
    <w:bookmarkEnd w:id="220"/>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7420" cy="36830"/>
                    </a:xfrm>
                    <a:prstGeom prst="rect">
                      <a:avLst/>
                    </a:prstGeom>
                    <a:noFill/>
                  </pic:spPr>
                </pic:pic>
              </a:graphicData>
            </a:graphic>
          </wp:anchor>
        </w:drawing>
        <w:t>CITIBANK, N.A.,</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Administrative Agent and as a Bank</w:t>
      </w:r>
    </w:p>
    <w:p>
      <w:pPr>
        <w:spacing w:after="0" w:line="219" w:lineRule="exact"/>
        <w:rPr>
          <w:sz w:val="20"/>
          <w:szCs w:val="20"/>
          <w:color w:val="auto"/>
        </w:rPr>
      </w:pPr>
    </w:p>
    <w:p>
      <w:pPr>
        <w:ind w:left="5660"/>
        <w:spacing w:after="0"/>
        <w:tabs>
          <w:tab w:leader="none" w:pos="6020" w:val="left"/>
        </w:tabs>
        <w:rPr>
          <w:sz w:val="20"/>
          <w:szCs w:val="20"/>
          <w:color w:val="auto"/>
        </w:rPr>
      </w:pPr>
      <w:r>
        <w:rPr>
          <w:rFonts w:ascii="Times New Roman" w:cs="Times New Roman" w:eastAsia="Times New Roman" w:hAnsi="Times New Roman"/>
          <w:sz w:val="16"/>
          <w:szCs w:val="16"/>
          <w:color w:val="auto"/>
        </w:rPr>
        <w:t>By:</w:t>
        <w:tab/>
        <w:t>/s/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19050</wp:posOffset>
            </wp:positionV>
            <wp:extent cx="26612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Name: Richard Rivera</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5" w:right="1440" w:bottom="1440" w:gutter="0" w:footer="0" w:header="0"/>
        </w:sectPr>
      </w:pPr>
    </w:p>
    <w:bookmarkStart w:id="221" w:name="page222"/>
    <w:bookmarkEnd w:id="221"/>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7420" cy="36830"/>
                    </a:xfrm>
                    <a:prstGeom prst="rect">
                      <a:avLst/>
                    </a:prstGeom>
                    <a:noFill/>
                  </pic:spPr>
                </pic:pic>
              </a:graphicData>
            </a:graphic>
          </wp:anchor>
        </w:drawing>
        <w:t>State Street Bank and Trust Company,</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Bank</w:t>
      </w:r>
    </w:p>
    <w:p>
      <w:pPr>
        <w:spacing w:after="0" w:line="219" w:lineRule="exact"/>
        <w:rPr>
          <w:sz w:val="20"/>
          <w:szCs w:val="20"/>
          <w:color w:val="auto"/>
        </w:rPr>
      </w:pPr>
    </w:p>
    <w:p>
      <w:pPr>
        <w:ind w:left="5660"/>
        <w:spacing w:after="0"/>
        <w:tabs>
          <w:tab w:leader="none" w:pos="6020" w:val="left"/>
        </w:tabs>
        <w:rPr>
          <w:sz w:val="20"/>
          <w:szCs w:val="20"/>
          <w:color w:val="auto"/>
        </w:rPr>
      </w:pPr>
      <w:r>
        <w:rPr>
          <w:rFonts w:ascii="Times New Roman" w:cs="Times New Roman" w:eastAsia="Times New Roman" w:hAnsi="Times New Roman"/>
          <w:sz w:val="16"/>
          <w:szCs w:val="16"/>
          <w:color w:val="auto"/>
        </w:rPr>
        <w:t>By:</w:t>
        <w:tab/>
        <w:t>/s/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19050</wp:posOffset>
            </wp:positionV>
            <wp:extent cx="26612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Name: Mary H. Carey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5" w:right="1440" w:bottom="1440" w:gutter="0" w:footer="0" w:header="0"/>
        </w:sectPr>
      </w:pPr>
    </w:p>
    <w:bookmarkStart w:id="222" w:name="page223"/>
    <w:bookmarkEnd w:id="222"/>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Bank of New York Mellon,</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Bank</w:t>
      </w:r>
    </w:p>
    <w:p>
      <w:pPr>
        <w:spacing w:after="0" w:line="219" w:lineRule="exact"/>
        <w:rPr>
          <w:sz w:val="20"/>
          <w:szCs w:val="20"/>
          <w:color w:val="auto"/>
        </w:rPr>
      </w:pPr>
    </w:p>
    <w:p>
      <w:pPr>
        <w:ind w:left="5660"/>
        <w:spacing w:after="0"/>
        <w:tabs>
          <w:tab w:leader="none" w:pos="6020" w:val="left"/>
        </w:tabs>
        <w:rPr>
          <w:sz w:val="20"/>
          <w:szCs w:val="20"/>
          <w:color w:val="auto"/>
        </w:rPr>
      </w:pPr>
      <w:r>
        <w:rPr>
          <w:rFonts w:ascii="Times New Roman" w:cs="Times New Roman" w:eastAsia="Times New Roman" w:hAnsi="Times New Roman"/>
          <w:sz w:val="16"/>
          <w:szCs w:val="16"/>
          <w:color w:val="auto"/>
        </w:rPr>
        <w:t>By:</w:t>
        <w:tab/>
        <w:t>/s/ Diane L. Demmler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19050</wp:posOffset>
            </wp:positionV>
            <wp:extent cx="26612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6"/>
          <w:szCs w:val="16"/>
          <w:color w:val="auto"/>
        </w:rPr>
        <w:t>Name: Diane L. Demmler</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5" w:right="1440" w:bottom="1440" w:gutter="0" w:footer="0" w:header="0"/>
        </w:sectPr>
      </w:pPr>
    </w:p>
    <w:bookmarkStart w:id="223" w:name="page224"/>
    <w:bookmarkEnd w:id="223"/>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7420" cy="36830"/>
                    </a:xfrm>
                    <a:prstGeom prst="rect">
                      <a:avLst/>
                    </a:prstGeom>
                    <a:noFill/>
                  </pic:spPr>
                </pic:pic>
              </a:graphicData>
            </a:graphic>
          </wp:anchor>
        </w:drawing>
        <w:t>HSBC Bank USA, N.A.,</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Bank</w:t>
      </w:r>
    </w:p>
    <w:p>
      <w:pPr>
        <w:spacing w:after="0" w:line="219" w:lineRule="exact"/>
        <w:rPr>
          <w:sz w:val="20"/>
          <w:szCs w:val="20"/>
          <w:color w:val="auto"/>
        </w:rPr>
      </w:pPr>
    </w:p>
    <w:p>
      <w:pPr>
        <w:ind w:left="5660"/>
        <w:spacing w:after="0"/>
        <w:tabs>
          <w:tab w:leader="none" w:pos="6020" w:val="left"/>
        </w:tabs>
        <w:rPr>
          <w:sz w:val="20"/>
          <w:szCs w:val="20"/>
          <w:color w:val="auto"/>
        </w:rPr>
      </w:pPr>
      <w:r>
        <w:rPr>
          <w:rFonts w:ascii="Times New Roman" w:cs="Times New Roman" w:eastAsia="Times New Roman" w:hAnsi="Times New Roman"/>
          <w:sz w:val="16"/>
          <w:szCs w:val="16"/>
          <w:color w:val="auto"/>
        </w:rPr>
        <w:t>By:</w:t>
        <w:tab/>
        <w:t>/s/ John Lindon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19050</wp:posOffset>
            </wp:positionV>
            <wp:extent cx="26612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Name: John Lindon</w:t>
      </w:r>
    </w:p>
    <w:p>
      <w:pPr>
        <w:spacing w:after="0" w:line="30"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5" w:right="1440" w:bottom="1440" w:gutter="0" w:footer="0" w:header="0"/>
        </w:sectPr>
      </w:pPr>
    </w:p>
    <w:bookmarkStart w:id="224" w:name="page225"/>
    <w:bookmarkEnd w:id="224"/>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7420" cy="36830"/>
                    </a:xfrm>
                    <a:prstGeom prst="rect">
                      <a:avLst/>
                    </a:prstGeom>
                    <a:noFill/>
                  </pic:spPr>
                </pic:pic>
              </a:graphicData>
            </a:graphic>
          </wp:anchor>
        </w:drawing>
        <w:t>The Northern Trust Company,</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as Bank</w:t>
      </w:r>
    </w:p>
    <w:p>
      <w:pPr>
        <w:spacing w:after="0" w:line="219" w:lineRule="exact"/>
        <w:rPr>
          <w:sz w:val="20"/>
          <w:szCs w:val="20"/>
          <w:color w:val="auto"/>
        </w:rPr>
      </w:pPr>
    </w:p>
    <w:p>
      <w:pPr>
        <w:ind w:left="5660"/>
        <w:spacing w:after="0"/>
        <w:tabs>
          <w:tab w:leader="none" w:pos="6020" w:val="left"/>
        </w:tabs>
        <w:rPr>
          <w:sz w:val="20"/>
          <w:szCs w:val="20"/>
          <w:color w:val="auto"/>
        </w:rPr>
      </w:pPr>
      <w:r>
        <w:rPr>
          <w:rFonts w:ascii="Times New Roman" w:cs="Times New Roman" w:eastAsia="Times New Roman" w:hAnsi="Times New Roman"/>
          <w:sz w:val="16"/>
          <w:szCs w:val="16"/>
          <w:color w:val="auto"/>
        </w:rPr>
        <w:t>By:</w:t>
        <w:tab/>
        <w:t>/s/ Nathalie A. Houde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19050</wp:posOffset>
            </wp:positionV>
            <wp:extent cx="26612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Name: Nathalie A. Houde</w:t>
      </w:r>
    </w:p>
    <w:p>
      <w:pPr>
        <w:spacing w:after="0" w:line="30"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6"/>
          <w:szCs w:val="16"/>
          <w:color w:val="auto"/>
        </w:rPr>
        <w:t>Title: Senior Vice President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Credit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65" w:right="1440" w:bottom="1440" w:gutter="0" w:footer="0" w:header="0"/>
        </w:sectPr>
      </w:pPr>
    </w:p>
    <w:bookmarkStart w:id="225" w:name="page226"/>
    <w:bookmarkEnd w:id="225"/>
    <w:p>
      <w:pPr>
        <w:ind w:left="1058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LAZARD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COMPUTATION OF RATIO OF EARNINGS TO FIXED CHARGES (a)</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ratio of earnings to fixed charges for Lazard Ltd and its subsidiaries on a consolidated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gridSpan w:val="6"/>
            <w:vMerge w:val="restart"/>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6"/>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September 30, 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2014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2012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2010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(155,969)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519,465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216,807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123,885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235,499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Add—Fixed charges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57,358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106,470</w:t>
            </w:r>
          </w:p>
        </w:tc>
        <w:tc>
          <w:tcPr>
            <w:tcW w:w="12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110,919</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 before</w:t>
            </w: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charges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(98,611)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605,531</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320,475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230,355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346,418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Fixed Charges:</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(b)</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39,431</w:t>
            </w:r>
          </w:p>
        </w:tc>
        <w:tc>
          <w:tcPr>
            <w:tcW w:w="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62,570</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79,381</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81,565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90,126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97,709</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24,905</w:t>
            </w:r>
          </w:p>
        </w:tc>
        <w:tc>
          <w:tcPr>
            <w:tcW w:w="12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20,793</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fixed charges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57,358</w:t>
            </w:r>
          </w:p>
        </w:tc>
        <w:tc>
          <w:tcPr>
            <w:tcW w:w="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86,066</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103,668</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106,470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110,919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117,119</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Ratio of earnings to fixed charges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3.09(e)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2.16(f)</w:t>
            </w:r>
          </w:p>
        </w:tc>
        <w:tc>
          <w:tcPr>
            <w:tcW w:w="12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3.08(g)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5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Deficiency in the coverage of operating income (loss) before fixed</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charges to total fixed charges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70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(dollars in thousands):</w:t>
      </w:r>
    </w:p>
    <w:p>
      <w:pPr>
        <w:spacing w:after="0" w:line="30" w:lineRule="exact"/>
        <w:rPr>
          <w:sz w:val="20"/>
          <w:szCs w:val="20"/>
          <w:color w:val="auto"/>
        </w:rPr>
      </w:pPr>
    </w:p>
    <w:p>
      <w:pPr>
        <w:ind w:left="460" w:hanging="459"/>
        <w:spacing w:after="0"/>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computing the ratio of earnings to fixed charges:</w:t>
      </w:r>
    </w:p>
    <w:p>
      <w:pPr>
        <w:spacing w:after="0" w:line="80"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for the periods presented represent income before income taxes and fixed charges, and</w:t>
      </w:r>
    </w:p>
    <w:p>
      <w:pPr>
        <w:spacing w:after="0" w:line="92" w:lineRule="exact"/>
        <w:rPr>
          <w:rFonts w:ascii="Times New Roman" w:cs="Times New Roman" w:eastAsia="Times New Roman" w:hAnsi="Times New Roman"/>
          <w:sz w:val="16"/>
          <w:szCs w:val="16"/>
          <w:color w:val="auto"/>
        </w:rPr>
      </w:pPr>
    </w:p>
    <w:p>
      <w:pPr>
        <w:ind w:left="900" w:hanging="333"/>
        <w:spacing w:after="0"/>
        <w:tabs>
          <w:tab w:leader="none" w:pos="900"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represent the interest expense and the portion of rental expense which represents an appropriate interest factor.</w:t>
      </w:r>
    </w:p>
    <w:p>
      <w:pPr>
        <w:spacing w:after="0" w:line="92" w:lineRule="exact"/>
        <w:rPr>
          <w:rFonts w:ascii="Times New Roman" w:cs="Times New Roman" w:eastAsia="Times New Roman" w:hAnsi="Times New Roman"/>
          <w:sz w:val="16"/>
          <w:szCs w:val="16"/>
          <w:color w:val="auto"/>
        </w:rPr>
      </w:pPr>
    </w:p>
    <w:p>
      <w:pPr>
        <w:ind w:left="460" w:right="340" w:hanging="459"/>
        <w:spacing w:after="0" w:line="301" w:lineRule="auto"/>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policy is to include interest expense on unrecognized tax benefits in income tax expense. Accordingly, such interest expense is not included in the computations of the ratio of earnings to fixed charges.</w:t>
      </w:r>
    </w:p>
    <w:p>
      <w:pPr>
        <w:spacing w:after="0" w:line="16"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fixed charges consist of the interest factor in rentals.</w:t>
      </w:r>
    </w:p>
    <w:p>
      <w:pPr>
        <w:spacing w:after="0" w:line="92" w:lineRule="exact"/>
        <w:rPr>
          <w:rFonts w:ascii="Times New Roman" w:cs="Times New Roman" w:eastAsia="Times New Roman" w:hAnsi="Times New Roman"/>
          <w:sz w:val="16"/>
          <w:szCs w:val="16"/>
          <w:color w:val="auto"/>
        </w:rPr>
      </w:pPr>
    </w:p>
    <w:p>
      <w:pPr>
        <w:ind w:left="460" w:hanging="459"/>
        <w:spacing w:after="0"/>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nine month period ended September 30, 2015 is presented after giving effect to a charge of (i) $60,219 associated with the redemption of</w:t>
      </w:r>
    </w:p>
    <w:p>
      <w:pPr>
        <w:spacing w:after="0" w:line="29" w:lineRule="exact"/>
        <w:rPr>
          <w:rFonts w:ascii="Times New Roman" w:cs="Times New Roman" w:eastAsia="Times New Roman" w:hAnsi="Times New Roman"/>
          <w:sz w:val="16"/>
          <w:szCs w:val="16"/>
          <w:color w:val="auto"/>
        </w:rPr>
      </w:pPr>
    </w:p>
    <w:p>
      <w:pPr>
        <w:ind w:left="460" w:right="120"/>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$450 million of the 2017 Notes, (ii) $2,655 excess interest expense due to the overlap between the issuance of the 2025 Notes and the settlement of the redemption of the 2017 Notes, (iii) $12,203 relating to a private equity revenue adjustment and, (iv) $541,915 relating to the provision (benefit) pursuant to the tax receivable agreement. Excluding the impact of such items, the ratio of earnings to fixed charges would have been 8.98.</w:t>
      </w:r>
    </w:p>
    <w:p>
      <w:pPr>
        <w:spacing w:after="0" w:line="39" w:lineRule="exact"/>
        <w:rPr>
          <w:rFonts w:ascii="Times New Roman" w:cs="Times New Roman" w:eastAsia="Times New Roman" w:hAnsi="Times New Roman"/>
          <w:sz w:val="16"/>
          <w:szCs w:val="16"/>
          <w:color w:val="auto"/>
        </w:rPr>
      </w:pPr>
    </w:p>
    <w:p>
      <w:pPr>
        <w:ind w:left="460" w:right="20" w:hanging="459"/>
        <w:spacing w:after="0" w:line="282" w:lineRule="auto"/>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4.35.</w:t>
      </w:r>
    </w:p>
    <w:p>
      <w:pPr>
        <w:spacing w:after="0" w:line="31" w:lineRule="exact"/>
        <w:rPr>
          <w:rFonts w:ascii="Times New Roman" w:cs="Times New Roman" w:eastAsia="Times New Roman" w:hAnsi="Times New Roman"/>
          <w:sz w:val="16"/>
          <w:szCs w:val="16"/>
          <w:color w:val="auto"/>
        </w:rPr>
      </w:pPr>
    </w:p>
    <w:p>
      <w:pPr>
        <w:ind w:left="460" w:right="260" w:hanging="459"/>
        <w:spacing w:after="0" w:line="275" w:lineRule="auto"/>
        <w:tabs>
          <w:tab w:leader="none" w:pos="46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3" w:right="239" w:bottom="1440" w:gutter="0" w:footer="0" w:header="0"/>
        </w:sectPr>
      </w:pPr>
    </w:p>
    <w:bookmarkStart w:id="226" w:name="page227"/>
    <w:bookmarkEnd w:id="226"/>
    <w:p>
      <w:pPr>
        <w:ind w:left="459" w:hanging="459"/>
        <w:spacing w:after="0" w:line="282" w:lineRule="auto"/>
        <w:tabs>
          <w:tab w:leader="none" w:pos="459"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742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359"/>
          </w:cols>
          <w:pgMar w:left="241" w:top="266" w:right="29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Kenneth M. Jacobs, certify that:</w:t>
      </w:r>
    </w:p>
    <w:p>
      <w:pPr>
        <w:spacing w:after="0" w:line="168" w:lineRule="exact"/>
        <w:rPr>
          <w:sz w:val="20"/>
          <w:szCs w:val="20"/>
          <w:color w:val="auto"/>
        </w:rPr>
      </w:pPr>
    </w:p>
    <w:p>
      <w:pPr>
        <w:ind w:left="620" w:hanging="162"/>
        <w:spacing w:after="0"/>
        <w:tabs>
          <w:tab w:leader="none" w:pos="6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2015 of Lazard Ltd (the “Registrant”);</w:t>
      </w:r>
    </w:p>
    <w:p>
      <w:pPr>
        <w:spacing w:after="0" w:line="168" w:lineRule="exact"/>
        <w:rPr>
          <w:rFonts w:ascii="Times New Roman" w:cs="Times New Roman" w:eastAsia="Times New Roman" w:hAnsi="Times New Roman"/>
          <w:sz w:val="16"/>
          <w:szCs w:val="16"/>
          <w:color w:val="auto"/>
        </w:rPr>
      </w:pPr>
    </w:p>
    <w:p>
      <w:pPr>
        <w:ind w:right="120" w:firstLine="458"/>
        <w:spacing w:after="0" w:line="301" w:lineRule="auto"/>
        <w:tabs>
          <w:tab w:leader="none" w:pos="62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6"/>
          <w:szCs w:val="16"/>
          <w:color w:val="auto"/>
        </w:rPr>
      </w:pPr>
    </w:p>
    <w:p>
      <w:pPr>
        <w:ind w:right="640" w:firstLine="458"/>
        <w:spacing w:after="0" w:line="301" w:lineRule="auto"/>
        <w:tabs>
          <w:tab w:leader="none" w:pos="62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6"/>
          <w:szCs w:val="16"/>
          <w:color w:val="auto"/>
        </w:rPr>
      </w:pPr>
    </w:p>
    <w:p>
      <w:pPr>
        <w:ind w:left="620" w:hanging="162"/>
        <w:spacing w:after="0"/>
        <w:tabs>
          <w:tab w:leader="none" w:pos="6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0" w:lineRule="exact"/>
        <w:rPr>
          <w:rFonts w:ascii="Times New Roman" w:cs="Times New Roman" w:eastAsia="Times New Roman" w:hAnsi="Times New Roman"/>
          <w:sz w:val="16"/>
          <w:szCs w:val="16"/>
          <w:color w:val="auto"/>
        </w:rPr>
      </w:pPr>
    </w:p>
    <w:p>
      <w:pPr>
        <w:ind w:left="460" w:right="260" w:firstLine="436"/>
        <w:spacing w:after="0" w:line="282" w:lineRule="auto"/>
        <w:tabs>
          <w:tab w:leader="none" w:pos="1121"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6"/>
          <w:szCs w:val="16"/>
          <w:color w:val="auto"/>
        </w:rPr>
      </w:pPr>
    </w:p>
    <w:p>
      <w:pPr>
        <w:ind w:left="460" w:right="360" w:firstLine="436"/>
        <w:spacing w:after="0" w:line="282" w:lineRule="auto"/>
        <w:tabs>
          <w:tab w:leader="none" w:pos="113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Times New Roman" w:cs="Times New Roman" w:eastAsia="Times New Roman" w:hAnsi="Times New Roman"/>
          <w:sz w:val="16"/>
          <w:szCs w:val="16"/>
          <w:color w:val="auto"/>
        </w:rPr>
      </w:pPr>
    </w:p>
    <w:p>
      <w:pPr>
        <w:ind w:left="460" w:right="120" w:firstLine="436"/>
        <w:spacing w:after="0" w:line="301" w:lineRule="auto"/>
        <w:tabs>
          <w:tab w:leader="none" w:pos="1121"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Times New Roman" w:cs="Times New Roman" w:eastAsia="Times New Roman" w:hAnsi="Times New Roman"/>
          <w:sz w:val="16"/>
          <w:szCs w:val="16"/>
          <w:color w:val="auto"/>
        </w:rPr>
      </w:pPr>
    </w:p>
    <w:p>
      <w:pPr>
        <w:ind w:left="460" w:firstLine="436"/>
        <w:spacing w:after="0" w:line="282" w:lineRule="auto"/>
        <w:tabs>
          <w:tab w:leader="none" w:pos="113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Times New Roman" w:cs="Times New Roman" w:eastAsia="Times New Roman" w:hAnsi="Times New Roman"/>
          <w:sz w:val="16"/>
          <w:szCs w:val="16"/>
          <w:color w:val="auto"/>
        </w:rPr>
      </w:pPr>
    </w:p>
    <w:p>
      <w:pPr>
        <w:ind w:right="300" w:firstLine="458"/>
        <w:spacing w:after="0" w:line="301" w:lineRule="auto"/>
        <w:tabs>
          <w:tab w:leader="none" w:pos="62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6"/>
          <w:szCs w:val="16"/>
          <w:color w:val="auto"/>
        </w:rPr>
      </w:pPr>
    </w:p>
    <w:p>
      <w:pPr>
        <w:ind w:left="460" w:right="340" w:firstLine="436"/>
        <w:spacing w:after="0" w:line="301" w:lineRule="auto"/>
        <w:tabs>
          <w:tab w:leader="none" w:pos="1121"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Times New Roman" w:cs="Times New Roman" w:eastAsia="Times New Roman" w:hAnsi="Times New Roman"/>
          <w:sz w:val="16"/>
          <w:szCs w:val="16"/>
          <w:color w:val="auto"/>
        </w:rPr>
      </w:pPr>
    </w:p>
    <w:p>
      <w:pPr>
        <w:ind w:left="460" w:right="500" w:firstLine="436"/>
        <w:spacing w:after="0" w:line="301" w:lineRule="auto"/>
        <w:tabs>
          <w:tab w:leader="none" w:pos="113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27, 2015</w:t>
      </w:r>
    </w:p>
    <w:p>
      <w:pPr>
        <w:spacing w:after="0" w:line="200" w:lineRule="exact"/>
        <w:rPr>
          <w:sz w:val="20"/>
          <w:szCs w:val="20"/>
          <w:color w:val="auto"/>
        </w:rPr>
      </w:pP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/s/</w:t>
        <w:tab/>
        <w:t>Kenneth M. Jacobs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006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ectPr>
          <w:pgSz w:w="11900" w:h="16838" w:orient="portrait"/>
          <w:cols w:equalWidth="0" w:num="1">
            <w:col w:w="11420"/>
          </w:cols>
          <w:pgMar w:left="240" w:top="123" w:right="2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Matthieu Bucaille, certify that:</w:t>
      </w:r>
    </w:p>
    <w:p>
      <w:pPr>
        <w:spacing w:after="0" w:line="168" w:lineRule="exact"/>
        <w:rPr>
          <w:sz w:val="20"/>
          <w:szCs w:val="20"/>
          <w:color w:val="auto"/>
        </w:rPr>
      </w:pPr>
    </w:p>
    <w:p>
      <w:pPr>
        <w:ind w:left="620" w:hanging="162"/>
        <w:spacing w:after="0"/>
        <w:tabs>
          <w:tab w:leader="none" w:pos="62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2015 of Lazard Ltd (the “Registrant”);</w:t>
      </w:r>
    </w:p>
    <w:p>
      <w:pPr>
        <w:spacing w:after="0" w:line="168" w:lineRule="exact"/>
        <w:rPr>
          <w:rFonts w:ascii="Times New Roman" w:cs="Times New Roman" w:eastAsia="Times New Roman" w:hAnsi="Times New Roman"/>
          <w:sz w:val="16"/>
          <w:szCs w:val="16"/>
          <w:color w:val="auto"/>
        </w:rPr>
      </w:pPr>
    </w:p>
    <w:p>
      <w:pPr>
        <w:ind w:right="120" w:firstLine="458"/>
        <w:spacing w:after="0" w:line="301" w:lineRule="auto"/>
        <w:tabs>
          <w:tab w:leader="none" w:pos="62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6"/>
          <w:szCs w:val="16"/>
          <w:color w:val="auto"/>
        </w:rPr>
      </w:pPr>
    </w:p>
    <w:p>
      <w:pPr>
        <w:ind w:right="640" w:firstLine="458"/>
        <w:spacing w:after="0" w:line="301" w:lineRule="auto"/>
        <w:tabs>
          <w:tab w:leader="none" w:pos="62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6"/>
          <w:szCs w:val="16"/>
          <w:color w:val="auto"/>
        </w:rPr>
      </w:pPr>
    </w:p>
    <w:p>
      <w:pPr>
        <w:ind w:left="620" w:hanging="162"/>
        <w:spacing w:after="0"/>
        <w:tabs>
          <w:tab w:leader="none" w:pos="62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0" w:lineRule="exact"/>
        <w:rPr>
          <w:rFonts w:ascii="Times New Roman" w:cs="Times New Roman" w:eastAsia="Times New Roman" w:hAnsi="Times New Roman"/>
          <w:sz w:val="16"/>
          <w:szCs w:val="16"/>
          <w:color w:val="auto"/>
        </w:rPr>
      </w:pPr>
    </w:p>
    <w:p>
      <w:pPr>
        <w:ind w:left="460" w:right="260" w:firstLine="436"/>
        <w:spacing w:after="0" w:line="282" w:lineRule="auto"/>
        <w:tabs>
          <w:tab w:leader="none" w:pos="1121"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Times New Roman" w:cs="Times New Roman" w:eastAsia="Times New Roman" w:hAnsi="Times New Roman"/>
          <w:sz w:val="16"/>
          <w:szCs w:val="16"/>
          <w:color w:val="auto"/>
        </w:rPr>
      </w:pPr>
    </w:p>
    <w:p>
      <w:pPr>
        <w:ind w:left="460" w:right="360" w:firstLine="436"/>
        <w:spacing w:after="0" w:line="282" w:lineRule="auto"/>
        <w:tabs>
          <w:tab w:leader="none" w:pos="113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Times New Roman" w:cs="Times New Roman" w:eastAsia="Times New Roman" w:hAnsi="Times New Roman"/>
          <w:sz w:val="16"/>
          <w:szCs w:val="16"/>
          <w:color w:val="auto"/>
        </w:rPr>
      </w:pPr>
    </w:p>
    <w:p>
      <w:pPr>
        <w:ind w:left="460" w:right="120" w:firstLine="436"/>
        <w:spacing w:after="0" w:line="301" w:lineRule="auto"/>
        <w:tabs>
          <w:tab w:leader="none" w:pos="1121"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Times New Roman" w:cs="Times New Roman" w:eastAsia="Times New Roman" w:hAnsi="Times New Roman"/>
          <w:sz w:val="16"/>
          <w:szCs w:val="16"/>
          <w:color w:val="auto"/>
        </w:rPr>
      </w:pPr>
    </w:p>
    <w:p>
      <w:pPr>
        <w:ind w:left="460" w:firstLine="436"/>
        <w:spacing w:after="0" w:line="282" w:lineRule="auto"/>
        <w:tabs>
          <w:tab w:leader="none" w:pos="113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Times New Roman" w:cs="Times New Roman" w:eastAsia="Times New Roman" w:hAnsi="Times New Roman"/>
          <w:sz w:val="16"/>
          <w:szCs w:val="16"/>
          <w:color w:val="auto"/>
        </w:rPr>
      </w:pPr>
    </w:p>
    <w:p>
      <w:pPr>
        <w:ind w:right="300" w:firstLine="458"/>
        <w:spacing w:after="0" w:line="301" w:lineRule="auto"/>
        <w:tabs>
          <w:tab w:leader="none" w:pos="62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6"/>
          <w:szCs w:val="16"/>
          <w:color w:val="auto"/>
        </w:rPr>
      </w:pPr>
    </w:p>
    <w:p>
      <w:pPr>
        <w:ind w:left="460" w:right="340" w:firstLine="436"/>
        <w:spacing w:after="0" w:line="301" w:lineRule="auto"/>
        <w:tabs>
          <w:tab w:leader="none" w:pos="1121"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Times New Roman" w:cs="Times New Roman" w:eastAsia="Times New Roman" w:hAnsi="Times New Roman"/>
          <w:sz w:val="16"/>
          <w:szCs w:val="16"/>
          <w:color w:val="auto"/>
        </w:rPr>
      </w:pPr>
    </w:p>
    <w:p>
      <w:pPr>
        <w:ind w:left="460" w:right="500" w:firstLine="436"/>
        <w:spacing w:after="0" w:line="301" w:lineRule="auto"/>
        <w:tabs>
          <w:tab w:leader="none" w:pos="113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27, 2015</w:t>
      </w:r>
    </w:p>
    <w:p>
      <w:pPr>
        <w:spacing w:after="0" w:line="200" w:lineRule="exact"/>
        <w:rPr>
          <w:sz w:val="20"/>
          <w:szCs w:val="20"/>
          <w:color w:val="auto"/>
        </w:rPr>
      </w:pP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/s/</w:t>
        <w:tab/>
        <w:t>Matthieu Bucaille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006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420"/>
          </w:cols>
          <w:pgMar w:left="240" w:top="123" w:right="2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2015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F Street, 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56" w:lineRule="exact"/>
        <w:rPr>
          <w:sz w:val="20"/>
          <w:szCs w:val="20"/>
          <w:color w:val="auto"/>
        </w:rPr>
      </w:pPr>
    </w:p>
    <w:p>
      <w:pPr>
        <w:jc w:val="both"/>
        <w:ind w:right="220" w:firstLine="457"/>
        <w:spacing w:after="0" w:line="282"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September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/s/</w:t>
        <w:tab/>
        <w:t>Kenneth M. Jacobs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006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27, 2015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F Street, 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56" w:lineRule="exact"/>
        <w:rPr>
          <w:sz w:val="20"/>
          <w:szCs w:val="20"/>
          <w:color w:val="auto"/>
        </w:rPr>
      </w:pPr>
    </w:p>
    <w:p>
      <w:pPr>
        <w:jc w:val="both"/>
        <w:ind w:right="220" w:firstLine="457"/>
        <w:spacing w:after="0" w:line="282"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September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/s/</w:t>
        <w:tab/>
        <w:t>Matthieu Bucaille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006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1."/>
      <w:numFmt w:val="decimal"/>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decimal"/>
      <w:start w:val="2"/>
    </w:lvl>
  </w:abstractNum>
  <w:abstractNum w:abstractNumId="6">
    <w:nsid w:val="50801EE1"/>
    <w:multiLevelType w:val="hybridMultilevel"/>
    <w:lvl w:ilvl="0">
      <w:lvlJc w:val="left"/>
      <w:lvlText w:val="%1."/>
      <w:numFmt w:val="decimal"/>
      <w:start w:val="3"/>
    </w:lvl>
  </w:abstractNum>
  <w:abstractNum w:abstractNumId="7">
    <w:nsid w:val="488AC1A"/>
    <w:multiLevelType w:val="hybridMultilevel"/>
    <w:lvl w:ilvl="0">
      <w:lvlJc w:val="left"/>
      <w:lvlText w:val="%1."/>
      <w:numFmt w:val="decimal"/>
      <w:start w:val="4"/>
    </w:lvl>
  </w:abstractNum>
  <w:abstractNum w:abstractNumId="8">
    <w:nsid w:val="5FB8011C"/>
    <w:multiLevelType w:val="hybridMultilevel"/>
    <w:lvl w:ilvl="0">
      <w:lvlJc w:val="left"/>
      <w:lvlText w:val="(%1)"/>
      <w:numFmt w:val="lowerLetter"/>
      <w:start w:val="1"/>
    </w:lvl>
  </w:abstractNum>
  <w:abstractNum w:abstractNumId="9">
    <w:nsid w:val="6AA78F7F"/>
    <w:multiLevelType w:val="hybridMultilevel"/>
    <w:lvl w:ilvl="0">
      <w:lvlJc w:val="left"/>
      <w:lvlText w:val="%1."/>
      <w:numFmt w:val="decimal"/>
      <w:start w:val="5"/>
    </w:lvl>
  </w:abstractNum>
  <w:abstractNum w:abstractNumId="10">
    <w:nsid w:val="7672BD23"/>
    <w:multiLevelType w:val="hybridMultilevel"/>
    <w:lvl w:ilvl="0">
      <w:lvlJc w:val="left"/>
      <w:lvlText w:val="(%1)"/>
      <w:numFmt w:val="lowerLetter"/>
      <w:start w:val="1"/>
    </w:lvl>
  </w:abstractNum>
  <w:abstractNum w:abstractNumId="11">
    <w:nsid w:val="6FC75AF8"/>
    <w:multiLevelType w:val="hybridMultilevel"/>
    <w:lvl w:ilvl="0">
      <w:lvlJc w:val="left"/>
      <w:lvlText w:val="(%1)"/>
      <w:numFmt w:val="lowerLetter"/>
      <w:start w:val="2"/>
    </w:lvl>
  </w:abstractNum>
  <w:abstractNum w:abstractNumId="12">
    <w:nsid w:val="6A5F7029"/>
    <w:multiLevelType w:val="hybridMultilevel"/>
    <w:lvl w:ilvl="0">
      <w:lvlJc w:val="left"/>
      <w:lvlText w:val="(%1)"/>
      <w:numFmt w:val="lowerLetter"/>
      <w:start w:val="1"/>
    </w:lvl>
  </w:abstractNum>
  <w:abstractNum w:abstractNumId="13">
    <w:nsid w:val="7D5E18F8"/>
    <w:multiLevelType w:val="hybridMultilevel"/>
    <w:lvl w:ilvl="0">
      <w:lvlJc w:val="left"/>
      <w:lvlText w:val="(%1)"/>
      <w:numFmt w:val="lowerLetter"/>
      <w:start w:val="1"/>
    </w:lvl>
  </w:abstractNum>
  <w:abstractNum w:abstractNumId="14">
    <w:nsid w:val="5F3534A4"/>
    <w:multiLevelType w:val="hybridMultilevel"/>
    <w:lvl w:ilvl="0">
      <w:lvlJc w:val="left"/>
      <w:lvlText w:val="(%1)"/>
      <w:numFmt w:val="lowerLetter"/>
      <w:start w:val="1"/>
    </w:lvl>
  </w:abstractNum>
  <w:abstractNum w:abstractNumId="15">
    <w:nsid w:val="73A1821B"/>
    <w:multiLevelType w:val="hybridMultilevel"/>
    <w:lvl w:ilvl="0">
      <w:lvlJc w:val="left"/>
      <w:lvlText w:val="%1."/>
      <w:numFmt w:val="decimal"/>
      <w:start w:val="6"/>
    </w:lvl>
  </w:abstractNum>
  <w:abstractNum w:abstractNumId="16">
    <w:nsid w:val="7DE67713"/>
    <w:multiLevelType w:val="hybridMultilevel"/>
    <w:lvl w:ilvl="0">
      <w:lvlJc w:val="left"/>
      <w:lvlText w:val="(%1)"/>
      <w:numFmt w:val="lowerLetter"/>
      <w:start w:val="1"/>
    </w:lvl>
  </w:abstractNum>
  <w:abstractNum w:abstractNumId="17">
    <w:nsid w:val="555C55B5"/>
    <w:multiLevelType w:val="hybridMultilevel"/>
    <w:lvl w:ilvl="0">
      <w:lvlJc w:val="left"/>
      <w:lvlText w:val="%1."/>
      <w:numFmt w:val="decimal"/>
      <w:start w:val="7"/>
    </w:lvl>
  </w:abstractNum>
  <w:abstractNum w:abstractNumId="18">
    <w:nsid w:val="3FA62ACA"/>
    <w:multiLevelType w:val="hybridMultilevel"/>
    <w:lvl w:ilvl="0">
      <w:lvlJc w:val="left"/>
      <w:lvlText w:val="%1."/>
      <w:numFmt w:val="decimal"/>
      <w:start w:val="8"/>
    </w:lvl>
  </w:abstractNum>
  <w:abstractNum w:abstractNumId="19">
    <w:nsid w:val="14FCE74E"/>
    <w:multiLevelType w:val="hybridMultilevel"/>
    <w:lvl w:ilvl="0">
      <w:lvlJc w:val="left"/>
      <w:lvlText w:val="%1"/>
      <w:numFmt w:val="decimal"/>
      <w:start w:val="1"/>
    </w:lvl>
    <w:lvl w:ilvl="1">
      <w:lvlJc w:val="left"/>
      <w:lvlText w:val="(%2)"/>
      <w:numFmt w:val="lowerLetter"/>
      <w:start w:val="1"/>
    </w:lvl>
  </w:abstractNum>
  <w:abstractNum w:abstractNumId="20">
    <w:nsid w:val="6A3DD3E8"/>
    <w:multiLevelType w:val="hybridMultilevel"/>
    <w:lvl w:ilvl="0">
      <w:lvlJc w:val="left"/>
      <w:lvlText w:val="%1."/>
      <w:numFmt w:val="decimal"/>
      <w:start w:val="9"/>
    </w:lvl>
    <w:lvl w:ilvl="1">
      <w:lvlJc w:val="left"/>
      <w:lvlText w:val="%2"/>
      <w:numFmt w:val="lowerLetter"/>
      <w:start w:val="1"/>
    </w:lvl>
  </w:abstractNum>
  <w:abstractNum w:abstractNumId="21">
    <w:nsid w:val="71C91298"/>
    <w:multiLevelType w:val="hybridMultilevel"/>
    <w:lvl w:ilvl="0">
      <w:lvlJc w:val="left"/>
      <w:lvlText w:val="(%1)"/>
      <w:numFmt w:val="lowerLetter"/>
      <w:start w:val="1"/>
    </w:lvl>
  </w:abstractNum>
  <w:abstractNum w:abstractNumId="22">
    <w:nsid w:val="9DAF632"/>
    <w:multiLevelType w:val="hybridMultilevel"/>
    <w:lvl w:ilvl="0">
      <w:lvlJc w:val="left"/>
      <w:lvlText w:val="%1."/>
      <w:numFmt w:val="decimal"/>
      <w:start w:val="10"/>
    </w:lvl>
  </w:abstractNum>
  <w:abstractNum w:abstractNumId="23">
    <w:nsid w:val="53299938"/>
    <w:multiLevelType w:val="hybridMultilevel"/>
    <w:lvl w:ilvl="0">
      <w:lvlJc w:val="left"/>
      <w:lvlText w:val="%1."/>
      <w:numFmt w:val="decimal"/>
      <w:start w:val="11"/>
    </w:lvl>
  </w:abstractNum>
  <w:abstractNum w:abstractNumId="24">
    <w:nsid w:val="1FBFE8E0"/>
    <w:multiLevelType w:val="hybridMultilevel"/>
    <w:lvl w:ilvl="0">
      <w:lvlJc w:val="left"/>
      <w:lvlText w:val="(%1)"/>
      <w:numFmt w:val="lowerLetter"/>
      <w:start w:val="1"/>
    </w:lvl>
  </w:abstractNum>
  <w:abstractNum w:abstractNumId="25">
    <w:nsid w:val="5092CA79"/>
    <w:multiLevelType w:val="hybridMultilevel"/>
    <w:lvl w:ilvl="0">
      <w:lvlJc w:val="left"/>
      <w:lvlText w:val="%1."/>
      <w:numFmt w:val="decimal"/>
      <w:start w:val="12"/>
    </w:lvl>
  </w:abstractNum>
  <w:abstractNum w:abstractNumId="26">
    <w:nsid w:val="1D545C4D"/>
    <w:multiLevelType w:val="hybridMultilevel"/>
    <w:lvl w:ilvl="0">
      <w:lvlJc w:val="left"/>
      <w:lvlText w:val="%1."/>
      <w:numFmt w:val="decimal"/>
      <w:start w:val="13"/>
    </w:lvl>
  </w:abstractNum>
  <w:abstractNum w:abstractNumId="27">
    <w:nsid w:val="59ADEA3D"/>
    <w:multiLevelType w:val="hybridMultilevel"/>
    <w:lvl w:ilvl="0">
      <w:lvlJc w:val="left"/>
      <w:lvlText w:val="%1."/>
      <w:numFmt w:val="decimal"/>
      <w:start w:val="14"/>
    </w:lvl>
  </w:abstractNum>
  <w:abstractNum w:abstractNumId="28">
    <w:nsid w:val="288F1A34"/>
    <w:multiLevelType w:val="hybridMultilevel"/>
    <w:lvl w:ilvl="0">
      <w:lvlJc w:val="left"/>
      <w:lvlText w:val="%1."/>
      <w:numFmt w:val="decimal"/>
      <w:start w:val="15"/>
    </w:lvl>
  </w:abstractNum>
  <w:abstractNum w:abstractNumId="29">
    <w:nsid w:val="2A155DBC"/>
    <w:multiLevelType w:val="hybridMultilevel"/>
    <w:lvl w:ilvl="0">
      <w:lvlJc w:val="left"/>
      <w:lvlText w:val="%1."/>
      <w:numFmt w:val="decimal"/>
      <w:start w:val="16"/>
    </w:lvl>
  </w:abstractNum>
  <w:abstractNum w:abstractNumId="30">
    <w:nsid w:val="1D9F6E5F"/>
    <w:multiLevelType w:val="hybridMultilevel"/>
    <w:lvl w:ilvl="0">
      <w:lvlJc w:val="left"/>
      <w:lvlText w:val="%1."/>
      <w:numFmt w:val="decimal"/>
      <w:start w:val="17"/>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1)"/>
      <w:numFmt w:val="lowerLetter"/>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1)"/>
      <w:numFmt w:val="lowerLetter"/>
      <w:start w:val="1"/>
    </w:lvl>
  </w:abstractNum>
  <w:abstractNum w:abstractNumId="40">
    <w:nsid w:val="E7FFA2B"/>
    <w:multiLevelType w:val="hybridMultilevel"/>
    <w:lvl w:ilvl="0">
      <w:lvlJc w:val="left"/>
      <w:lvlText w:val="(%1)"/>
      <w:numFmt w:val="lowerLetter"/>
      <w:start w:val="1"/>
    </w:lvl>
  </w:abstractNum>
  <w:abstractNum w:abstractNumId="41">
    <w:nsid w:val="3C5991AA"/>
    <w:multiLevelType w:val="hybridMultilevel"/>
    <w:lvl w:ilvl="0">
      <w:lvlJc w:val="left"/>
      <w:lvlText w:val="(%1)"/>
      <w:numFmt w:val="lowerLetter"/>
      <w:start w:val="1"/>
    </w:lvl>
  </w:abstractNum>
  <w:abstractNum w:abstractNumId="42">
    <w:nsid w:val="4BD8591A"/>
    <w:multiLevelType w:val="hybridMultilevel"/>
    <w:lvl w:ilvl="0">
      <w:lvlJc w:val="left"/>
      <w:lvlText w:val="(%1)"/>
      <w:numFmt w:val="lowerLetter"/>
      <w:start w:val="1"/>
    </w:lvl>
  </w:abstractNum>
  <w:abstractNum w:abstractNumId="43">
    <w:nsid w:val="78DF6A55"/>
    <w:multiLevelType w:val="hybridMultilevel"/>
    <w:lvl w:ilvl="0">
      <w:lvlJc w:val="left"/>
      <w:lvlText w:val="(%1)"/>
      <w:numFmt w:val="lowerLetter"/>
      <w:start w:val="2"/>
    </w:lvl>
  </w:abstractNum>
  <w:abstractNum w:abstractNumId="44">
    <w:nsid w:val="39B7AAA2"/>
    <w:multiLevelType w:val="hybridMultilevel"/>
    <w:lvl w:ilvl="0">
      <w:lvlJc w:val="left"/>
      <w:lvlText w:val="(%1)"/>
      <w:numFmt w:val="lowerLetter"/>
      <w:start w:val="1"/>
    </w:lvl>
  </w:abstractNum>
  <w:abstractNum w:abstractNumId="45">
    <w:nsid w:val="2B0D8DBE"/>
    <w:multiLevelType w:val="hybridMultilevel"/>
    <w:lvl w:ilvl="0">
      <w:lvlJc w:val="left"/>
      <w:lvlText w:val="(%1)"/>
      <w:numFmt w:val="lowerLetter"/>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1)"/>
      <w:numFmt w:val="lowerLetter"/>
      <w:start w:val="1"/>
    </w:lvl>
  </w:abstractNum>
  <w:abstractNum w:abstractNumId="51">
    <w:nsid w:val="6AA7B75C"/>
    <w:multiLevelType w:val="hybridMultilevel"/>
    <w:lvl w:ilvl="0">
      <w:lvlJc w:val="left"/>
      <w:lvlText w:val="(%1)"/>
      <w:numFmt w:val="lowerLetter"/>
      <w:start w:val="2"/>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1"/>
    </w:lvl>
  </w:abstractNum>
  <w:abstractNum w:abstractNumId="54">
    <w:nsid w:val="3DD15094"/>
    <w:multiLevelType w:val="hybridMultilevel"/>
    <w:lvl w:ilvl="0">
      <w:lvlJc w:val="left"/>
      <w:lvlText w:val="(%1)"/>
      <w:numFmt w:val="decimal"/>
      <w:start w:val="2"/>
    </w:lvl>
  </w:abstractNum>
  <w:abstractNum w:abstractNumId="55">
    <w:nsid w:val="3DB012B3"/>
    <w:multiLevelType w:val="hybridMultilevel"/>
    <w:lvl w:ilvl="0">
      <w:lvlJc w:val="left"/>
      <w:lvlText w:val="(%1)"/>
      <w:numFmt w:val="lowerRoman"/>
      <w:start w:val="1"/>
    </w:lvl>
  </w:abstractNum>
  <w:abstractNum w:abstractNumId="56">
    <w:nsid w:val="2708C9AF"/>
    <w:multiLevelType w:val="hybridMultilevel"/>
    <w:lvl w:ilvl="0">
      <w:lvlJc w:val="left"/>
      <w:lvlText w:val="(%1)"/>
      <w:numFmt w:val="lowerLetter"/>
      <w:start w:val="4"/>
    </w:lvl>
  </w:abstractNum>
  <w:abstractNum w:abstractNumId="57">
    <w:nsid w:val="5B25ACE2"/>
    <w:multiLevelType w:val="hybridMultilevel"/>
    <w:lvl w:ilvl="0">
      <w:lvlJc w:val="left"/>
      <w:lvlText w:val="(%1)"/>
      <w:numFmt w:val="lowerLetter"/>
      <w:start w:val="1"/>
    </w:lvl>
  </w:abstractNum>
  <w:abstractNum w:abstractNumId="58">
    <w:nsid w:val="175DFCF0"/>
    <w:multiLevelType w:val="hybridMultilevel"/>
    <w:lvl w:ilvl="0">
      <w:lvlJc w:val="left"/>
      <w:lvlText w:val="(%1)"/>
      <w:numFmt w:val="lowerLetter"/>
      <w:start w:val="2"/>
    </w:lvl>
  </w:abstractNum>
  <w:abstractNum w:abstractNumId="59">
    <w:nsid w:val="4F97E3E4"/>
    <w:multiLevelType w:val="hybridMultilevel"/>
    <w:lvl w:ilvl="0">
      <w:lvlJc w:val="left"/>
      <w:lvlText w:val="(%1)"/>
      <w:numFmt w:val="lowerLetter"/>
      <w:start w:val="5"/>
    </w:lvl>
  </w:abstractNum>
  <w:abstractNum w:abstractNumId="60">
    <w:nsid w:val="53B0A9E"/>
    <w:multiLevelType w:val="hybridMultilevel"/>
    <w:lvl w:ilvl="0">
      <w:lvlJc w:val="left"/>
      <w:lvlText w:val="(%1)"/>
      <w:numFmt w:val="lowerLetter"/>
      <w:start w:val="10"/>
    </w:lvl>
  </w:abstractNum>
  <w:abstractNum w:abstractNumId="61">
    <w:nsid w:val="34FD6B4F"/>
    <w:multiLevelType w:val="hybridMultilevel"/>
    <w:lvl w:ilvl="0">
      <w:lvlJc w:val="left"/>
      <w:lvlText w:val="(%1)"/>
      <w:numFmt w:val="lowerLetter"/>
      <w:start w:val="2"/>
    </w:lvl>
  </w:abstractNum>
  <w:abstractNum w:abstractNumId="62">
    <w:nsid w:val="5915FF32"/>
    <w:multiLevelType w:val="hybridMultilevel"/>
    <w:lvl w:ilvl="0">
      <w:lvlJc w:val="left"/>
      <w:lvlText w:val="(%1)"/>
      <w:numFmt w:val="lowerLetter"/>
      <w:start w:val="7"/>
    </w:lvl>
  </w:abstractNum>
  <w:abstractNum w:abstractNumId="63">
    <w:nsid w:val="56438D15"/>
    <w:multiLevelType w:val="hybridMultilevel"/>
    <w:lvl w:ilvl="0">
      <w:lvlJc w:val="left"/>
      <w:lvlText w:val="(%1)"/>
      <w:numFmt w:val="lowerLetter"/>
      <w:start w:val="11"/>
    </w:lvl>
  </w:abstractNum>
  <w:abstractNum w:abstractNumId="64">
    <w:nsid w:val="519E3149"/>
    <w:multiLevelType w:val="hybridMultilevel"/>
    <w:lvl w:ilvl="0">
      <w:lvlJc w:val="left"/>
      <w:lvlText w:val="(%1)"/>
      <w:numFmt w:val="lowerLetter"/>
      <w:start w:val="2"/>
    </w:lvl>
  </w:abstractNum>
  <w:abstractNum w:abstractNumId="65">
    <w:nsid w:val="2C6E4AFD"/>
    <w:multiLevelType w:val="hybridMultilevel"/>
    <w:lvl w:ilvl="0">
      <w:lvlJc w:val="left"/>
      <w:lvlText w:val="(%1)"/>
      <w:numFmt w:val="lowerLetter"/>
      <w:start w:val="2"/>
    </w:lvl>
    <w:lvl w:ilvl="1">
      <w:lvlJc w:val="left"/>
      <w:lvlText w:val="(%2)"/>
      <w:numFmt w:val="lowerLetter"/>
      <w:start w:val="35"/>
    </w:lvl>
  </w:abstractNum>
  <w:abstractNum w:abstractNumId="66">
    <w:nsid w:val="17A1B582"/>
    <w:multiLevelType w:val="hybridMultilevel"/>
    <w:lvl w:ilvl="0">
      <w:lvlJc w:val="left"/>
      <w:lvlText w:val="(%1)"/>
      <w:numFmt w:val="lowerRoman"/>
      <w:start w:val="3"/>
    </w:lvl>
  </w:abstractNum>
  <w:abstractNum w:abstractNumId="67">
    <w:nsid w:val="4DF72E4E"/>
    <w:multiLevelType w:val="hybridMultilevel"/>
    <w:lvl w:ilvl="0">
      <w:lvlJc w:val="left"/>
      <w:lvlText w:val="%1"/>
      <w:numFmt w:val="lowerLetter"/>
      <w:start w:val="1"/>
    </w:lvl>
    <w:lvl w:ilvl="1">
      <w:lvlJc w:val="left"/>
      <w:lvlText w:val="(%2)"/>
      <w:numFmt w:val="lowerLetter"/>
      <w:start w:val="35"/>
    </w:lvl>
  </w:abstractNum>
  <w:abstractNum w:abstractNumId="68">
    <w:nsid w:val="5046B5A9"/>
    <w:multiLevelType w:val="hybridMultilevel"/>
    <w:lvl w:ilvl="0">
      <w:lvlJc w:val="left"/>
      <w:lvlText w:val="(%1)"/>
      <w:numFmt w:val="lowerLetter"/>
      <w:start w:val="2"/>
    </w:lvl>
    <w:lvl w:ilvl="1">
      <w:lvlJc w:val="left"/>
      <w:lvlText w:val="(%2)"/>
      <w:numFmt w:val="lowerLetter"/>
      <w:start w:val="35"/>
    </w:lvl>
  </w:abstractNum>
  <w:abstractNum w:abstractNumId="69">
    <w:nsid w:val="5D888A08"/>
    <w:multiLevelType w:val="hybridMultilevel"/>
    <w:lvl w:ilvl="0">
      <w:lvlJc w:val="left"/>
      <w:lvlText w:val="%1"/>
      <w:numFmt w:val="lowerLetter"/>
      <w:start w:val="1"/>
    </w:lvl>
    <w:lvl w:ilvl="1">
      <w:lvlJc w:val="left"/>
      <w:lvlText w:val="(%2)"/>
      <w:numFmt w:val="lowerLetter"/>
      <w:start w:val="3"/>
    </w:lvl>
  </w:abstractNum>
  <w:abstractNum w:abstractNumId="70">
    <w:nsid w:val="2A082C70"/>
    <w:multiLevelType w:val="hybridMultilevel"/>
    <w:lvl w:ilvl="0">
      <w:lvlJc w:val="left"/>
      <w:lvlText w:val="(%1)"/>
      <w:numFmt w:val="lowerLetter"/>
      <w:start w:val="35"/>
    </w:lvl>
    <w:lvl w:ilvl="1">
      <w:lvlJc w:val="left"/>
      <w:lvlText w:val="(%2)"/>
      <w:numFmt w:val="lowerLetter"/>
      <w:start w:val="4"/>
    </w:lvl>
  </w:abstractNum>
  <w:abstractNum w:abstractNumId="71">
    <w:nsid w:val="5EC6AFD4"/>
    <w:multiLevelType w:val="hybridMultilevel"/>
    <w:lvl w:ilvl="0">
      <w:lvlJc w:val="left"/>
      <w:lvlText w:val="(%1)"/>
      <w:numFmt w:val="lowerLetter"/>
      <w:start w:val="2"/>
    </w:lvl>
    <w:lvl w:ilvl="1">
      <w:lvlJc w:val="left"/>
      <w:lvlText w:val="(%2)"/>
      <w:numFmt w:val="lowerRoman"/>
      <w:start w:val="2"/>
    </w:lvl>
  </w:abstractNum>
  <w:abstractNum w:abstractNumId="72">
    <w:nsid w:val="19E21BB2"/>
    <w:multiLevelType w:val="hybridMultilevel"/>
    <w:lvl w:ilvl="0">
      <w:lvlJc w:val="left"/>
      <w:lvlText w:val="(%1)"/>
      <w:numFmt w:val="lowerRoman"/>
      <w:start w:val="1"/>
    </w:lvl>
  </w:abstractNum>
  <w:abstractNum w:abstractNumId="73">
    <w:nsid w:val="75E0858A"/>
    <w:multiLevelType w:val="hybridMultilevel"/>
    <w:lvl w:ilvl="0">
      <w:lvlJc w:val="left"/>
      <w:lvlText w:val="(%1)"/>
      <w:numFmt w:val="lowerLetter"/>
      <w:start w:val="2"/>
    </w:lvl>
    <w:lvl w:ilvl="1">
      <w:lvlJc w:val="left"/>
      <w:lvlText w:val="(%2)"/>
      <w:numFmt w:val="lowerRoman"/>
      <w:start w:val="1"/>
    </w:lvl>
  </w:abstractNum>
  <w:abstractNum w:abstractNumId="74">
    <w:nsid w:val="57A61A29"/>
    <w:multiLevelType w:val="hybridMultilevel"/>
    <w:lvl w:ilvl="0">
      <w:lvlJc w:val="left"/>
      <w:lvlText w:val="(%1)"/>
      <w:numFmt w:val="lowerLetter"/>
      <w:start w:val="3"/>
    </w:lvl>
    <w:lvl w:ilvl="1">
      <w:lvlJc w:val="left"/>
      <w:lvlText w:val="(%2)"/>
      <w:numFmt w:val="upperLetter"/>
      <w:start w:val="1"/>
    </w:lvl>
  </w:abstractNum>
  <w:abstractNum w:abstractNumId="75">
    <w:nsid w:val="5399C654"/>
    <w:multiLevelType w:val="hybridMultilevel"/>
    <w:lvl w:ilvl="0">
      <w:lvlJc w:val="left"/>
      <w:lvlText w:val="%1"/>
      <w:numFmt w:val="decimal"/>
      <w:start w:val="1"/>
    </w:lvl>
    <w:lvl w:ilvl="1">
      <w:lvlJc w:val="left"/>
      <w:lvlText w:val="(%2)"/>
      <w:numFmt w:val="upperLetter"/>
      <w:start w:val="3"/>
    </w:lvl>
  </w:abstractNum>
  <w:abstractNum w:abstractNumId="76">
    <w:nsid w:val="20EE1348"/>
    <w:multiLevelType w:val="hybridMultilevel"/>
    <w:lvl w:ilvl="0">
      <w:lvlJc w:val="left"/>
      <w:lvlText w:val="(%1)"/>
      <w:numFmt w:val="decimal"/>
      <w:start w:val="2"/>
    </w:lvl>
    <w:lvl w:ilvl="1">
      <w:lvlJc w:val="left"/>
      <w:lvlText w:val="(%2)"/>
      <w:numFmt w:val="upperLetter"/>
      <w:start w:val="4"/>
    </w:lvl>
  </w:abstractNum>
  <w:abstractNum w:abstractNumId="77">
    <w:nsid w:val="4427069A"/>
    <w:multiLevelType w:val="hybridMultilevel"/>
    <w:lvl w:ilvl="0">
      <w:lvlJc w:val="left"/>
      <w:lvlText w:val="(%1)"/>
      <w:numFmt w:val="lowerLetter"/>
      <w:start w:val="4"/>
    </w:lvl>
    <w:lvl w:ilvl="1">
      <w:lvlJc w:val="left"/>
      <w:lvlText w:val="(%2)"/>
      <w:numFmt w:val="lowerLetter"/>
      <w:start w:val="35"/>
    </w:lvl>
  </w:abstractNum>
  <w:abstractNum w:abstractNumId="78">
    <w:nsid w:val="B37E80A"/>
    <w:multiLevelType w:val="hybridMultilevel"/>
    <w:lvl w:ilvl="0">
      <w:lvlJc w:val="left"/>
      <w:lvlText w:val="(%1)"/>
      <w:numFmt w:val="lowerLetter"/>
      <w:start w:val="1"/>
    </w:lvl>
  </w:abstractNum>
  <w:abstractNum w:abstractNumId="79">
    <w:nsid w:val="2157F6BC"/>
    <w:multiLevelType w:val="hybridMultilevel"/>
    <w:lvl w:ilvl="0">
      <w:lvlJc w:val="left"/>
      <w:lvlText w:val="(%1)"/>
      <w:numFmt w:val="decimal"/>
      <w:start w:val="3"/>
    </w:lvl>
  </w:abstractNum>
  <w:abstractNum w:abstractNumId="80">
    <w:nsid w:val="704E1DD5"/>
    <w:multiLevelType w:val="hybridMultilevel"/>
    <w:lvl w:ilvl="0">
      <w:lvlJc w:val="left"/>
      <w:lvlText w:val="(%1)"/>
      <w:numFmt w:val="lowerLetter"/>
      <w:start w:val="2"/>
    </w:lvl>
  </w:abstractNum>
  <w:abstractNum w:abstractNumId="81">
    <w:nsid w:val="57D2F10E"/>
    <w:multiLevelType w:val="hybridMultilevel"/>
    <w:lvl w:ilvl="0">
      <w:lvlJc w:val="left"/>
      <w:lvlText w:val="(%1)"/>
      <w:numFmt w:val="lowerLetter"/>
      <w:start w:val="2"/>
    </w:lvl>
  </w:abstractNum>
  <w:abstractNum w:abstractNumId="82">
    <w:nsid w:val="BFFAE18"/>
    <w:multiLevelType w:val="hybridMultilevel"/>
    <w:lvl w:ilvl="0">
      <w:lvlJc w:val="left"/>
      <w:lvlText w:val="(%1)"/>
      <w:numFmt w:val="lowerLetter"/>
      <w:start w:val="3"/>
    </w:lvl>
  </w:abstractNum>
  <w:abstractNum w:abstractNumId="83">
    <w:nsid w:val="E3E47A8"/>
    <w:multiLevelType w:val="hybridMultilevel"/>
    <w:lvl w:ilvl="0">
      <w:lvlJc w:val="left"/>
      <w:lvlText w:val="(%1)"/>
      <w:numFmt w:val="lowerLetter"/>
      <w:start w:val="2"/>
    </w:lvl>
  </w:abstractNum>
  <w:abstractNum w:abstractNumId="84">
    <w:nsid w:val="2E48F044"/>
    <w:multiLevelType w:val="hybridMultilevel"/>
    <w:lvl w:ilvl="0">
      <w:lvlJc w:val="left"/>
      <w:lvlText w:val="%1"/>
      <w:numFmt w:val="lowerLetter"/>
      <w:start w:val="1"/>
    </w:lvl>
    <w:lvl w:ilvl="1">
      <w:lvlJc w:val="left"/>
      <w:lvlText w:val="(%2)"/>
      <w:numFmt w:val="lowerRoman"/>
      <w:start w:val="1"/>
    </w:lvl>
  </w:abstractNum>
  <w:abstractNum w:abstractNumId="85">
    <w:nsid w:val="49D0FEAC"/>
    <w:multiLevelType w:val="hybridMultilevel"/>
    <w:lvl w:ilvl="0">
      <w:lvlJc w:val="left"/>
      <w:lvlText w:val="(%1)"/>
      <w:numFmt w:val="lowerLetter"/>
      <w:start w:val="2"/>
    </w:lvl>
    <w:lvl w:ilvl="1">
      <w:lvlJc w:val="left"/>
      <w:lvlText w:val="%2"/>
      <w:numFmt w:val="lowerRoman"/>
      <w:start w:val="1"/>
    </w:lvl>
  </w:abstractNum>
  <w:abstractNum w:abstractNumId="86">
    <w:nsid w:val="4BEE5A5B"/>
    <w:multiLevelType w:val="hybridMultilevel"/>
    <w:lvl w:ilvl="0">
      <w:lvlJc w:val="left"/>
      <w:lvlText w:val="%1"/>
      <w:numFmt w:val="lowerLetter"/>
      <w:start w:val="1"/>
    </w:lvl>
    <w:lvl w:ilvl="1">
      <w:lvlJc w:val="left"/>
      <w:lvlText w:val="(%2)"/>
      <w:numFmt w:val="lowerLetter"/>
      <w:start w:val="2"/>
    </w:lvl>
  </w:abstractNum>
  <w:abstractNum w:abstractNumId="87">
    <w:nsid w:val="5551B9F3"/>
    <w:multiLevelType w:val="hybridMultilevel"/>
    <w:lvl w:ilvl="0">
      <w:lvlJc w:val="left"/>
      <w:lvlText w:val="(%1)"/>
      <w:numFmt w:val="lowerLetter"/>
      <w:start w:val="9"/>
    </w:lvl>
    <w:lvl w:ilvl="1">
      <w:lvlJc w:val="left"/>
      <w:lvlText w:val="%2"/>
      <w:numFmt w:val="lowerLetter"/>
      <w:start w:val="1"/>
    </w:lvl>
  </w:abstractNum>
  <w:abstractNum w:abstractNumId="88">
    <w:nsid w:val="24F6AB8E"/>
    <w:multiLevelType w:val="hybridMultilevel"/>
    <w:lvl w:ilvl="0">
      <w:lvlJc w:val="left"/>
      <w:lvlText w:val="(%1)"/>
      <w:numFmt w:val="lowerLetter"/>
      <w:start w:val="3"/>
    </w:lvl>
  </w:abstractNum>
  <w:abstractNum w:abstractNumId="89">
    <w:nsid w:val="634C574C"/>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0">
    <w:nsid w:val="24E99DD7"/>
    <w:multiLevelType w:val="hybridMultilevel"/>
    <w:lvl w:ilvl="0">
      <w:lvlJc w:val="left"/>
      <w:lvlText w:val="(%1)"/>
      <w:numFmt w:val="lowerLetter"/>
      <w:start w:val="35"/>
    </w:lvl>
    <w:lvl w:ilvl="1">
      <w:lvlJc w:val="left"/>
      <w:lvlText w:val="(%2)"/>
      <w:numFmt w:val="lowerLetter"/>
      <w:start w:val="9"/>
    </w:lvl>
    <w:lvl w:ilvl="2">
      <w:lvlJc w:val="left"/>
      <w:lvlText w:val="(%3)"/>
      <w:numFmt w:val="lowerRoman"/>
      <w:start w:val="1"/>
    </w:lvl>
  </w:abstractNum>
  <w:abstractNum w:abstractNumId="91">
    <w:nsid w:val="2A31B62D"/>
    <w:multiLevelType w:val="hybridMultilevel"/>
    <w:lvl w:ilvl="0">
      <w:lvlJc w:val="left"/>
      <w:lvlText w:val="(%1)"/>
      <w:numFmt w:val="lowerLetter"/>
      <w:start w:val="2"/>
    </w:lvl>
  </w:abstractNum>
  <w:abstractNum w:abstractNumId="92">
    <w:nsid w:val="1849C29B"/>
    <w:multiLevelType w:val="hybridMultilevel"/>
    <w:lvl w:ilvl="0">
      <w:lvlJc w:val="left"/>
      <w:lvlText w:val="(%1)"/>
      <w:numFmt w:val="lowerLetter"/>
      <w:start w:val="4"/>
    </w:lvl>
  </w:abstractNum>
  <w:abstractNum w:abstractNumId="93">
    <w:nsid w:val="7DFF9D09"/>
    <w:multiLevelType w:val="hybridMultilevel"/>
    <w:lvl w:ilvl="0">
      <w:lvlJc w:val="left"/>
      <w:lvlText w:val="(%1)"/>
      <w:numFmt w:val="lowerLetter"/>
      <w:start w:val="2"/>
    </w:lvl>
  </w:abstractNum>
  <w:abstractNum w:abstractNumId="94">
    <w:nsid w:val="754342"/>
    <w:multiLevelType w:val="hybridMultilevel"/>
    <w:lvl w:ilvl="0">
      <w:lvlJc w:val="left"/>
      <w:lvlText w:val="(%1)"/>
      <w:numFmt w:val="lowerRoman"/>
      <w:start w:val="1"/>
    </w:lvl>
  </w:abstractNum>
  <w:abstractNum w:abstractNumId="95">
    <w:nsid w:val="69E7F3E5"/>
    <w:multiLevelType w:val="hybridMultilevel"/>
    <w:lvl w:ilvl="0">
      <w:lvlJc w:val="left"/>
      <w:lvlText w:val="%1"/>
      <w:numFmt w:val="upperLetter"/>
      <w:start w:val="1"/>
    </w:lvl>
    <w:lvl w:ilvl="1">
      <w:lvlJc w:val="left"/>
      <w:lvlText w:val="(%2)"/>
      <w:numFmt w:val="lowerRoman"/>
      <w:start w:val="1"/>
    </w:lvl>
  </w:abstractNum>
  <w:abstractNum w:abstractNumId="96">
    <w:nsid w:val="2A6DE806"/>
    <w:multiLevelType w:val="hybridMultilevel"/>
    <w:lvl w:ilvl="0">
      <w:lvlJc w:val="left"/>
      <w:lvlText w:val="(%1)"/>
      <w:numFmt w:val="upperLetter"/>
      <w:start w:val="3"/>
    </w:lvl>
    <w:lvl w:ilvl="1">
      <w:lvlJc w:val="left"/>
      <w:lvlText w:val="%2"/>
      <w:numFmt w:val="lowerRoman"/>
      <w:start w:val="1"/>
    </w:lvl>
  </w:abstractNum>
  <w:abstractNum w:abstractNumId="97">
    <w:nsid w:val="1816F8C4"/>
    <w:multiLevelType w:val="hybridMultilevel"/>
    <w:lvl w:ilvl="0">
      <w:lvlJc w:val="left"/>
      <w:lvlText w:val="(%1)"/>
      <w:numFmt w:val="lowerRoman"/>
      <w:start w:val="2"/>
    </w:lvl>
  </w:abstractNum>
  <w:abstractNum w:abstractNumId="98">
    <w:nsid w:val="37DF2233"/>
    <w:multiLevelType w:val="hybridMultilevel"/>
    <w:lvl w:ilvl="0">
      <w:lvlJc w:val="left"/>
      <w:lvlText w:val="(%1)"/>
      <w:numFmt w:val="lowerLetter"/>
      <w:start w:val="2"/>
    </w:lvl>
  </w:abstractNum>
  <w:abstractNum w:abstractNumId="99">
    <w:nsid w:val="7AB49DAF"/>
    <w:multiLevelType w:val="hybridMultilevel"/>
    <w:lvl w:ilvl="0">
      <w:lvlJc w:val="left"/>
      <w:lvlText w:val="(%1)"/>
      <w:numFmt w:val="lowerLetter"/>
      <w:start w:val="2"/>
    </w:lvl>
  </w:abstractNum>
  <w:abstractNum w:abstractNumId="100">
    <w:nsid w:val="759F82CD"/>
    <w:multiLevelType w:val="hybridMultilevel"/>
    <w:lvl w:ilvl="0">
      <w:lvlJc w:val="left"/>
      <w:lvlText w:val="%1"/>
      <w:numFmt w:val="lowerLetter"/>
      <w:start w:val="1"/>
    </w:lvl>
    <w:lvl w:ilvl="1">
      <w:lvlJc w:val="left"/>
      <w:lvlText w:val="(%2)"/>
      <w:numFmt w:val="lowerLetter"/>
      <w:start w:val="2"/>
    </w:lvl>
  </w:abstractNum>
  <w:abstractNum w:abstractNumId="101">
    <w:nsid w:val="61E74EA3"/>
    <w:multiLevelType w:val="hybridMultilevel"/>
    <w:lvl w:ilvl="0">
      <w:lvlJc w:val="left"/>
      <w:lvlText w:val="(%1)"/>
      <w:numFmt w:val="lowerLetter"/>
      <w:start w:val="25"/>
    </w:lvl>
    <w:lvl w:ilvl="1">
      <w:lvlJc w:val="left"/>
      <w:lvlText w:val="(%2)"/>
      <w:numFmt w:val="lowerLetter"/>
      <w:start w:val="3"/>
    </w:lvl>
  </w:abstractNum>
  <w:abstractNum w:abstractNumId="102">
    <w:nsid w:val="597B4D84"/>
    <w:multiLevelType w:val="hybridMultilevel"/>
    <w:lvl w:ilvl="0">
      <w:lvlJc w:val="left"/>
      <w:lvlText w:val="(%1)"/>
      <w:numFmt w:val="lowerLetter"/>
      <w:start w:val="2"/>
    </w:lvl>
  </w:abstractNum>
  <w:abstractNum w:abstractNumId="103">
    <w:nsid w:val="F819E7F"/>
    <w:multiLevelType w:val="hybridMultilevel"/>
    <w:lvl w:ilvl="0">
      <w:lvlJc w:val="left"/>
      <w:lvlText w:val="(%1)"/>
      <w:numFmt w:val="decimal"/>
      <w:start w:val="1"/>
    </w:lvl>
  </w:abstractNum>
  <w:abstractNum w:abstractNumId="104">
    <w:nsid w:val="57C7D42D"/>
    <w:multiLevelType w:val="hybridMultilevel"/>
    <w:lvl w:ilvl="0">
      <w:lvlJc w:val="left"/>
      <w:lvlText w:val="(%1)"/>
      <w:numFmt w:val="decimal"/>
      <w:start w:val="3"/>
    </w:lvl>
  </w:abstractNum>
  <w:abstractNum w:abstractNumId="105">
    <w:nsid w:val="312167AD"/>
    <w:multiLevelType w:val="hybridMultilevel"/>
    <w:lvl w:ilvl="0">
      <w:lvlJc w:val="left"/>
      <w:lvlText w:val="(%1)"/>
      <w:numFmt w:val="decimal"/>
      <w:start w:val="4"/>
    </w:lvl>
  </w:abstractNum>
  <w:abstractNum w:abstractNumId="106">
    <w:nsid w:val="631B64D4"/>
    <w:multiLevelType w:val="hybridMultilevel"/>
    <w:lvl w:ilvl="0">
      <w:lvlJc w:val="left"/>
      <w:lvlText w:val="(%1)"/>
      <w:numFmt w:val="lowerLetter"/>
      <w:start w:val="3"/>
    </w:lvl>
  </w:abstractNum>
  <w:abstractNum w:abstractNumId="107">
    <w:nsid w:val="78B5E776"/>
    <w:multiLevelType w:val="hybridMultilevel"/>
    <w:lvl w:ilvl="0">
      <w:lvlJc w:val="left"/>
      <w:lvlText w:val="(%1)"/>
      <w:numFmt w:val="lowerLetter"/>
      <w:start w:val="1"/>
    </w:lvl>
  </w:abstractNum>
  <w:abstractNum w:abstractNumId="108">
    <w:nsid w:val="75486E47"/>
    <w:multiLevelType w:val="hybridMultilevel"/>
    <w:lvl w:ilvl="0">
      <w:lvlJc w:val="left"/>
      <w:lvlText w:val="(%1)"/>
      <w:numFmt w:val="lowerLetter"/>
      <w:start w:val="2"/>
    </w:lvl>
  </w:abstractNum>
  <w:abstractNum w:abstractNumId="109">
    <w:nsid w:val="6E534CDE"/>
    <w:multiLevelType w:val="hybridMultilevel"/>
    <w:lvl w:ilvl="0">
      <w:lvlJc w:val="left"/>
      <w:lvlText w:val="(%1)"/>
      <w:numFmt w:val="lowerLetter"/>
      <w:start w:val="1"/>
    </w:lvl>
  </w:abstractNum>
  <w:abstractNum w:abstractNumId="110">
    <w:nsid w:val="1A0DDE32"/>
    <w:multiLevelType w:val="hybridMultilevel"/>
    <w:lvl w:ilvl="0">
      <w:lvlJc w:val="left"/>
      <w:lvlText w:val="(%1)"/>
      <w:numFmt w:val="lowerLetter"/>
      <w:start w:val="4"/>
    </w:lvl>
  </w:abstractNum>
  <w:abstractNum w:abstractNumId="111">
    <w:nsid w:val="65968C1C"/>
    <w:multiLevelType w:val="hybridMultilevel"/>
    <w:lvl w:ilvl="0">
      <w:lvlJc w:val="left"/>
      <w:lvlText w:val="(%1)"/>
      <w:numFmt w:val="lowerLetter"/>
      <w:start w:val="2"/>
    </w:lvl>
  </w:abstractNum>
  <w:abstractNum w:abstractNumId="112">
    <w:nsid w:val="46263DEC"/>
    <w:multiLevelType w:val="hybridMultilevel"/>
    <w:lvl w:ilvl="0">
      <w:lvlJc w:val="left"/>
      <w:lvlText w:val="(%1)"/>
      <w:numFmt w:val="lowerLetter"/>
      <w:start w:val="2"/>
    </w:lvl>
  </w:abstractNum>
  <w:abstractNum w:abstractNumId="113">
    <w:nsid w:val="260D8C4A"/>
    <w:multiLevelType w:val="hybridMultilevel"/>
    <w:lvl w:ilvl="0">
      <w:lvlJc w:val="left"/>
      <w:lvlText w:val="(%1)"/>
      <w:numFmt w:val="lowerLetter"/>
      <w:start w:val="1"/>
    </w:lvl>
  </w:abstractNum>
  <w:abstractNum w:abstractNumId="114">
    <w:nsid w:val="73D4D3C4"/>
    <w:multiLevelType w:val="hybridMultilevel"/>
    <w:lvl w:ilvl="0">
      <w:lvlJc w:val="left"/>
      <w:lvlText w:val="(%1)"/>
      <w:numFmt w:val="lowerRoman"/>
      <w:start w:val="6"/>
    </w:lvl>
  </w:abstractNum>
  <w:abstractNum w:abstractNumId="115">
    <w:nsid w:val="746F2E30"/>
    <w:multiLevelType w:val="hybridMultilevel"/>
    <w:lvl w:ilvl="0">
      <w:lvlJc w:val="left"/>
      <w:lvlText w:val="(%1)"/>
      <w:numFmt w:val="lowerRoman"/>
      <w:start w:val="6"/>
    </w:lvl>
  </w:abstractNum>
  <w:abstractNum w:abstractNumId="116">
    <w:nsid w:val="6FDE8AF6"/>
    <w:multiLevelType w:val="hybridMultilevel"/>
    <w:lvl w:ilvl="0">
      <w:lvlJc w:val="left"/>
      <w:lvlText w:val="(%1)"/>
      <w:numFmt w:val="decimal"/>
      <w:start w:val="1"/>
    </w:lvl>
  </w:abstractNum>
  <w:abstractNum w:abstractNumId="117">
    <w:nsid w:val="3FC32E20"/>
    <w:multiLevelType w:val="hybridMultilevel"/>
    <w:lvl w:ilvl="0">
      <w:lvlJc w:val="left"/>
      <w:lvlText w:val="(%1)"/>
      <w:numFmt w:val="decimal"/>
      <w:start w:val="2"/>
    </w:lvl>
  </w:abstractNum>
  <w:abstractNum w:abstractNumId="118">
    <w:nsid w:val="49C0E823"/>
    <w:multiLevelType w:val="hybridMultilevel"/>
    <w:lvl w:ilvl="0">
      <w:lvlJc w:val="left"/>
      <w:lvlText w:val="(%1)"/>
      <w:numFmt w:val="lowerRoman"/>
      <w:start w:val="1"/>
    </w:lvl>
  </w:abstractNum>
  <w:abstractNum w:abstractNumId="119">
    <w:nsid w:val="14D53685"/>
    <w:multiLevelType w:val="hybridMultilevel"/>
    <w:lvl w:ilvl="0">
      <w:lvlJc w:val="left"/>
      <w:lvlText w:val="(%1)"/>
      <w:numFmt w:val="lowerLetter"/>
      <w:start w:val="1"/>
    </w:lvl>
  </w:abstractNum>
  <w:abstractNum w:abstractNumId="120">
    <w:nsid w:val="230F856C"/>
    <w:multiLevelType w:val="hybridMultilevel"/>
    <w:lvl w:ilvl="0">
      <w:lvlJc w:val="left"/>
      <w:lvlText w:val="(%1)"/>
      <w:numFmt w:val="lowerLetter"/>
      <w:start w:val="1"/>
    </w:lvl>
  </w:abstractNum>
  <w:abstractNum w:abstractNumId="121">
    <w:nsid w:val="6EAA85FB"/>
    <w:multiLevelType w:val="hybridMultilevel"/>
    <w:lvl w:ilvl="0">
      <w:lvlJc w:val="left"/>
      <w:lvlText w:val="(%1)"/>
      <w:numFmt w:val="lowerLetter"/>
      <w:start w:val="2"/>
    </w:lvl>
  </w:abstractNum>
  <w:abstractNum w:abstractNumId="122">
    <w:nsid w:val="3F06ECB2"/>
    <w:multiLevelType w:val="hybridMultilevel"/>
    <w:lvl w:ilvl="0">
      <w:lvlJc w:val="left"/>
      <w:lvlText w:val="(%1)"/>
      <w:numFmt w:val="lowerLetter"/>
      <w:start w:val="2"/>
    </w:lvl>
  </w:abstractNum>
  <w:abstractNum w:abstractNumId="123">
    <w:nsid w:val="3B594807"/>
    <w:multiLevelType w:val="hybridMultilevel"/>
    <w:lvl w:ilvl="0">
      <w:lvlJc w:val="left"/>
      <w:lvlText w:val="(%1)"/>
      <w:numFmt w:val="lowerLetter"/>
      <w:start w:val="2"/>
    </w:lvl>
  </w:abstractNum>
  <w:abstractNum w:abstractNumId="124">
    <w:nsid w:val="6CAA2304"/>
    <w:multiLevelType w:val="hybridMultilevel"/>
    <w:lvl w:ilvl="0">
      <w:lvlJc w:val="left"/>
      <w:lvlText w:val="(%1)"/>
      <w:numFmt w:val="lowerLetter"/>
      <w:start w:val="2"/>
    </w:lvl>
  </w:abstractNum>
  <w:abstractNum w:abstractNumId="125">
    <w:nsid w:val="3F7C2FF4"/>
    <w:multiLevelType w:val="hybridMultilevel"/>
    <w:lvl w:ilvl="0">
      <w:lvlJc w:val="left"/>
      <w:lvlText w:val="(%1)"/>
      <w:numFmt w:val="lowerLetter"/>
      <w:start w:val="35"/>
    </w:lvl>
    <w:lvl w:ilvl="1">
      <w:lvlJc w:val="left"/>
      <w:lvlText w:val="(%2)"/>
      <w:numFmt w:val="lowerLetter"/>
      <w:start w:val="2"/>
    </w:lvl>
  </w:abstractNum>
  <w:abstractNum w:abstractNumId="126">
    <w:nsid w:val="25413BEC"/>
    <w:multiLevelType w:val="hybridMultilevel"/>
    <w:lvl w:ilvl="0">
      <w:lvlJc w:val="left"/>
      <w:lvlText w:val="(%1)"/>
      <w:numFmt w:val="lowerLetter"/>
      <w:start w:val="1"/>
    </w:lvl>
  </w:abstractNum>
  <w:abstractNum w:abstractNumId="127">
    <w:nsid w:val="17180B0B"/>
    <w:multiLevelType w:val="hybridMultilevel"/>
    <w:lvl w:ilvl="0">
      <w:lvlJc w:val="left"/>
      <w:lvlText w:val="(%1)"/>
      <w:numFmt w:val="lowerLetter"/>
      <w:start w:val="2"/>
    </w:lvl>
  </w:abstractNum>
  <w:abstractNum w:abstractNumId="128">
    <w:nsid w:val="579328B9"/>
    <w:multiLevelType w:val="hybridMultilevel"/>
    <w:lvl w:ilvl="0">
      <w:lvlJc w:val="left"/>
      <w:lvlText w:val="(%1)"/>
      <w:numFmt w:val="lowerLetter"/>
      <w:start w:val="2"/>
    </w:lvl>
  </w:abstractNum>
  <w:abstractNum w:abstractNumId="129">
    <w:nsid w:val="5D205E20"/>
    <w:multiLevelType w:val="hybridMultilevel"/>
    <w:lvl w:ilvl="0">
      <w:lvlJc w:val="left"/>
      <w:lvlText w:val="(%1)"/>
      <w:numFmt w:val="lowerLetter"/>
      <w:start w:val="2"/>
    </w:lvl>
  </w:abstractNum>
  <w:abstractNum w:abstractNumId="130">
    <w:nsid w:val="11CCA8BA"/>
    <w:multiLevelType w:val="hybridMultilevel"/>
    <w:lvl w:ilvl="0">
      <w:lvlJc w:val="left"/>
      <w:lvlText w:val="(%1)"/>
      <w:numFmt w:val="lowerLetter"/>
      <w:start w:val="2"/>
    </w:lvl>
  </w:abstractNum>
  <w:abstractNum w:abstractNumId="131">
    <w:nsid w:val="4D32AB86"/>
    <w:multiLevelType w:val="hybridMultilevel"/>
    <w:lvl w:ilvl="0">
      <w:lvlJc w:val="left"/>
      <w:lvlText w:val="(%1)"/>
      <w:numFmt w:val="lowerLetter"/>
      <w:start w:val="2"/>
    </w:lvl>
  </w:abstractNum>
  <w:abstractNum w:abstractNumId="132">
    <w:nsid w:val="3F07ACC3"/>
    <w:multiLevelType w:val="hybridMultilevel"/>
    <w:lvl w:ilvl="0">
      <w:lvlJc w:val="left"/>
      <w:lvlText w:val="(%1)"/>
      <w:numFmt w:val="lowerRoman"/>
      <w:start w:val="2"/>
    </w:lvl>
  </w:abstractNum>
  <w:abstractNum w:abstractNumId="133">
    <w:nsid w:val="6B47F63E"/>
    <w:multiLevelType w:val="hybridMultilevel"/>
    <w:lvl w:ilvl="0">
      <w:lvlJc w:val="left"/>
      <w:lvlText w:val="(%1)"/>
      <w:numFmt w:val="lowerRoman"/>
      <w:start w:val="1"/>
    </w:lvl>
  </w:abstractNum>
  <w:abstractNum w:abstractNumId="134">
    <w:nsid w:val="5CB44A05"/>
    <w:multiLevelType w:val="hybridMultilevel"/>
    <w:lvl w:ilvl="0">
      <w:lvlJc w:val="left"/>
      <w:lvlText w:val="(%1)"/>
      <w:numFmt w:val="lowerLetter"/>
      <w:start w:val="2"/>
    </w:lvl>
  </w:abstractNum>
  <w:abstractNum w:abstractNumId="135">
    <w:nsid w:val="16CF80F1"/>
    <w:multiLevelType w:val="hybridMultilevel"/>
    <w:lvl w:ilvl="0">
      <w:lvlJc w:val="left"/>
      <w:lvlText w:val="(%1)"/>
      <w:numFmt w:val="lowerLetter"/>
      <w:start w:val="61"/>
    </w:lvl>
    <w:lvl w:ilvl="1">
      <w:lvlJc w:val="left"/>
      <w:lvlText w:val="(%2)"/>
      <w:numFmt w:val="lowerLetter"/>
      <w:start w:val="2"/>
    </w:lvl>
  </w:abstractNum>
  <w:abstractNum w:abstractNumId="136">
    <w:nsid w:val="1C695DEC"/>
    <w:multiLevelType w:val="hybridMultilevel"/>
    <w:lvl w:ilvl="0">
      <w:lvlJc w:val="left"/>
      <w:lvlText w:val="(%1)"/>
      <w:numFmt w:val="lowerLetter"/>
      <w:start w:val="35"/>
    </w:lvl>
    <w:lvl w:ilvl="1">
      <w:lvlJc w:val="left"/>
      <w:lvlText w:val="(%2)"/>
      <w:numFmt w:val="lowerLetter"/>
      <w:start w:val="4"/>
    </w:lvl>
  </w:abstractNum>
  <w:abstractNum w:abstractNumId="137">
    <w:nsid w:val="3FCFAED9"/>
    <w:multiLevelType w:val="hybridMultilevel"/>
    <w:lvl w:ilvl="0">
      <w:lvlJc w:val="left"/>
      <w:lvlText w:val="(%1)"/>
      <w:numFmt w:val="lowerLetter"/>
      <w:start w:val="5"/>
    </w:lvl>
  </w:abstractNum>
  <w:abstractNum w:abstractNumId="138">
    <w:nsid w:val="F856867"/>
    <w:multiLevelType w:val="hybridMultilevel"/>
    <w:lvl w:ilvl="0">
      <w:lvlJc w:val="left"/>
      <w:lvlText w:val="(%1)"/>
      <w:numFmt w:val="lowerLetter"/>
      <w:start w:val="7"/>
    </w:lvl>
  </w:abstractNum>
  <w:abstractNum w:abstractNumId="139">
    <w:nsid w:val="11B1CC33"/>
    <w:multiLevelType w:val="hybridMultilevel"/>
    <w:lvl w:ilvl="0">
      <w:lvlJc w:val="left"/>
      <w:lvlText w:val="(%1)"/>
      <w:numFmt w:val="lowerLetter"/>
      <w:start w:val="1"/>
    </w:lvl>
  </w:abstractNum>
  <w:abstractNum w:abstractNumId="140">
    <w:nsid w:val="2E22FBB7"/>
    <w:multiLevelType w:val="hybridMultilevel"/>
    <w:lvl w:ilvl="0">
      <w:lvlJc w:val="left"/>
      <w:lvlText w:val="(%1)"/>
      <w:numFmt w:val="lowerLetter"/>
      <w:start w:val="2"/>
    </w:lvl>
  </w:abstractNum>
  <w:abstractNum w:abstractNumId="141">
    <w:nsid w:val="29934699"/>
    <w:multiLevelType w:val="hybridMultilevel"/>
    <w:lvl w:ilvl="0">
      <w:lvlJc w:val="left"/>
      <w:lvlText w:val="(%1)"/>
      <w:numFmt w:val="lowerLetter"/>
      <w:start w:val="1"/>
    </w:lvl>
  </w:abstractNum>
  <w:abstractNum w:abstractNumId="142">
    <w:nsid w:val="77485850"/>
    <w:multiLevelType w:val="hybridMultilevel"/>
    <w:lvl w:ilvl="0">
      <w:lvlJc w:val="left"/>
      <w:lvlText w:val="(%1)"/>
      <w:numFmt w:val="lowerLetter"/>
      <w:start w:val="4"/>
    </w:lvl>
  </w:abstractNum>
  <w:abstractNum w:abstractNumId="143">
    <w:nsid w:val="744939A3"/>
    <w:multiLevelType w:val="hybridMultilevel"/>
    <w:lvl w:ilvl="0">
      <w:lvlJc w:val="left"/>
      <w:lvlText w:val="(%1)"/>
      <w:numFmt w:val="lowerLetter"/>
      <w:start w:val="2"/>
    </w:lvl>
  </w:abstractNum>
  <w:abstractNum w:abstractNumId="144">
    <w:nsid w:val="4FA0D2E3"/>
    <w:multiLevelType w:val="hybridMultilevel"/>
    <w:lvl w:ilvl="0">
      <w:lvlJc w:val="left"/>
      <w:lvlText w:val="(%1)"/>
      <w:numFmt w:val="lowerRoman"/>
      <w:start w:val="1"/>
    </w:lvl>
  </w:abstractNum>
  <w:abstractNum w:abstractNumId="145">
    <w:nsid w:val="6B1D2C14"/>
    <w:multiLevelType w:val="hybridMultilevel"/>
    <w:lvl w:ilvl="0">
      <w:lvlJc w:val="left"/>
      <w:lvlText w:val="(%1)"/>
      <w:numFmt w:val="lowerLetter"/>
      <w:start w:val="4"/>
    </w:lvl>
  </w:abstractNum>
  <w:abstractNum w:abstractNumId="146">
    <w:nsid w:val="68B867D3"/>
    <w:multiLevelType w:val="hybridMultilevel"/>
    <w:lvl w:ilvl="0">
      <w:lvlJc w:val="left"/>
      <w:lvlText w:val="(%1)"/>
      <w:numFmt w:val="lowerLetter"/>
      <w:start w:val="2"/>
    </w:lvl>
  </w:abstractNum>
  <w:abstractNum w:abstractNumId="147">
    <w:nsid w:val="3F7F5DD9"/>
    <w:multiLevelType w:val="hybridMultilevel"/>
    <w:lvl w:ilvl="0">
      <w:lvlJc w:val="left"/>
      <w:lvlText w:val="(%1)"/>
      <w:numFmt w:val="lowerLetter"/>
      <w:start w:val="2"/>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5"/>
    </w:lvl>
  </w:abstractNum>
  <w:abstractNum w:abstractNumId="150">
    <w:nsid w:val="5454945E"/>
    <w:multiLevelType w:val="hybridMultilevel"/>
    <w:lvl w:ilvl="0">
      <w:lvlJc w:val="left"/>
      <w:lvlText w:val="(%1)"/>
      <w:numFmt w:val="lowerLetter"/>
      <w:start w:val="1"/>
    </w:lvl>
  </w:abstractNum>
  <w:abstractNum w:abstractNumId="151">
    <w:nsid w:val="4DEFDFA0"/>
    <w:multiLevelType w:val="hybridMultilevel"/>
    <w:lvl w:ilvl="0">
      <w:lvlJc w:val="left"/>
      <w:lvlText w:val="(%1)"/>
      <w:numFmt w:val="lowerLetter"/>
      <w:start w:val="1"/>
    </w:lvl>
  </w:abstractNum>
  <w:abstractNum w:abstractNumId="152">
    <w:nsid w:val="2123D5F2"/>
    <w:multiLevelType w:val="hybridMultilevel"/>
    <w:lvl w:ilvl="0">
      <w:lvlJc w:val="left"/>
      <w:lvlText w:val="%1"/>
      <w:numFmt w:val="lowerLetter"/>
      <w:start w:val="1"/>
    </w:lvl>
    <w:lvl w:ilvl="1">
      <w:lvlJc w:val="left"/>
      <w:lvlText w:val="(%2)"/>
      <w:numFmt w:val="lowerLetter"/>
      <w:start w:val="1"/>
    </w:lvl>
  </w:abstractNum>
  <w:abstractNum w:abstractNumId="153">
    <w:nsid w:val="135B8110"/>
    <w:multiLevelType w:val="hybridMultilevel"/>
    <w:lvl w:ilvl="0">
      <w:lvlJc w:val="left"/>
      <w:lvlText w:val="(%1)"/>
      <w:numFmt w:val="lowerLetter"/>
      <w:start w:val="9"/>
    </w:lvl>
    <w:lvl w:ilvl="1">
      <w:lvlJc w:val="left"/>
      <w:lvlText w:val="%2"/>
      <w:numFmt w:val="lowerLetter"/>
      <w:start w:val="1"/>
    </w:lvl>
  </w:abstractNum>
  <w:abstractNum w:abstractNumId="154">
    <w:nsid w:val="94927A8"/>
    <w:multiLevelType w:val="hybridMultilevel"/>
    <w:lvl w:ilvl="0">
      <w:lvlJc w:val="left"/>
      <w:lvlText w:val="(%1)"/>
      <w:numFmt w:val="lowerLetter"/>
      <w:start w:val="2"/>
    </w:lvl>
  </w:abstractNum>
  <w:abstractNum w:abstractNumId="155">
    <w:nsid w:val="DCDF8F6"/>
    <w:multiLevelType w:val="hybridMultilevel"/>
    <w:lvl w:ilvl="0">
      <w:lvlJc w:val="left"/>
      <w:lvlText w:val="(%1)"/>
      <w:numFmt w:val="lowerLetter"/>
      <w:start w:val="1"/>
    </w:lvl>
  </w:abstractNum>
  <w:abstractNum w:abstractNumId="156">
    <w:nsid w:val="52D7B105"/>
    <w:multiLevelType w:val="hybridMultilevel"/>
    <w:lvl w:ilvl="0">
      <w:lvlJc w:val="left"/>
      <w:lvlText w:val="(%1)"/>
      <w:numFmt w:val="lowerLetter"/>
      <w:start w:val="1"/>
    </w:lvl>
  </w:abstractNum>
  <w:abstractNum w:abstractNumId="157">
    <w:nsid w:val="2E8A6394"/>
    <w:multiLevelType w:val="hybridMultilevel"/>
    <w:lvl w:ilvl="0">
      <w:lvlJc w:val="left"/>
      <w:lvlText w:val="(%1)"/>
      <w:numFmt w:val="lowerLetter"/>
      <w:start w:val="1"/>
    </w:lvl>
  </w:abstractNum>
  <w:abstractNum w:abstractNumId="158">
    <w:nsid w:val="24E60401"/>
    <w:multiLevelType w:val="hybridMultilevel"/>
    <w:lvl w:ilvl="0">
      <w:lvlJc w:val="left"/>
      <w:lvlText w:val="(%1)"/>
      <w:numFmt w:val="lowerLetter"/>
      <w:start w:val="7"/>
    </w:lvl>
  </w:abstractNum>
  <w:abstractNum w:abstractNumId="159">
    <w:nsid w:val="2A6AD9BE"/>
    <w:multiLevelType w:val="hybridMultilevel"/>
    <w:lvl w:ilvl="0">
      <w:lvlJc w:val="left"/>
      <w:lvlText w:val="(%1)"/>
      <w:numFmt w:val="lowerLetter"/>
      <w:start w:val="1"/>
    </w:lvl>
  </w:abstractNum>
  <w:abstractNum w:abstractNumId="160">
    <w:nsid w:val="BAAC1B4"/>
    <w:multiLevelType w:val="hybridMultilevel"/>
    <w:lvl w:ilvl="0">
      <w:lvlJc w:val="left"/>
      <w:lvlText w:val="%1"/>
      <w:numFmt w:val="lowerLetter"/>
      <w:start w:val="1"/>
    </w:lvl>
    <w:lvl w:ilvl="1">
      <w:lvlJc w:val="left"/>
      <w:lvlText w:val="(%2)"/>
      <w:numFmt w:val="lowerLetter"/>
      <w:start w:val="2"/>
    </w:lvl>
  </w:abstractNum>
  <w:abstractNum w:abstractNumId="161">
    <w:nsid w:val="36B2ACBC"/>
    <w:multiLevelType w:val="hybridMultilevel"/>
    <w:lvl w:ilvl="0">
      <w:lvlJc w:val="left"/>
      <w:lvlText w:val="(%1)"/>
      <w:numFmt w:val="lowerLetter"/>
      <w:start w:val="61"/>
    </w:lvl>
    <w:lvl w:ilvl="1">
      <w:lvlJc w:val="left"/>
      <w:lvlText w:val="(%2)"/>
      <w:numFmt w:val="lowerLetter"/>
      <w:start w:val="5"/>
    </w:lvl>
  </w:abstractNum>
  <w:abstractNum w:abstractNumId="162">
    <w:nsid w:val="779D8544"/>
    <w:multiLevelType w:val="hybridMultilevel"/>
    <w:lvl w:ilvl="0">
      <w:lvlJc w:val="left"/>
      <w:lvlText w:val="%1"/>
      <w:numFmt w:val="lowerLetter"/>
      <w:start w:val="1"/>
    </w:lvl>
    <w:lvl w:ilvl="1">
      <w:lvlJc w:val="left"/>
      <w:lvlText w:val="(%2)"/>
      <w:numFmt w:val="lowerLetter"/>
      <w:start w:val="11"/>
    </w:lvl>
  </w:abstractNum>
  <w:abstractNum w:abstractNumId="163">
    <w:nsid w:val="4AB26E78"/>
    <w:multiLevelType w:val="hybridMultilevel"/>
    <w:lvl w:ilvl="0">
      <w:lvlJc w:val="left"/>
      <w:lvlText w:val="(%1)"/>
      <w:numFmt w:val="lowerLetter"/>
      <w:start w:val="9"/>
    </w:lvl>
    <w:lvl w:ilvl="1">
      <w:lvlJc w:val="left"/>
      <w:lvlText w:val="(%2)"/>
      <w:numFmt w:val="lowerLetter"/>
      <w:start w:val="12"/>
    </w:lvl>
  </w:abstractNum>
  <w:abstractNum w:abstractNumId="164">
    <w:nsid w:val="21FAA2FA"/>
    <w:multiLevelType w:val="hybridMultilevel"/>
    <w:lvl w:ilvl="0">
      <w:lvlJc w:val="left"/>
      <w:lvlText w:val="(%1)"/>
      <w:numFmt w:val="lowerLetter"/>
      <w:start w:val="35"/>
    </w:lvl>
    <w:lvl w:ilvl="1">
      <w:lvlJc w:val="left"/>
      <w:lvlText w:val="(%2)"/>
      <w:numFmt w:val="lowerLetter"/>
      <w:start w:val="13"/>
    </w:lvl>
  </w:abstractNum>
  <w:abstractNum w:abstractNumId="165">
    <w:nsid w:val="5451CF49"/>
    <w:multiLevelType w:val="hybridMultilevel"/>
    <w:lvl w:ilvl="0">
      <w:lvlJc w:val="left"/>
      <w:lvlText w:val="(%1)"/>
      <w:numFmt w:val="lowerLetter"/>
      <w:start w:val="1"/>
    </w:lvl>
  </w:abstractNum>
  <w:abstractNum w:abstractNumId="166">
    <w:nsid w:val="6181EF69"/>
    <w:multiLevelType w:val="hybridMultilevel"/>
    <w:lvl w:ilvl="0">
      <w:lvlJc w:val="left"/>
      <w:lvlText w:val="(%1)"/>
      <w:numFmt w:val="lowerLetter"/>
      <w:start w:val="2"/>
    </w:lvl>
  </w:abstractNum>
  <w:abstractNum w:abstractNumId="167">
    <w:nsid w:val="3E6400E6"/>
    <w:multiLevelType w:val="hybridMultilevel"/>
    <w:lvl w:ilvl="0">
      <w:lvlJc w:val="left"/>
      <w:lvlText w:val="(%1)"/>
      <w:numFmt w:val="lowerLetter"/>
      <w:start w:val="2"/>
    </w:lvl>
  </w:abstractNum>
  <w:abstractNum w:abstractNumId="168">
    <w:nsid w:val="14217E23"/>
    <w:multiLevelType w:val="hybridMultilevel"/>
    <w:lvl w:ilvl="0">
      <w:lvlJc w:val="left"/>
      <w:lvlText w:val="%1"/>
      <w:numFmt w:val="lowerLetter"/>
      <w:start w:val="1"/>
    </w:lvl>
    <w:lvl w:ilvl="1">
      <w:lvlJc w:val="left"/>
      <w:lvlText w:val="(%2)"/>
      <w:numFmt w:val="lowerLetter"/>
      <w:start w:val="1"/>
    </w:lvl>
  </w:abstractNum>
  <w:abstractNum w:abstractNumId="169">
    <w:nsid w:val="710757D0"/>
    <w:multiLevelType w:val="hybridMultilevel"/>
    <w:lvl w:ilvl="0">
      <w:lvlJc w:val="left"/>
      <w:lvlText w:val="(%1)"/>
      <w:numFmt w:val="lowerLetter"/>
      <w:start w:val="1"/>
    </w:lvl>
    <w:lvl w:ilvl="1">
      <w:lvlJc w:val="left"/>
      <w:lvlText w:val="(%2)"/>
      <w:numFmt w:val="lowerLetter"/>
      <w:start w:val="6"/>
    </w:lvl>
  </w:abstractNum>
  <w:abstractNum w:abstractNumId="170">
    <w:nsid w:val="5015CD1A"/>
    <w:multiLevelType w:val="hybridMultilevel"/>
    <w:lvl w:ilvl="0">
      <w:lvlJc w:val="left"/>
      <w:lvlText w:val="(%1)"/>
      <w:numFmt w:val="upperLetter"/>
      <w:start w:val="1"/>
    </w:lvl>
    <w:lvl w:ilvl="1">
      <w:lvlJc w:val="left"/>
      <w:lvlText w:val="(%2)"/>
      <w:numFmt w:val="lowerLetter"/>
      <w:start w:val="8"/>
    </w:lvl>
  </w:abstractNum>
  <w:abstractNum w:abstractNumId="171">
    <w:nsid w:val="424479DA"/>
    <w:multiLevelType w:val="hybridMultilevel"/>
    <w:lvl w:ilvl="0">
      <w:lvlJc w:val="left"/>
      <w:lvlText w:val="(%1)"/>
      <w:numFmt w:val="upperLetter"/>
      <w:start w:val="2"/>
    </w:lvl>
    <w:lvl w:ilvl="1">
      <w:lvlJc w:val="left"/>
      <w:lvlText w:val="(%2)"/>
      <w:numFmt w:val="lowerLetter"/>
      <w:start w:val="10"/>
    </w:lvl>
  </w:abstractNum>
  <w:abstractNum w:abstractNumId="172">
    <w:nsid w:val="1A9A9E69"/>
    <w:multiLevelType w:val="hybridMultilevel"/>
    <w:lvl w:ilvl="0">
      <w:lvlJc w:val="left"/>
      <w:lvlText w:val="(%1)"/>
      <w:numFmt w:val="lowerRoman"/>
      <w:start w:val="1"/>
    </w:lvl>
  </w:abstractNum>
  <w:abstractNum w:abstractNumId="173">
    <w:nsid w:val="475E256A"/>
    <w:multiLevelType w:val="hybridMultilevel"/>
    <w:lvl w:ilvl="0">
      <w:lvlJc w:val="left"/>
      <w:lvlText w:val="(%1)"/>
      <w:numFmt w:val="lowerLetter"/>
      <w:start w:val="2"/>
    </w:lvl>
  </w:abstractNum>
  <w:abstractNum w:abstractNumId="174">
    <w:nsid w:val="368DB37E"/>
    <w:multiLevelType w:val="hybridMultilevel"/>
    <w:lvl w:ilvl="0">
      <w:lvlJc w:val="left"/>
      <w:lvlText w:val="(%1)"/>
      <w:numFmt w:val="upperLetter"/>
      <w:start w:val="1"/>
    </w:lvl>
  </w:abstractNum>
  <w:abstractNum w:abstractNumId="175">
    <w:nsid w:val="6A3B714C"/>
    <w:multiLevelType w:val="hybridMultilevel"/>
    <w:lvl w:ilvl="0">
      <w:lvlJc w:val="left"/>
      <w:lvlText w:val="(%1)"/>
      <w:numFmt w:val="upperLetter"/>
      <w:start w:val="1"/>
    </w:lvl>
  </w:abstractNum>
  <w:abstractNum w:abstractNumId="176">
    <w:nsid w:val="327B517E"/>
    <w:multiLevelType w:val="hybridMultilevel"/>
    <w:lvl w:ilvl="0">
      <w:lvlJc w:val="left"/>
      <w:lvlText w:val="(%1)"/>
      <w:numFmt w:val="lowerRoman"/>
      <w:start w:val="3"/>
    </w:lvl>
  </w:abstractNum>
  <w:abstractNum w:abstractNumId="177">
    <w:nsid w:val="1F461B51"/>
    <w:multiLevelType w:val="hybridMultilevel"/>
    <w:lvl w:ilvl="0">
      <w:lvlJc w:val="left"/>
      <w:lvlText w:val="(%1)"/>
      <w:numFmt w:val="lowerRoman"/>
      <w:start w:val="4"/>
    </w:lvl>
  </w:abstractNum>
  <w:abstractNum w:abstractNumId="178">
    <w:nsid w:val="29BACF25"/>
    <w:multiLevelType w:val="hybridMultilevel"/>
    <w:lvl w:ilvl="0">
      <w:lvlJc w:val="left"/>
      <w:lvlText w:val="(%1)"/>
      <w:numFmt w:val="lowerRoman"/>
      <w:start w:val="2"/>
    </w:lvl>
  </w:abstractNum>
  <w:abstractNum w:abstractNumId="179">
    <w:nsid w:val="5D5BABB3"/>
    <w:multiLevelType w:val="hybridMultilevel"/>
    <w:lvl w:ilvl="0">
      <w:lvlJc w:val="left"/>
      <w:lvlText w:val="(%1)"/>
      <w:numFmt w:val="lowerLetter"/>
      <w:start w:val="4"/>
    </w:lvl>
  </w:abstractNum>
  <w:abstractNum w:abstractNumId="180">
    <w:nsid w:val="51BF6B48"/>
    <w:multiLevelType w:val="hybridMultilevel"/>
    <w:lvl w:ilvl="0">
      <w:lvlJc w:val="left"/>
      <w:lvlText w:val="(%1)"/>
      <w:numFmt w:val="lowerLetter"/>
      <w:start w:val="2"/>
    </w:lvl>
  </w:abstractNum>
  <w:abstractNum w:abstractNumId="181">
    <w:nsid w:val="7E0F6384"/>
    <w:multiLevelType w:val="hybridMultilevel"/>
    <w:lvl w:ilvl="0">
      <w:lvlJc w:val="left"/>
      <w:lvlText w:val="(%1)"/>
      <w:numFmt w:val="lowerLetter"/>
      <w:start w:val="1"/>
    </w:lvl>
  </w:abstractNum>
  <w:abstractNum w:abstractNumId="182">
    <w:nsid w:val="2B4B8B53"/>
    <w:multiLevelType w:val="hybridMultilevel"/>
    <w:lvl w:ilvl="0">
      <w:lvlJc w:val="left"/>
      <w:lvlText w:val="(%1)"/>
      <w:numFmt w:val="lowerRoman"/>
      <w:start w:val="1"/>
    </w:lvl>
  </w:abstractNum>
  <w:abstractNum w:abstractNumId="183">
    <w:nsid w:val="72E3413A"/>
    <w:multiLevelType w:val="hybridMultilevel"/>
    <w:lvl w:ilvl="0">
      <w:lvlJc w:val="left"/>
      <w:lvlText w:val="(%1)"/>
      <w:numFmt w:val="lowerLetter"/>
      <w:start w:val="1"/>
    </w:lvl>
    <w:lvl w:ilvl="1">
      <w:lvlJc w:val="left"/>
      <w:lvlText w:val="•"/>
      <w:numFmt w:val="bullet"/>
      <w:start w:val="1"/>
    </w:lvl>
  </w:abstractNum>
  <w:abstractNum w:abstractNumId="184">
    <w:nsid w:val="116AE494"/>
    <w:multiLevelType w:val="hybridMultilevel"/>
    <w:lvl w:ilvl="0">
      <w:lvlJc w:val="left"/>
      <w:lvlText w:val="(%1)"/>
      <w:numFmt w:val="lowerLetter"/>
      <w:start w:val="7"/>
    </w:lvl>
  </w:abstractNum>
  <w:abstractNum w:abstractNumId="185">
    <w:nsid w:val="3494B2FB"/>
    <w:multiLevelType w:val="hybridMultilevel"/>
    <w:lvl w:ilvl="0">
      <w:lvlJc w:val="left"/>
      <w:lvlText w:val="%1."/>
      <w:numFmt w:val="decimal"/>
      <w:start w:val="1"/>
    </w:lvl>
    <w:lvl w:ilvl="1">
      <w:lvlJc w:val="left"/>
      <w:lvlText w:val="(%2)"/>
      <w:numFmt w:val="lowerLetter"/>
      <w:start w:val="1"/>
    </w:lvl>
  </w:abstractNum>
  <w:abstractNum w:abstractNumId="186">
    <w:nsid w:val="B13A3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2019-12-29T15:10:27Z</dcterms:created>
  <dcterms:modified xsi:type="dcterms:W3CDTF">2019-12-29T15:10:27Z</dcterms:modified>
</cp:coreProperties>
</file>