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03"/>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71"/>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49"/>
        </w:trPr>
        <w:tc>
          <w:tcPr>
            <w:tcW w:w="2900" w:type="dxa"/>
            <w:vAlign w:val="bottom"/>
          </w:tcPr>
          <w:p>
            <w:pPr>
              <w:spacing w:after="0"/>
              <w:rPr>
                <w:sz w:val="21"/>
                <w:szCs w:val="21"/>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1"/>
                <w:szCs w:val="21"/>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97"/>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8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360" w:firstLine="342"/>
        <w:spacing w:after="0" w:line="268" w:lineRule="auto"/>
        <w:rPr>
          <w:sz w:val="20"/>
          <w:szCs w:val="20"/>
          <w:color w:val="auto"/>
        </w:rPr>
      </w:pPr>
      <w:r>
        <w:rPr>
          <w:rFonts w:ascii="Arial" w:cs="Arial" w:eastAsia="Arial" w:hAnsi="Arial"/>
          <w:sz w:val="18"/>
          <w:szCs w:val="18"/>
          <w:color w:val="auto"/>
        </w:rPr>
        <w:t>As of July 25, 2012, there were 123,196,012 shares of the Registrant’s Class A common stock (including 6,970,705 shares held by subsidiaries)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material operating assets other than indirect ownership as of June 30, 2012 of approximately 94.9% of the common membership interests in Lazard Group and its controlling interest in Lazard Group.</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4">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9"/>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920" w:type="dxa"/>
            <w:vAlign w:val="bottom"/>
            <w:gridSpan w:val="7"/>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Financial Condition as of June 30, 2012 and</w:t>
              </w:r>
            </w:hyperlink>
          </w:p>
        </w:tc>
        <w:tc>
          <w:tcPr>
            <w:tcW w:w="512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920" w:type="dxa"/>
            <w:vAlign w:val="bottom"/>
            <w:tcBorders>
              <w:bottom w:val="single" w:sz="8" w:color="0000EE"/>
            </w:tcBorders>
            <w:gridSpan w:val="7"/>
            <w:vMerge w:val="continue"/>
          </w:tcPr>
          <w:p>
            <w:pPr>
              <w:spacing w:after="0"/>
              <w:rPr>
                <w:sz w:val="13"/>
                <w:szCs w:val="13"/>
                <w:color w:val="auto"/>
              </w:rPr>
            </w:pPr>
          </w:p>
        </w:tc>
        <w:tc>
          <w:tcPr>
            <w:tcW w:w="51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December 31, 2011</w:t>
              </w:r>
            </w:hyperlink>
          </w:p>
        </w:tc>
        <w:tc>
          <w:tcPr>
            <w:tcW w:w="94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04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six month periods ended</w:t>
              </w:r>
            </w:hyperlink>
          </w:p>
        </w:tc>
        <w:tc>
          <w:tcPr>
            <w:tcW w:w="40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June 30, 2012 and 2011</w:t>
              </w:r>
            </w:hyperlink>
          </w:p>
        </w:tc>
        <w:tc>
          <w:tcPr>
            <w:tcW w:w="91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Comprehensive Income for the three month and six month periods ended June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640" w:type="dxa"/>
            <w:vAlign w:val="bottom"/>
            <w:tcBorders>
              <w:top w:val="single" w:sz="8" w:color="0000EE"/>
            </w:tcBorders>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 periods ended</w:t>
              </w:r>
            </w:hyperlink>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June 30, 2012 and 2011</w:t>
              </w:r>
            </w:hyperlink>
          </w:p>
        </w:tc>
        <w:tc>
          <w:tcPr>
            <w:tcW w:w="4000" w:type="dxa"/>
            <w:vAlign w:val="bottom"/>
            <w:tcBorders>
              <w:top w:val="single" w:sz="8" w:color="0000EE"/>
            </w:tcBorders>
            <w:gridSpan w:val="2"/>
          </w:tcPr>
          <w:p>
            <w:pPr>
              <w:spacing w:after="0"/>
              <w:rPr>
                <w:sz w:val="17"/>
                <w:szCs w:val="17"/>
                <w:color w:val="auto"/>
              </w:rPr>
            </w:pPr>
          </w:p>
        </w:tc>
        <w:tc>
          <w:tcPr>
            <w:tcW w:w="51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4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Stockholders’ Equity for the six month periods ended June 30, 2012 and 2011</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100" w:type="dxa"/>
            <w:vAlign w:val="bottom"/>
            <w:tcBorders>
              <w:top w:val="single" w:sz="8" w:color="0000EE"/>
            </w:tcBorders>
            <w:gridSpan w:val="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9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3"/>
          </w:tcPr>
          <w:p>
            <w:pPr>
              <w:spacing w:after="0"/>
              <w:rPr>
                <w:sz w:val="24"/>
                <w:szCs w:val="24"/>
                <w:color w:val="auto"/>
              </w:rPr>
            </w:pPr>
          </w:p>
        </w:tc>
        <w:tc>
          <w:tcPr>
            <w:tcW w:w="200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40" w:type="dxa"/>
            <w:vAlign w:val="bottom"/>
          </w:tcPr>
          <w:p>
            <w:pPr>
              <w:jc w:val="right"/>
              <w:ind w:right="95"/>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12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tcPr>
          <w:p>
            <w:pPr>
              <w:jc w:val="right"/>
              <w:spacing w:after="0"/>
              <w:rPr>
                <w:sz w:val="20"/>
                <w:szCs w:val="20"/>
                <w:color w:val="auto"/>
              </w:rPr>
            </w:pPr>
            <w:r>
              <w:rPr>
                <w:rFonts w:ascii="Arial" w:cs="Arial" w:eastAsia="Arial" w:hAnsi="Arial"/>
                <w:sz w:val="18"/>
                <w:szCs w:val="18"/>
                <w:color w:val="auto"/>
              </w:rPr>
              <w:t>$751,238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$1,003,791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40" w:type="dxa"/>
            <w:vAlign w:val="bottom"/>
          </w:tcPr>
          <w:p>
            <w:pPr>
              <w:jc w:val="right"/>
              <w:spacing w:after="0"/>
              <w:rPr>
                <w:sz w:val="20"/>
                <w:szCs w:val="20"/>
                <w:color w:val="auto"/>
              </w:rPr>
            </w:pPr>
            <w:r>
              <w:rPr>
                <w:rFonts w:ascii="Arial" w:cs="Arial" w:eastAsia="Arial" w:hAnsi="Arial"/>
                <w:sz w:val="18"/>
                <w:szCs w:val="18"/>
                <w:color w:val="auto"/>
              </w:rPr>
              <w:t>78,774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6"/>
              </w:rPr>
              <w:t>Receivables (net of allowance for doubtful accounts of $20,756 and $19,450 at June 30, 2012 and December 31, 2011,</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Fees</w:t>
            </w:r>
          </w:p>
        </w:tc>
        <w:tc>
          <w:tcPr>
            <w:tcW w:w="840" w:type="dxa"/>
            <w:vAlign w:val="bottom"/>
          </w:tcPr>
          <w:p>
            <w:pPr>
              <w:jc w:val="right"/>
              <w:spacing w:after="0"/>
              <w:rPr>
                <w:sz w:val="20"/>
                <w:szCs w:val="20"/>
                <w:color w:val="auto"/>
              </w:rPr>
            </w:pPr>
            <w:r>
              <w:rPr>
                <w:rFonts w:ascii="Arial" w:cs="Arial" w:eastAsia="Arial" w:hAnsi="Arial"/>
                <w:sz w:val="18"/>
                <w:szCs w:val="18"/>
                <w:color w:val="auto"/>
              </w:rPr>
              <w:t>388,588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402,843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14,102</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483,480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w:t>
            </w:r>
          </w:p>
        </w:tc>
        <w:tc>
          <w:tcPr>
            <w:tcW w:w="840" w:type="dxa"/>
            <w:vAlign w:val="bottom"/>
          </w:tcPr>
          <w:p>
            <w:pPr>
              <w:jc w:val="right"/>
              <w:spacing w:after="0"/>
              <w:rPr>
                <w:sz w:val="20"/>
                <w:szCs w:val="20"/>
                <w:color w:val="auto"/>
              </w:rPr>
            </w:pPr>
            <w:r>
              <w:rPr>
                <w:rFonts w:ascii="Arial" w:cs="Arial" w:eastAsia="Arial" w:hAnsi="Arial"/>
                <w:sz w:val="18"/>
                <w:szCs w:val="18"/>
                <w:color w:val="auto"/>
              </w:rPr>
              <w:t>439,683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378,521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$261,690 and $266,673 at June 30, 2012 and December 31,</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2011, respectively)</w:t>
            </w:r>
          </w:p>
        </w:tc>
        <w:tc>
          <w:tcPr>
            <w:tcW w:w="840" w:type="dxa"/>
            <w:vAlign w:val="bottom"/>
          </w:tcPr>
          <w:p>
            <w:pPr>
              <w:jc w:val="right"/>
              <w:spacing w:after="0"/>
              <w:rPr>
                <w:sz w:val="20"/>
                <w:szCs w:val="20"/>
                <w:color w:val="auto"/>
              </w:rPr>
            </w:pPr>
            <w:r>
              <w:rPr>
                <w:rFonts w:ascii="Arial" w:cs="Arial" w:eastAsia="Arial" w:hAnsi="Arial"/>
                <w:sz w:val="18"/>
                <w:szCs w:val="18"/>
                <w:color w:val="auto"/>
              </w:rPr>
              <w:t>198,289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9"/>
              </w:rPr>
              <w:t>Goodwill and other intangible assets (net of accumulated amortization of $30,600 and $26,922 at June 30, 2012 and</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2011, respectively)</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393,099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307,867</w:t>
            </w:r>
          </w:p>
        </w:tc>
        <w:tc>
          <w:tcPr>
            <w:tcW w:w="4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2,977,854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3,081,936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 AND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1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920" w:type="dxa"/>
            <w:vAlign w:val="bottom"/>
          </w:tcPr>
          <w:p>
            <w:pPr>
              <w:jc w:val="right"/>
              <w:spacing w:after="0"/>
              <w:rPr>
                <w:sz w:val="20"/>
                <w:szCs w:val="20"/>
                <w:color w:val="auto"/>
              </w:rPr>
            </w:pPr>
            <w:r>
              <w:rPr>
                <w:rFonts w:ascii="Arial" w:cs="Arial" w:eastAsia="Arial" w:hAnsi="Arial"/>
                <w:sz w:val="18"/>
                <w:szCs w:val="18"/>
                <w:color w:val="auto"/>
              </w:rPr>
              <w:t>$338,514</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251,120</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920" w:type="dxa"/>
            <w:vAlign w:val="bottom"/>
          </w:tcPr>
          <w:p>
            <w:pPr>
              <w:jc w:val="right"/>
              <w:spacing w:after="0"/>
              <w:rPr>
                <w:sz w:val="20"/>
                <w:szCs w:val="20"/>
                <w:color w:val="auto"/>
              </w:rPr>
            </w:pPr>
            <w:r>
              <w:rPr>
                <w:rFonts w:ascii="Arial" w:cs="Arial" w:eastAsia="Arial" w:hAnsi="Arial"/>
                <w:sz w:val="18"/>
                <w:szCs w:val="18"/>
                <w:color w:val="auto"/>
              </w:rPr>
              <w:t>1,076,850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1,076,850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Related party payables</w:t>
            </w:r>
          </w:p>
        </w:tc>
        <w:tc>
          <w:tcPr>
            <w:tcW w:w="920" w:type="dxa"/>
            <w:vAlign w:val="bottom"/>
          </w:tcPr>
          <w:p>
            <w:pPr>
              <w:jc w:val="right"/>
              <w:spacing w:after="0"/>
              <w:rPr>
                <w:sz w:val="20"/>
                <w:szCs w:val="20"/>
                <w:color w:val="auto"/>
              </w:rPr>
            </w:pPr>
            <w:r>
              <w:rPr>
                <w:rFonts w:ascii="Arial" w:cs="Arial" w:eastAsia="Arial" w:hAnsi="Arial"/>
                <w:sz w:val="18"/>
                <w:szCs w:val="18"/>
                <w:color w:val="auto"/>
              </w:rPr>
              <w:t>7,080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459,589</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2,151,446</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2,215,080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A - 7,921 shares issued and outstanding at June 30, 2012 and December 31, 2011</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0"/>
              </w:rPr>
              <w:t>Class A, par value $.01 per share (500,000,000 shares authorized; 123,196,012 and 123,009,311 shares issued at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w w:val="91"/>
              </w:rPr>
              <w:t>June 30, 2012 and December 31, 2011, respectively, including shares held by subsidiaries as indicated below)</w:t>
            </w:r>
          </w:p>
        </w:tc>
        <w:tc>
          <w:tcPr>
            <w:tcW w:w="920" w:type="dxa"/>
            <w:vAlign w:val="bottom"/>
          </w:tcPr>
          <w:p>
            <w:pPr>
              <w:jc w:val="right"/>
              <w:spacing w:after="0"/>
              <w:rPr>
                <w:sz w:val="20"/>
                <w:szCs w:val="20"/>
                <w:color w:val="auto"/>
              </w:rPr>
            </w:pPr>
            <w:r>
              <w:rPr>
                <w:rFonts w:ascii="Arial" w:cs="Arial" w:eastAsia="Arial" w:hAnsi="Arial"/>
                <w:sz w:val="18"/>
                <w:szCs w:val="18"/>
                <w:color w:val="auto"/>
              </w:rPr>
              <w:t>1,232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9"/>
              </w:rPr>
              <w:t>Class B, par value $.01 per share (1 share authorized, issued and outstanding at June 30, 2012 and December 31,</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2011)</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Additional paid-in-capital</w:t>
            </w:r>
          </w:p>
        </w:tc>
        <w:tc>
          <w:tcPr>
            <w:tcW w:w="920" w:type="dxa"/>
            <w:vAlign w:val="bottom"/>
          </w:tcPr>
          <w:p>
            <w:pPr>
              <w:jc w:val="right"/>
              <w:spacing w:after="0"/>
              <w:rPr>
                <w:sz w:val="20"/>
                <w:szCs w:val="20"/>
                <w:color w:val="auto"/>
              </w:rPr>
            </w:pPr>
            <w:r>
              <w:rPr>
                <w:rFonts w:ascii="Arial" w:cs="Arial" w:eastAsia="Arial" w:hAnsi="Arial"/>
                <w:sz w:val="18"/>
                <w:szCs w:val="18"/>
                <w:color w:val="auto"/>
              </w:rPr>
              <w:t>700,064</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264,682</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(94,171)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871,807</w:t>
            </w: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Class A common stock held by subsidiaries, at cost (6,389,777 and 3,492,017 shares at June 30, 2012 and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00" w:type="dxa"/>
            <w:vAlign w:val="bottom"/>
          </w:tcPr>
          <w:p>
            <w:pPr>
              <w:ind w:left="640"/>
              <w:spacing w:after="0"/>
              <w:rPr>
                <w:sz w:val="20"/>
                <w:szCs w:val="20"/>
                <w:color w:val="auto"/>
              </w:rPr>
            </w:pPr>
            <w:r>
              <w:rPr>
                <w:rFonts w:ascii="Arial" w:cs="Arial" w:eastAsia="Arial" w:hAnsi="Arial"/>
                <w:sz w:val="18"/>
                <w:szCs w:val="18"/>
                <w:color w:val="auto"/>
              </w:rPr>
              <w:t>December 31, 2011, respectively)</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(167,382)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Lazard Ltd stockholders’ equity</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704,425</w:t>
            </w:r>
          </w:p>
        </w:tc>
        <w:tc>
          <w:tcPr>
            <w:tcW w:w="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121,983</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826,408</w:t>
            </w:r>
          </w:p>
        </w:tc>
        <w:tc>
          <w:tcPr>
            <w:tcW w:w="3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$2,977,854</w:t>
            </w: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148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banking and other advisory fees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$513,847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Money management fees</w:t>
            </w:r>
          </w:p>
        </w:tc>
        <w:tc>
          <w:tcPr>
            <w:tcW w:w="1120" w:type="dxa"/>
            <w:vAlign w:val="bottom"/>
          </w:tcPr>
          <w:p>
            <w:pPr>
              <w:jc w:val="right"/>
              <w:spacing w:after="0"/>
              <w:rPr>
                <w:sz w:val="20"/>
                <w:szCs w:val="20"/>
                <w:color w:val="auto"/>
              </w:rPr>
            </w:pPr>
            <w:r>
              <w:rPr>
                <w:rFonts w:ascii="Arial" w:cs="Arial" w:eastAsia="Arial" w:hAnsi="Arial"/>
                <w:sz w:val="18"/>
                <w:szCs w:val="18"/>
                <w:color w:val="auto"/>
              </w:rPr>
              <w:t>201,642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230,906</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406,203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13,568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22,240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39,777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457,231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500,605</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963,692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jc w:val="right"/>
              <w:spacing w:after="0"/>
              <w:rPr>
                <w:sz w:val="20"/>
                <w:szCs w:val="20"/>
                <w:color w:val="auto"/>
              </w:rPr>
            </w:pPr>
            <w:r>
              <w:rPr>
                <w:rFonts w:ascii="Arial" w:cs="Arial" w:eastAsia="Arial" w:hAnsi="Arial"/>
                <w:sz w:val="18"/>
                <w:szCs w:val="18"/>
                <w:color w:val="auto"/>
              </w:rPr>
              <w:t>20,321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23,313</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40,743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477,292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922,949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and benefits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286,480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621,709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Occupancy and equipment</w:t>
            </w:r>
          </w:p>
        </w:tc>
        <w:tc>
          <w:tcPr>
            <w:tcW w:w="1120" w:type="dxa"/>
            <w:vAlign w:val="bottom"/>
          </w:tcPr>
          <w:p>
            <w:pPr>
              <w:jc w:val="right"/>
              <w:spacing w:after="0"/>
              <w:rPr>
                <w:sz w:val="20"/>
                <w:szCs w:val="20"/>
                <w:color w:val="auto"/>
              </w:rPr>
            </w:pPr>
            <w:r>
              <w:rPr>
                <w:rFonts w:ascii="Arial" w:cs="Arial" w:eastAsia="Arial" w:hAnsi="Arial"/>
                <w:sz w:val="18"/>
                <w:szCs w:val="18"/>
                <w:color w:val="auto"/>
              </w:rPr>
              <w:t>28,347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22,977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54,629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business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Technology and information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21,275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20,582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41,668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Fund administration and outsourced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12,670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13,507</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26,121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8,537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19,614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840,593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89,202</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82,356</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19,138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71,566</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63,218</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131,549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LESS - NET INCOME ATTRIBUTABLE TO NONCONTROLLING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INTERESTS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6,845</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$ 30,821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$ 62,004</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$ 56,373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6280" w:type="dxa"/>
            <w:vAlign w:val="bottom"/>
          </w:tcPr>
          <w:p>
            <w:pPr>
              <w:ind w:left="22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118,235,320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119,107,386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118,732,431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117,221,070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660"/>
              <w:spacing w:after="0"/>
              <w:rPr>
                <w:sz w:val="20"/>
                <w:szCs w:val="20"/>
                <w:color w:val="auto"/>
              </w:rPr>
            </w:pPr>
            <w:r>
              <w:rPr>
                <w:rFonts w:ascii="Arial" w:cs="Arial" w:eastAsia="Arial" w:hAnsi="Arial"/>
                <w:sz w:val="18"/>
                <w:szCs w:val="18"/>
                <w:color w:val="auto"/>
              </w:rPr>
              <w:t>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134,636,935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139,347,933</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135,615,557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138,969,263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6280" w:type="dxa"/>
            <w:vAlign w:val="bottom"/>
          </w:tcPr>
          <w:p>
            <w:pPr>
              <w:ind w:left="220"/>
              <w:spacing w:after="0"/>
              <w:rPr>
                <w:sz w:val="20"/>
                <w:szCs w:val="20"/>
                <w:color w:val="auto"/>
              </w:rPr>
            </w:pPr>
            <w:r>
              <w:rPr>
                <w:rFonts w:ascii="Arial" w:cs="Arial" w:eastAsia="Arial" w:hAnsi="Arial"/>
                <w:sz w:val="18"/>
                <w:szCs w:val="18"/>
                <w:b w:val="1"/>
                <w:bCs w:val="1"/>
                <w:color w:val="auto"/>
              </w:rPr>
              <w:t>NET INCOME PER SHARE OF COMMON STOCK:</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660"/>
              <w:spacing w:after="0"/>
              <w:rPr>
                <w:sz w:val="20"/>
                <w:szCs w:val="20"/>
                <w:color w:val="auto"/>
              </w:rPr>
            </w:pPr>
            <w:r>
              <w:rPr>
                <w:rFonts w:ascii="Arial" w:cs="Arial" w:eastAsia="Arial" w:hAnsi="Arial"/>
                <w:sz w:val="18"/>
                <w:szCs w:val="18"/>
                <w:color w:val="auto"/>
              </w:rPr>
              <w:t>Diluted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w w:val="96"/>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34,162</w:t>
            </w:r>
          </w:p>
        </w:tc>
        <w:tc>
          <w:tcPr>
            <w:tcW w:w="4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71,566</w:t>
            </w:r>
          </w:p>
        </w:tc>
        <w:tc>
          <w:tcPr>
            <w:tcW w:w="4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63,218</w:t>
            </w: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(21,083)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(1,954)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32,174</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Amortization of interest rate hedge</w:t>
            </w:r>
          </w:p>
        </w:tc>
        <w:tc>
          <w:tcPr>
            <w:tcW w:w="10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263</w:t>
            </w:r>
          </w:p>
        </w:tc>
        <w:tc>
          <w:tcPr>
            <w:tcW w:w="600" w:type="dxa"/>
            <w:vAlign w:val="bottom"/>
          </w:tcPr>
          <w:p>
            <w:pPr>
              <w:jc w:val="right"/>
              <w:spacing w:after="0"/>
              <w:rPr>
                <w:sz w:val="20"/>
                <w:szCs w:val="20"/>
                <w:color w:val="auto"/>
              </w:rPr>
            </w:pPr>
            <w:r>
              <w:rPr>
                <w:rFonts w:ascii="Arial" w:cs="Arial" w:eastAsia="Arial" w:hAnsi="Arial"/>
                <w:sz w:val="18"/>
                <w:szCs w:val="18"/>
                <w:color w:val="auto"/>
              </w:rPr>
              <w:t>263</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527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380" w:type="dxa"/>
            <w:vAlign w:val="bottom"/>
          </w:tcPr>
          <w:p>
            <w:pPr>
              <w:ind w:left="860"/>
              <w:spacing w:after="0"/>
              <w:rPr>
                <w:sz w:val="20"/>
                <w:szCs w:val="20"/>
                <w:color w:val="auto"/>
              </w:rPr>
            </w:pPr>
            <w:r>
              <w:rPr>
                <w:rFonts w:ascii="Arial" w:cs="Arial" w:eastAsia="Arial" w:hAnsi="Arial"/>
                <w:sz w:val="18"/>
                <w:szCs w:val="18"/>
                <w:color w:val="auto"/>
                <w:w w:val="95"/>
              </w:rPr>
              <w:t>Net actuarial gain (loss) (net of tax benefit (expense) of $1,443 and $(29) for the three</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w w:val="94"/>
              </w:rPr>
              <w:t>months ended June 30, 2012 and 2011, respectively, and $2,725 and $1,906 for the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1060"/>
              <w:spacing w:after="0"/>
              <w:rPr>
                <w:sz w:val="20"/>
                <w:szCs w:val="20"/>
                <w:color w:val="auto"/>
              </w:rPr>
            </w:pPr>
            <w:r>
              <w:rPr>
                <w:rFonts w:ascii="Arial" w:cs="Arial" w:eastAsia="Arial" w:hAnsi="Arial"/>
                <w:sz w:val="18"/>
                <w:szCs w:val="18"/>
                <w:color w:val="auto"/>
              </w:rPr>
              <w:t>six months ended June 30, 2012 and 2011, respectively)</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(3,457)</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(6,054)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Adjustment for items reclassified to earnings (net of tax expense of $281 and $262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the three months ended June 30, 2012 and 2011, respectively, and $578 and $517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the six months ended June 30, 2012 and 2011,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(23,451)</w:t>
            </w:r>
          </w:p>
        </w:tc>
        <w:tc>
          <w:tcPr>
            <w:tcW w:w="600" w:type="dxa"/>
            <w:vAlign w:val="bottom"/>
          </w:tcPr>
          <w:p>
            <w:pPr>
              <w:jc w:val="right"/>
              <w:spacing w:after="0"/>
              <w:rPr>
                <w:sz w:val="20"/>
                <w:szCs w:val="20"/>
                <w:color w:val="auto"/>
              </w:rPr>
            </w:pPr>
            <w:r>
              <w:rPr>
                <w:rFonts w:ascii="Arial" w:cs="Arial" w:eastAsia="Arial" w:hAnsi="Arial"/>
                <w:sz w:val="18"/>
                <w:szCs w:val="18"/>
                <w:color w:val="auto"/>
              </w:rPr>
              <w:t>9,320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(5,840)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10,711</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57,378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spacing w:after="0" w:line="201"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200"/>
              <w:spacing w:after="0"/>
              <w:rPr>
                <w:sz w:val="20"/>
                <w:szCs w:val="20"/>
                <w:color w:val="auto"/>
              </w:rPr>
            </w:pPr>
            <w:r>
              <w:rPr>
                <w:rFonts w:ascii="Arial" w:cs="Arial" w:eastAsia="Arial" w:hAnsi="Arial"/>
                <w:sz w:val="18"/>
                <w:szCs w:val="18"/>
                <w:b w:val="1"/>
                <w:bCs w:val="1"/>
                <w:color w:val="auto"/>
              </w:rPr>
              <w:t>INTERESTS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2,096</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6,698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LAZARD LTD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70,944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50,680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63,218</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w w:val="97"/>
              </w:rPr>
              <w:t>Amortization of deferred expenses, share-based incentive compensation and interest rate hedge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173,083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(47,391)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(4,583)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(58,317)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(59,656)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(112,956)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w w:val="98"/>
              </w:rPr>
              <w:t>(127,851)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(48,941)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(46,888)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(1,336)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(13,462)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8"/>
              </w:rPr>
              <w:t>(152,413)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(43,011)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(29,421)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8"/>
              </w:rPr>
              <w:t>(238,908)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(254,482)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8"/>
              </w:rPr>
              <w:t>(252,553)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(225,683)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1,003,791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1,209,695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80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64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9"/>
              </w:rPr>
              <w:t>Held By a Subsidiary</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117,011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117,011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131,549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00"/>
              <w:spacing w:after="0" w:line="138" w:lineRule="exact"/>
              <w:rPr>
                <w:sz w:val="20"/>
                <w:szCs w:val="20"/>
                <w:color w:val="auto"/>
              </w:rPr>
            </w:pPr>
            <w:r>
              <w:rPr>
                <w:rFonts w:ascii="Arial" w:cs="Arial" w:eastAsia="Arial" w:hAnsi="Arial"/>
                <w:sz w:val="14"/>
                <w:szCs w:val="14"/>
                <w:color w:val="auto"/>
                <w:w w:val="94"/>
              </w:rPr>
              <w:t>Other comprehensive income (loss) -</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30,418</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30,418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32,174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 interest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(3,434)</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8"/>
              </w:rPr>
              <w:t>Adjustments for items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1,054</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145,547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16,187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161,734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Business acquisitions and related equity</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transactions: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00"/>
              <w:spacing w:after="0" w:line="138" w:lineRule="exact"/>
              <w:rPr>
                <w:sz w:val="20"/>
                <w:szCs w:val="20"/>
                <w:color w:val="auto"/>
              </w:rPr>
            </w:pPr>
            <w:r>
              <w:rPr>
                <w:rFonts w:ascii="Arial" w:cs="Arial" w:eastAsia="Arial" w:hAnsi="Arial"/>
                <w:sz w:val="14"/>
                <w:szCs w:val="14"/>
                <w:color w:val="auto"/>
                <w:w w:val="90"/>
              </w:rPr>
              <w:t>Class A common stock issued/issuable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tcPr>
          <w:p>
            <w:pPr>
              <w:ind w:left="420"/>
              <w:spacing w:after="0"/>
              <w:rPr>
                <w:sz w:val="20"/>
                <w:szCs w:val="20"/>
                <w:color w:val="auto"/>
              </w:rPr>
            </w:pPr>
            <w:r>
              <w:rPr>
                <w:rFonts w:ascii="Arial" w:cs="Arial" w:eastAsia="Arial" w:hAnsi="Arial"/>
                <w:sz w:val="14"/>
                <w:szCs w:val="14"/>
                <w:color w:val="auto"/>
              </w:rPr>
              <w:t>(including related amortization)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4,180</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4,180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 incentive</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144,261</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144,261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8,272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152,533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5,958</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(5,991)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(32,855)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(32,855)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3,156,416</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(126,237)</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(126,237)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(126,237)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1"/>
              </w:rPr>
              <w:t>connection with share-based incentive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compensation and related tax benefits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$2,178</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(282,956)</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(5,664,049)</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194,424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(88,532)</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(88,457)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Repurchase of common membership</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(751)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(751)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Class A common stock issued in exchange</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 Lazard Group common</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728,385</w:t>
            </w: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9"/>
              </w:rPr>
              <w:t>Adjustment related to the change in Lazard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Ltd’s ownership in Lazard Group</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(1,580)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(1,580)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Distributions to noncontrolling interests,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(7,054)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(7,054)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interests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14,323</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(205)</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14,118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(14,118)</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 June 30, 2011</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22,021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120,426,322</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1,204</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642,269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0"/>
              </w:rPr>
              <w:t>$ 244,633</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(17,827)</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w w:val="99"/>
              </w:rPr>
              <w:t>4,339,875</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(159,763)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710,516</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147,276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857,792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6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119,697,936 and 120,426,321 shares of the Company’s Class A common stock issued at January 1, 2011 and June 30, 2011,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40" w:type="dxa"/>
            <w:vAlign w:val="bottom"/>
            <w:gridSpan w:val="3"/>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2"/>
              </w:rPr>
              <w:t>Series A</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9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Held By Subsidiaries</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4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2012</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7,921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123,009,312</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$1,230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659,013</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$ 258,646</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(88,364)</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3,492,017</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$(104,382)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726,143</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140,713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866,856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56,373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56,373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63,218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w w:val="88"/>
              </w:rPr>
              <w:t>Other comprehensive income (loss) -</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(2,004)</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(2,004)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640"/>
              <w:spacing w:after="0" w:line="138" w:lineRule="exact"/>
              <w:rPr>
                <w:sz w:val="20"/>
                <w:szCs w:val="20"/>
                <w:color w:val="auto"/>
              </w:rPr>
            </w:pPr>
            <w:r>
              <w:rPr>
                <w:rFonts w:ascii="Arial" w:cs="Arial" w:eastAsia="Arial" w:hAnsi="Arial"/>
                <w:sz w:val="14"/>
                <w:szCs w:val="14"/>
                <w:color w:val="auto"/>
                <w:w w:val="93"/>
              </w:rPr>
              <w:t>Amortization of interest rate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(5,747)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(5,747)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(307)</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rPr>
              <w:t>Adjustments for</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items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1,558</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1,558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1,641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26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50,680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6,698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57,378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Business acquisitions and related equity</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transactions:</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Class A common stock</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420"/>
              <w:spacing w:after="0" w:line="149" w:lineRule="exact"/>
              <w:rPr>
                <w:sz w:val="20"/>
                <w:szCs w:val="20"/>
                <w:color w:val="auto"/>
              </w:rPr>
            </w:pPr>
            <w:r>
              <w:rPr>
                <w:rFonts w:ascii="Arial" w:cs="Arial" w:eastAsia="Arial" w:hAnsi="Arial"/>
                <w:sz w:val="14"/>
                <w:szCs w:val="14"/>
                <w:color w:val="auto"/>
              </w:rPr>
              <w:t>issued/issuable (including</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60" w:type="dxa"/>
            <w:vAlign w:val="bottom"/>
          </w:tcPr>
          <w:p>
            <w:pPr>
              <w:ind w:left="420"/>
              <w:spacing w:after="0"/>
              <w:rPr>
                <w:sz w:val="20"/>
                <w:szCs w:val="20"/>
                <w:color w:val="auto"/>
              </w:rPr>
            </w:pPr>
            <w:r>
              <w:rPr>
                <w:rFonts w:ascii="Arial" w:cs="Arial" w:eastAsia="Arial" w:hAnsi="Arial"/>
                <w:sz w:val="14"/>
                <w:szCs w:val="14"/>
                <w:color w:val="auto"/>
              </w:rPr>
              <w:t>related amortization)</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2,865</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2,865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Amortization of share-based incentive</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144,766</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144,766</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7,720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152,486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7,277</w:t>
            </w: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(7,326)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(43,011)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5,706,592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(152,413)</w:t>
            </w: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(152,413)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(152,413)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Delivery of Class A common stock in</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connection with share-based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2"/>
              </w:rPr>
              <w:t>incentive compensation and related</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tax expense of $972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(119,757)</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2"/>
              </w:rPr>
              <w:t>(2,808,832)</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89,413</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(30,344)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(30,393)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w w:val="89"/>
              </w:rPr>
              <w:t>exchange for Lazard Group common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186,701</w:t>
            </w:r>
          </w:p>
        </w:tc>
        <w:tc>
          <w:tcPr>
            <w:tcW w:w="5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Distributions to noncontrolling interests,</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(12,678)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(12,678)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4"/>
                <w:szCs w:val="14"/>
                <w:color w:val="auto"/>
              </w:rPr>
              <w:t>Deconsolidation of investment</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companies</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(14,783)</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(14,783)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related to noncontrolling</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5,902</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(114)</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5,788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(5,788)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June 30, 2012</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80" w:type="dxa"/>
            <w:vAlign w:val="bottom"/>
            <w:gridSpan w:val="2"/>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7,921</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123,196,013</w:t>
            </w:r>
          </w:p>
        </w:tc>
        <w:tc>
          <w:tcPr>
            <w:tcW w:w="560" w:type="dxa"/>
            <w:vAlign w:val="bottom"/>
            <w:gridSpan w:val="3"/>
          </w:tcPr>
          <w:p>
            <w:pPr>
              <w:jc w:val="right"/>
              <w:ind w:right="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1,232</w:t>
            </w: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700,064</w:t>
            </w: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80"/>
              </w:rPr>
              <w:t>$ 264,682</w:t>
            </w:r>
          </w:p>
        </w:tc>
        <w:tc>
          <w:tcPr>
            <w:tcW w:w="10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(94,171)</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9"/>
              </w:rPr>
              <w:t>6,389,777</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(167,382)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704,425</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121,983</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826,408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340" w:right="26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123,009,311 and 123,196,012 shares of the Company’s Class A common stock issued at January 1, 2012 and June 30, 2012, respectively, and 1 share of the Company’s Class B common stock issued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5" w:lineRule="exact"/>
        <w:rPr>
          <w:sz w:val="20"/>
          <w:szCs w:val="20"/>
          <w:color w:val="auto"/>
        </w:rPr>
      </w:pPr>
    </w:p>
    <w:p>
      <w:pPr>
        <w:ind w:right="700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individuals.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Lazard Ltd indirectly held approximately 94.9% and 94.8% of all outstanding Lazard Group common membership interests as of June 30, 2012 and December 31, 2011, respectively. Lazard Ltd, through its control of the managing members of Lazard Group, controls Lazard Group, which is governed by an Operating Agreement dated as of May 10, 2005, as amended (the “Operating Agreement”). LAZ-MD Holdings LLC (“LAZ-MD Holdings”), an entity owned by Lazard Group’s current and former managing directors, held approximately 5.1% and 5.2% of the outstanding Lazard Group common membership interests as of June 30, 2012 and December 31, 2011, respectively. Additionally, LAZ-MD Holdings was the sole owner of the one issued and outstanding share of Lazard Ltd’s Class B common stock (the “Class B common stock”) which provided LAZ-MD Holdings with approximately 5.1% and 5.2% of the voting power but no economic rights in the Company as of such respective dates. Subject to certain limitations, LAZ-MD Holdings’ interests in Lazard Group are exchangeable for Lazard Ltd Class A common stock, par value $0.01 per share (“Class A common stock”).</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sole operating asset is our indirect ownership of common membership interests of Lazard Group and our managing member interest of Lazard Group, whose principal operating activities are included in two business segments:</w:t>
      </w:r>
    </w:p>
    <w:p>
      <w:pPr>
        <w:spacing w:after="0" w:line="51" w:lineRule="exact"/>
        <w:rPr>
          <w:sz w:val="20"/>
          <w:szCs w:val="20"/>
          <w:color w:val="auto"/>
        </w:rPr>
      </w:pPr>
    </w:p>
    <w:p>
      <w:pPr>
        <w:jc w:val="both"/>
        <w:ind w:left="900" w:right="1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2011 (the “Form 10-K”). The accompanying December 31, 2011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six month periods ended June 30, 2012 are not necessarily indicative of the results to be expected for any future interim or annual period.</w:t>
      </w:r>
    </w:p>
    <w:p>
      <w:pPr>
        <w:spacing w:after="0" w:line="4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Intercompany transactions and balances have been eliminated.</w:t>
      </w:r>
    </w:p>
    <w:p>
      <w:pPr>
        <w:spacing w:after="0" w:line="18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—In the first quarter of 2012, the Company adopted the amended fair value measurement guidance issued by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Board (the “FASB”), which the FASB stated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are required, including (i) a quantitative disclosure of the unobservable inputs and assumptions used in the measurement, (ii) the valuation processes used and the sensitivity of fair value measurements related to investments categorized within Level 3 of the hierarchy of fair value measurements to 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became effective for interim and annual periods beginning after December 15, 2011 and is applied prospectively. The adoption of the amended fair value measurement guidance did not have a material impact on the Company’s consolidated financial statements, primarily because substantially all Level 3 assets are carried at net asset value (“NAV”) or its equivalent.</w:t>
      </w:r>
    </w:p>
    <w:p>
      <w:pPr>
        <w:spacing w:after="0" w:line="12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i w:val="1"/>
          <w:iCs w:val="1"/>
          <w:color w:val="auto"/>
        </w:rPr>
        <w:t>Other Comprehensive Income</w:t>
      </w:r>
      <w:r>
        <w:rPr>
          <w:rFonts w:ascii="Arial" w:cs="Arial" w:eastAsia="Arial" w:hAnsi="Arial"/>
          <w:sz w:val="18"/>
          <w:szCs w:val="18"/>
          <w:color w:val="auto"/>
        </w:rPr>
        <w:t>—In the first quarter of 2012, the Company adopted the FASB’s amended guidance regarding the presentation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which the FASB stated was designed to improve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comparability, consistency and transparency. The amendment required that all changes in comprehensive income be presented either in (i) a single continuous statement of comprehensive income or in (ii) two separate but consecutive statements. The amendment was to be applied retrospectively and is effective with interim and annual periods beginning after December 15, 2011, with early adoption permitted. The Company elected the two-statement method.</w:t>
      </w:r>
    </w:p>
    <w:p>
      <w:pPr>
        <w:spacing w:after="0" w:line="2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 - 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$20,756 and $19,450 at June 30, 2012 and December 31, 2011, respectively, for past due amounts and for specific accounts deemed uncollectible, which may include situations where a fee is in dispute. The Company recorded net bad debt expense (recoveries) of $(133) and $1,148 for the three month and six month periods ended June 30, 2012, respectively, and $2,463 and $3,430 for the three month and six month periods ended June 30, 2011, respectively. In addition, the Company recorded charge-offs, foreign currency translation and other adjustments, which resulted in a net increase (decrease) to the allowance for doubtful accounts of $(283) and $158 for the three month and six month periods ended June 30, 2012, respectively, and $(1,435) and $(1,922) for the three month and six month periods ended June 30, 2011, respectively. At June 30, 2012 and December 31, 2011, the Company had receivables deemed past due or uncollectible of $22,857 and $22,785, respectively.</w:t>
      </w:r>
    </w:p>
    <w:p>
      <w:pPr>
        <w:spacing w:after="0" w:line="24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Equities (a)</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212,314</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156,053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Interests in alternative asset management funds (a)</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113,991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207,099</w:t>
            </w: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185,502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439,683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Less: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 (included in “debt” above)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427,525</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320" w:type="dxa"/>
            <w:vAlign w:val="bottom"/>
            <w:gridSpan w:val="3"/>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1,097</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Equities, interests in alternative asset management funds and fixed income funds include investments with fair values of $73,174, $3,512 and $20,237, respectively, at June 30, 2012 and $19,857, $2,256 and $5,212,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ind w:left="460" w:right="140"/>
        <w:spacing w:after="0" w:line="306" w:lineRule="auto"/>
        <w:rPr>
          <w:sz w:val="20"/>
          <w:szCs w:val="20"/>
          <w:color w:val="auto"/>
        </w:rPr>
      </w:pPr>
      <w:r>
        <w:rPr>
          <w:rFonts w:ascii="Arial" w:cs="Arial" w:eastAsia="Arial" w:hAnsi="Arial"/>
          <w:sz w:val="16"/>
          <w:szCs w:val="16"/>
          <w:color w:val="auto"/>
        </w:rPr>
        <w:t>at December 31, 2011, held in order to satisfy the Company’s liability upon vesting of previously granted Lazard Fund Interests (“Lazard Fund Interests”) and other similar deferred compensation arrangements. Lazard Fund Interests represent grants by the Company to eligible employees of actual or notional interests in a number of Lazard-managed funds (see Notes 6 and 13 of Notes to Condensed Consolidated Financial Statements).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securities primarily consist of seed investments in Asset Management products and U.S. and non-U.S. government debt securities.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Equities primarily consist of (i) seed investments in Asset Management products, which in turn invest in marketable equity securities of large-, mid- and small-cap domestic, international and global companies and include investments in public and private asset management funds managed both by LAM and third-party asset managers and (ii) amounts relating to Lazard Fund Interests discussed above.</w:t>
      </w:r>
    </w:p>
    <w:p>
      <w:pPr>
        <w:spacing w:after="0" w:line="14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Interests in alternative asset management funds primarily consist of general partner (“GP”) interests in various Lazard-managed alternative asset management funds.</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Fixed income funds primarily consist of (i) seed investments in Asset Management products, which invest in fixed income securities and (ii) amounts relating to Lazard Fund Interests discussed above.</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(iii) Edgewater Growth Capital Partners III, L.P. (“EGCP III”), a private equity fund primarily making equity and buyout investments in lower middle market companies, (iv) Lazard Senior Housing Partners LP (“Senior Housing”), which targets controlling interests in companies and assets in the senior housing, extended-stay hotel and shopping center sectors, and (v) Lazard Australia Corporate Opportunities Fund 2 (“COF 2”), a Lazard-managed Australian private equity fund.</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Private equity investments consolidated but not owned by Lazard relate to the economic interests that are owned by the management team and other investors in the Edgewater Funds (“Edgewater”) which aggregated $19,932 and $18,502 at June 30, 2012 and December 31, 2011, respectively.</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 and six month periods ended June 30, 2012 and 2011, the Company recognized gross investment gains and losses in “revenue-other” on its condensed consolidated statements of operations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2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Three Month Period</w:t>
            </w:r>
          </w:p>
        </w:tc>
        <w:tc>
          <w:tcPr>
            <w:tcW w:w="100" w:type="dxa"/>
            <w:vAlign w:val="bottom"/>
          </w:tcPr>
          <w:p>
            <w:pPr>
              <w:spacing w:after="0"/>
              <w:rPr>
                <w:sz w:val="14"/>
                <w:szCs w:val="14"/>
                <w:color w:val="auto"/>
              </w:rPr>
            </w:pPr>
          </w:p>
        </w:tc>
        <w:tc>
          <w:tcPr>
            <w:tcW w:w="190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36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9"/>
              </w:rPr>
              <w:t>Ended June 30,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6"/>
              </w:rPr>
              <w:t>June 30,</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500" w:type="dxa"/>
            <w:vAlign w:val="bottom"/>
            <w:tcBorders>
              <w:top w:val="single" w:sz="8" w:color="auto"/>
            </w:tcBorders>
          </w:tcPr>
          <w:p>
            <w:pPr>
              <w:jc w:val="right"/>
              <w:ind w:right="2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w w:val="96"/>
              </w:rPr>
              <w:t>2012</w:t>
            </w: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3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$1,715</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$ 8,830</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29,359</w:t>
            </w: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15,205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120" w:type="dxa"/>
            <w:vAlign w:val="bottom"/>
            <w:gridSpan w:val="3"/>
          </w:tcPr>
          <w:p>
            <w:pPr>
              <w:ind w:left="3240"/>
              <w:spacing w:after="0"/>
              <w:rPr>
                <w:sz w:val="20"/>
                <w:szCs w:val="20"/>
                <w:color w:val="auto"/>
              </w:rPr>
            </w:pPr>
            <w:r>
              <w:rPr>
                <w:rFonts w:ascii="Arial" w:cs="Arial" w:eastAsia="Arial" w:hAnsi="Arial"/>
                <w:sz w:val="18"/>
                <w:szCs w:val="18"/>
                <w:color w:val="auto"/>
              </w:rPr>
              <w:t>$3,052</w:t>
            </w:r>
          </w:p>
        </w:tc>
        <w:tc>
          <w:tcPr>
            <w:tcW w:w="1640" w:type="dxa"/>
            <w:vAlign w:val="bottom"/>
            <w:gridSpan w:val="3"/>
          </w:tcPr>
          <w:p>
            <w:pPr>
              <w:jc w:val="right"/>
              <w:ind w:right="740"/>
              <w:spacing w:after="0"/>
              <w:rPr>
                <w:sz w:val="20"/>
                <w:szCs w:val="20"/>
                <w:color w:val="auto"/>
              </w:rPr>
            </w:pPr>
            <w:r>
              <w:rPr>
                <w:rFonts w:ascii="Arial" w:cs="Arial" w:eastAsia="Arial" w:hAnsi="Arial"/>
                <w:sz w:val="18"/>
                <w:szCs w:val="18"/>
                <w:color w:val="auto"/>
              </w:rPr>
              <w:t>$ 2,235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4,036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3240" w:type="dxa"/>
            <w:vAlign w:val="bottom"/>
          </w:tcPr>
          <w:p>
            <w:pPr>
              <w:jc w:val="right"/>
              <w:ind w:right="1012"/>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 Period</w:t>
            </w:r>
          </w:p>
        </w:tc>
        <w:tc>
          <w:tcPr>
            <w:tcW w:w="226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4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3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2011</w:t>
            </w:r>
          </w:p>
        </w:tc>
        <w:tc>
          <w:tcPr>
            <w:tcW w:w="6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2011</w:t>
            </w:r>
          </w:p>
        </w:tc>
        <w:tc>
          <w:tcPr>
            <w:tcW w:w="56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1,214</w:t>
            </w:r>
          </w:p>
        </w:tc>
        <w:tc>
          <w:tcPr>
            <w:tcW w:w="560" w:type="dxa"/>
            <w:vAlign w:val="bottom"/>
            <w:shd w:val="clear" w:color="auto" w:fill="CCEEFF"/>
          </w:tcPr>
          <w:p>
            <w:pPr>
              <w:spacing w:after="0"/>
              <w:rPr>
                <w:sz w:val="18"/>
                <w:szCs w:val="18"/>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1,721</w:t>
            </w: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193</w:t>
            </w:r>
          </w:p>
        </w:tc>
        <w:tc>
          <w:tcPr>
            <w:tcW w:w="6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$1,721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313</w:t>
            </w:r>
          </w:p>
        </w:tc>
      </w:tr>
    </w:tbl>
    <w:p>
      <w:pPr>
        <w:spacing w:after="0" w:line="18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13"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60" w:hanging="904"/>
        <w:spacing w:after="0" w:line="256"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(ii) assets valued based on NAV or its equivalent redeemable at the measurement date or within the near term without redemption restrictions, or (iii) inputs other than quoted prices that are directly observable or derived principally from, or corroborated by, market data.</w:t>
      </w:r>
    </w:p>
    <w:p>
      <w:pPr>
        <w:spacing w:after="0" w:line="62" w:lineRule="exact"/>
        <w:rPr>
          <w:sz w:val="20"/>
          <w:szCs w:val="20"/>
          <w:color w:val="auto"/>
        </w:rPr>
      </w:pPr>
    </w:p>
    <w:p>
      <w:pPr>
        <w:ind w:left="920" w:right="140" w:hanging="904"/>
        <w:spacing w:after="0" w:line="318"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5"/>
          <w:szCs w:val="15"/>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 as well as assets valued based on NAV or its equivalent, but not redeemable within the near term as a result of redemption restrictions.</w:t>
      </w:r>
    </w:p>
    <w:p>
      <w:pPr>
        <w:spacing w:after="0" w:line="10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Company’s investments in U.S. and non-U.S. Government and other debt securities are considered Level 1 assets when their respective fair values are based on unadjusted quoted prices in active markets and are considered Level 2 assets when their fair values are primarily based on prices as provided by external pricing services.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fair value of equities is principally classified as Level 1, Level 2 or Level 3 as follows: marketable equity securities are classified as Level 1 and are valued based on the last trade price on the primary exchange for that security; public asset management funds are classified as Level 1 and are valued based on the reported closing price for the fund; investments in private asset management funds redeemable in the near term are classified as Level 2 and valued at NAV or its equivalent, which is primarily determined based on information provided by fund managers and, secondarily, from external pricing services to the extent managed by LAM; and Level 3 represents equities valued based on NAV or its equivalent that are not redeemable within the near term.</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fair value of interests in alternative asset management funds is classified as either Level 2 or Level 3 depending on the time frame of any applicable redemption restriction, and is valued at NAV or its equivalent, which is primarily determined based on information provided by fund managers and, secondarily, from external pricing services to the extent managed by LAM.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investments in fixed income funds are considered Level 1 assets when the fair values are based on the reported closing price for the fund or Level 2 assets when the fair values are primarily based on broker quotes as provided by external pricing services.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primarily based on NAV or its equivalent. Such investments are not redeemable within the near term.</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 the fair value of forward foreign currency exchange rate contracts is a function of the spot rate and the interest rate differential of the currency from the trade date to settlement date; the fair value of equity and fixed income swaps is based on the change in fair values of the related underlying equity security, financial instrument or index and a specified notional holding; the fair values of interest rate swaps are based on the interest rate yield curve; and the fair value of derivative liabilities related to Lazard Fund Interests and other similar deferred compensation arrangements is based on the value of the underlying investments, adjusted for estimated forfeitures.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Where information reported is based on data received from fund managers or from external pricing services, the Company reviews such information to ascertain at which level within the fair value hierarchy to classify the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June 30, 2012 and December 31, 2011 into the three-level fair value hierarchy in accordance with fair value measurement disclosure requirements: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June 30, 2012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168,187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43,936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212,314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31,884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36,500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47,165</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113,991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113,991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214,700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98,476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118,798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431,974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87,495</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1,097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87,495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88,592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2011</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1</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Investments: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interest-bearing deposits)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34,132</w:t>
            </w:r>
          </w:p>
        </w:tc>
        <w:tc>
          <w:tcPr>
            <w:tcW w:w="0" w:type="dxa"/>
            <w:vAlign w:val="bottom"/>
          </w:tcPr>
          <w:p>
            <w:pPr>
              <w:spacing w:after="0"/>
              <w:rPr>
                <w:sz w:val="1"/>
                <w:szCs w:val="1"/>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115,380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37,332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156,053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Interests in alternative asset management funds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20,610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31,121</w:t>
            </w:r>
          </w:p>
        </w:tc>
        <w:tc>
          <w:tcPr>
            <w:tcW w:w="0" w:type="dxa"/>
            <w:vAlign w:val="bottom"/>
          </w:tcPr>
          <w:p>
            <w:pPr>
              <w:spacing w:after="0"/>
              <w:rPr>
                <w:sz w:val="1"/>
                <w:szCs w:val="1"/>
                <w:color w:val="auto"/>
              </w:rPr>
            </w:pPr>
          </w:p>
        </w:tc>
      </w:tr>
      <w:tr>
        <w:trPr>
          <w:trHeight w:val="216"/>
        </w:trPr>
        <w:tc>
          <w:tcPr>
            <w:tcW w:w="49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122,718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122,718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160,030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78,635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133,100</w:t>
            </w:r>
          </w:p>
        </w:tc>
        <w:tc>
          <w:tcPr>
            <w:tcW w:w="2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371,765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30,713</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4,282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30,713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34,995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00" w:type="dxa"/>
            <w:vAlign w:val="bottom"/>
            <w:vMerge w:val="restart"/>
          </w:tcPr>
          <w:p>
            <w:pPr>
              <w:jc w:val="right"/>
              <w:ind w:right="15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2012 and 2011.</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2012 and 2011: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right"/>
              <w:ind w:right="360"/>
              <w:spacing w:after="0"/>
              <w:rPr>
                <w:sz w:val="20"/>
                <w:szCs w:val="20"/>
                <w:color w:val="auto"/>
              </w:rPr>
            </w:pPr>
            <w:r>
              <w:rPr>
                <w:rFonts w:ascii="Arial" w:cs="Arial" w:eastAsia="Arial" w:hAnsi="Arial"/>
                <w:sz w:val="14"/>
                <w:szCs w:val="14"/>
                <w:b w:val="1"/>
                <w:bCs w:val="1"/>
                <w:color w:val="auto"/>
                <w:w w:val="93"/>
              </w:rPr>
              <w:t>Three Months Ended June 30, 2012</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Net 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Included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 Revenue-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9"/>
              </w:rPr>
              <w:t>Other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227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680" w:type="dxa"/>
            <w:vAlign w:val="bottom"/>
            <w:gridSpan w:val="2"/>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116,563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(4,873)</w:t>
            </w: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3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122,695</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w w:val="95"/>
              </w:rPr>
              <w:t>Six Months Ended June 30, 2012</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5"/>
          </w:tcPr>
          <w:p>
            <w:pPr>
              <w:jc w:val="center"/>
              <w:ind w:right="2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Included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gridSpan w:val="5"/>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60" w:type="dxa"/>
            <w:vAlign w:val="bottom"/>
          </w:tcPr>
          <w:p>
            <w:pPr>
              <w:spacing w:after="0"/>
              <w:rPr>
                <w:sz w:val="12"/>
                <w:szCs w:val="12"/>
                <w:color w:val="auto"/>
              </w:rPr>
            </w:pPr>
          </w:p>
        </w:tc>
        <w:tc>
          <w:tcPr>
            <w:tcW w:w="80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Sales/</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Other (a)</w:t>
            </w:r>
          </w:p>
        </w:tc>
        <w:tc>
          <w:tcPr>
            <w:tcW w:w="26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2"/>
              </w:rPr>
              <w:t>Acquisitions</w:t>
            </w:r>
          </w:p>
        </w:tc>
        <w:tc>
          <w:tcPr>
            <w:tcW w:w="3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Interests in alternative asset management funds</w:t>
            </w: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7,041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Private equity</w:t>
            </w:r>
          </w:p>
        </w:tc>
        <w:tc>
          <w:tcPr>
            <w:tcW w:w="5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122,718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(22,745)</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133,100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(28,429)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9"/>
          </w:tcPr>
          <w:p>
            <w:pPr>
              <w:jc w:val="right"/>
              <w:ind w:right="340"/>
              <w:spacing w:after="0"/>
              <w:rPr>
                <w:sz w:val="20"/>
                <w:szCs w:val="20"/>
                <w:color w:val="auto"/>
              </w:rPr>
            </w:pPr>
            <w:r>
              <w:rPr>
                <w:rFonts w:ascii="Arial" w:cs="Arial" w:eastAsia="Arial" w:hAnsi="Arial"/>
                <w:sz w:val="14"/>
                <w:szCs w:val="14"/>
                <w:b w:val="1"/>
                <w:bCs w:val="1"/>
                <w:color w:val="auto"/>
                <w:w w:val="94"/>
              </w:rPr>
              <w:t>Three Months Ended June 30, 2011</w:t>
            </w: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Included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Currency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Purchases/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Sales/</w:t>
            </w: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1"/>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Other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8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lef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5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171,487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174,704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136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171,616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3,548</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(2,052)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174,839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2"/>
              </w:rPr>
              <w:t>Six Months Ended June 30, 2011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Foreign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Included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 Revenue-</w:t>
            </w:r>
          </w:p>
        </w:tc>
        <w:tc>
          <w:tcPr>
            <w:tcW w:w="26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Sales/</w:t>
            </w:r>
          </w:p>
        </w:tc>
        <w:tc>
          <w:tcPr>
            <w:tcW w:w="1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Translation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Balance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Other (a)</w:t>
            </w:r>
          </w:p>
        </w:tc>
        <w:tc>
          <w:tcPr>
            <w:tcW w:w="2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Adjustments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163,482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163,798</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13,075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(9,355)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3,494</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64"/>
        <w:spacing w:after="0" w:line="268"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Earnings for the three month and six month periods ended June 30, 2012 and three month and six month periods ended June 30, 2011 include net unrealized gains of $3,483, $9,563, $3,538 and $3,817, respectively.</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Fair Value of Certain Investments Based on NAV</w:t>
      </w:r>
      <w:r>
        <w:rPr>
          <w:rFonts w:ascii="Arial" w:cs="Arial" w:eastAsia="Arial" w:hAnsi="Arial"/>
          <w:sz w:val="16"/>
          <w:szCs w:val="16"/>
          <w:color w:val="auto"/>
        </w:rPr>
        <w:t>—The Company’s Level 2 and Level 3 investments at June 30, 2012 and December 31, 2011 include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investments that are valued using NAV or its equivalent as a practical expedient in determining fair value. Information with respect thereto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June 30, 2012</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40" w:type="dxa"/>
            <w:vAlign w:val="bottom"/>
            <w:gridSpan w:val="6"/>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Estimated Liquidation Period of</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of</w:t>
            </w:r>
          </w:p>
        </w:tc>
        <w:tc>
          <w:tcPr>
            <w:tcW w:w="3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6"/>
              </w:rPr>
              <w:t>Investments Not Redeemable</w:t>
            </w:r>
          </w:p>
        </w:tc>
        <w:tc>
          <w:tcPr>
            <w:tcW w:w="178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Investments Redeemable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5"/>
              </w:rPr>
              <w:t>Unfunded</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Not</w:t>
            </w: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Commitments</w:t>
            </w: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5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Interests in alternative asset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management funds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112,392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206,754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w w:val="88"/>
              </w:rPr>
              <w:t>December 31, 2011</w:t>
            </w: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40" w:type="dxa"/>
            <w:vAlign w:val="bottom"/>
            <w:gridSpan w:val="6"/>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Estimated Liquidation Period of</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of</w:t>
            </w:r>
          </w:p>
        </w:tc>
        <w:tc>
          <w:tcPr>
            <w:tcW w:w="304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86"/>
              </w:rPr>
              <w:t>Investments Not Redeemable</w:t>
            </w:r>
          </w:p>
        </w:tc>
        <w:tc>
          <w:tcPr>
            <w:tcW w:w="1780" w:type="dxa"/>
            <w:vAlign w:val="bottom"/>
            <w:gridSpan w:val="3"/>
          </w:tcPr>
          <w:p>
            <w:pPr>
              <w:ind w:left="180"/>
              <w:spacing w:after="0"/>
              <w:rPr>
                <w:sz w:val="20"/>
                <w:szCs w:val="20"/>
                <w:color w:val="auto"/>
              </w:rPr>
            </w:pPr>
            <w:r>
              <w:rPr>
                <w:rFonts w:ascii="Arial" w:cs="Arial" w:eastAsia="Arial" w:hAnsi="Arial"/>
                <w:sz w:val="14"/>
                <w:szCs w:val="14"/>
                <w:b w:val="1"/>
                <w:bCs w:val="1"/>
                <w:color w:val="auto"/>
                <w:w w:val="93"/>
              </w:rPr>
              <w:t>Investments Redeemable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9"/>
              </w:rPr>
              <w:t>Fair Value</w:t>
            </w:r>
          </w:p>
        </w:tc>
        <w:tc>
          <w:tcPr>
            <w:tcW w:w="4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Redemption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w w:val="85"/>
              </w:rPr>
              <w:t>Unfunded</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Not</w:t>
            </w: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Next</w:t>
            </w: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5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Redemption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Commitments</w:t>
            </w:r>
          </w:p>
        </w:tc>
        <w:tc>
          <w:tcPr>
            <w:tcW w:w="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5 Years</w:t>
            </w: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Years</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Thereafter</w:t>
            </w:r>
          </w:p>
        </w:tc>
        <w:tc>
          <w:tcPr>
            <w:tcW w:w="5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Frequency</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funds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Quarterly</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Interests in alternative asset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management funds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Quarterly</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&gt;90 Days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Monthly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 Days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121,276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52,197</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33%</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185,970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June 30, 2012, the current maximum unfunded commitments by the Company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(i) CP II, amounting to $2,124 for potential “follow-on investments” and/or for fund expenses through the earlier of February 25, 2017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or the liquidation of the fund, (ii) EGCP III, amounting to $25,673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 as of that date remaining committed until October 12, 2023 in respect of “follow-on investments” and/or fund expenses) or the liquidation of the fund and (iii) COF 2, amounting to $7,929, through the earlier of November 11,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fund expenses (with a portion of the undrawn amount of such commitment as of that date remaining committed until November 11, 2019 in respect of “follow-on investments” and/or fund expenses) or the liquidation of the fund.</w:t>
      </w:r>
    </w:p>
    <w:p>
      <w:pPr>
        <w:spacing w:after="0" w:line="23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 enters into forward foreign currency exchange rate contracts, interest rate swaps, interest rate futures, equity and fixed income swaps and other derivative contracts to hedge exposures to fluctuations in currency exchange rates, interest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Gains and losses on the Company’s derivative instruments not designated as hedging instruments are included in “interest income” and “interest expense”, respectively, or “revenue-other”, depending on the nature of the underlying item, on the consolidated statements of operations.</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Lazard Fund Interests awards and other similar deferred compensation arrangements, the fair value of which is based on the value of the underlying investments, adjusted for estimated forfeitures, and is included in “accrued compensation and benefits” in the consolidated statements of financial condition. Changes in the fair value of the derivative liabilities are included in “compensation and benefits” in the consolidated statements of operations, the impact of which equally offsets the changes in the fair value of investments which are currently expected to be delivered upon settlement of Lazard Fund Interests awards, which is reported in “revenue-other” in the consolidated statements of operations.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table below represents the fair values of the Company’s derivative instruments reported within “other assets” and “other liabilities” and the fair value of the Company’s derivative liabilities relating to its obligations pertaining to Lazard Fund Interests and other similar deferred compensation arrangements reported within “accrued compensation and benefits” (see Note 13 of Notes to Condensed Consolidated Financial Statements) on the accompanying condensed consolidated statements of financial condition as of June 30, 2012 and December 31,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52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4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5480" w:type="dxa"/>
            <w:vAlign w:val="bottom"/>
            <w:gridSpan w:val="3"/>
          </w:tcPr>
          <w:p>
            <w:pPr>
              <w:jc w:val="right"/>
              <w:ind w:right="260"/>
              <w:spacing w:after="0"/>
              <w:rPr>
                <w:sz w:val="20"/>
                <w:szCs w:val="20"/>
                <w:color w:val="auto"/>
              </w:rPr>
            </w:pPr>
            <w:r>
              <w:rPr>
                <w:rFonts w:ascii="Arial" w:cs="Arial" w:eastAsia="Arial" w:hAnsi="Arial"/>
                <w:sz w:val="18"/>
                <w:szCs w:val="18"/>
                <w:color w:val="auto"/>
              </w:rPr>
              <w:t>$1,084</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 and other</w:t>
            </w:r>
          </w:p>
        </w:tc>
        <w:tc>
          <w:tcPr>
            <w:tcW w:w="4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vMerge w:val="continue"/>
          </w:tcPr>
          <w:p>
            <w:pPr>
              <w:spacing w:after="0"/>
              <w:rPr>
                <w:sz w:val="19"/>
                <w:szCs w:val="19"/>
                <w:color w:val="auto"/>
              </w:rPr>
            </w:pPr>
          </w:p>
        </w:tc>
        <w:tc>
          <w:tcPr>
            <w:tcW w:w="46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4,449</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680" w:type="dxa"/>
            <w:vAlign w:val="bottom"/>
            <w:vMerge w:val="restart"/>
          </w:tcPr>
          <w:p>
            <w:pPr>
              <w:jc w:val="right"/>
              <w:ind w:right="3579"/>
              <w:spacing w:after="0"/>
              <w:rPr>
                <w:sz w:val="20"/>
                <w:szCs w:val="20"/>
                <w:color w:val="auto"/>
              </w:rPr>
            </w:pPr>
            <w:r>
              <w:rPr>
                <w:rFonts w:ascii="Arial" w:cs="Arial" w:eastAsia="Arial" w:hAnsi="Arial"/>
                <w:sz w:val="18"/>
                <w:szCs w:val="18"/>
                <w:color w:val="auto"/>
              </w:rPr>
              <w:t>18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9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1,491</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r>
      <w:tr>
        <w:trPr>
          <w:trHeight w:val="216"/>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r>
      <w:tr>
        <w:trPr>
          <w:trHeight w:val="216"/>
        </w:trPr>
        <w:tc>
          <w:tcPr>
            <w:tcW w:w="9420" w:type="dxa"/>
            <w:vAlign w:val="bottom"/>
          </w:tcPr>
          <w:p>
            <w:pPr>
              <w:ind w:left="440"/>
              <w:spacing w:after="0"/>
              <w:rPr>
                <w:sz w:val="20"/>
                <w:szCs w:val="20"/>
                <w:color w:val="auto"/>
              </w:rPr>
            </w:pPr>
            <w:r>
              <w:rPr>
                <w:rFonts w:ascii="Arial" w:cs="Arial" w:eastAsia="Arial" w:hAnsi="Arial"/>
                <w:sz w:val="18"/>
                <w:szCs w:val="18"/>
                <w:color w:val="auto"/>
              </w:rPr>
              <w:t>Equity and fixed income swaps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r>
      <w:tr>
        <w:trPr>
          <w:trHeight w:val="208"/>
        </w:trPr>
        <w:tc>
          <w:tcPr>
            <w:tcW w:w="9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(see Note 13)</w:t>
            </w:r>
          </w:p>
        </w:tc>
        <w:tc>
          <w:tcPr>
            <w:tcW w:w="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85,641</w:t>
            </w:r>
          </w:p>
        </w:tc>
        <w:tc>
          <w:tcPr>
            <w:tcW w:w="5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shd w:val="clear" w:color="auto" w:fill="CCEEFF"/>
          </w:tcPr>
          <w:p>
            <w:pPr>
              <w:spacing w:after="0"/>
              <w:rPr>
                <w:sz w:val="19"/>
                <w:szCs w:val="19"/>
                <w:color w:val="auto"/>
              </w:rPr>
            </w:pPr>
          </w:p>
        </w:tc>
      </w:tr>
      <w:tr>
        <w:trPr>
          <w:trHeight w:val="222"/>
        </w:trPr>
        <w:tc>
          <w:tcPr>
            <w:tcW w:w="94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87,495</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30,713</w:t>
            </w:r>
          </w:p>
        </w:tc>
        <w:tc>
          <w:tcPr>
            <w:tcW w:w="100" w:type="dxa"/>
            <w:vAlign w:val="bottom"/>
          </w:tcPr>
          <w:p>
            <w:pPr>
              <w:spacing w:after="0"/>
              <w:rPr>
                <w:sz w:val="19"/>
                <w:szCs w:val="19"/>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Lazard Fund Interests and other similar deferred compensation arrangements (reported in “compensation and benefits” expense) as reflected on the accompanying condensed consolidated statements of operations for the three month and six month periods ended June 30, 2012 and 2011, by type of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2012</w:t>
            </w: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$(3,139)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$ 2,129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(9,397)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Equity and fixed income swaps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3,630</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(432)</w:t>
            </w:r>
          </w:p>
        </w:tc>
        <w:tc>
          <w:tcPr>
            <w:tcW w:w="1340" w:type="dxa"/>
            <w:vAlign w:val="bottom"/>
            <w:gridSpan w:val="3"/>
          </w:tcPr>
          <w:p>
            <w:pPr>
              <w:jc w:val="right"/>
              <w:ind w:right="412"/>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Lazard Fund Interests and other similar deferred compensation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380" w:type="dxa"/>
            <w:vAlign w:val="bottom"/>
            <w:vMerge w:val="continue"/>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10,537</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(3,571)</w:t>
            </w:r>
          </w:p>
        </w:tc>
        <w:tc>
          <w:tcPr>
            <w:tcW w:w="1340" w:type="dxa"/>
            <w:vAlign w:val="bottom"/>
            <w:gridSpan w:val="3"/>
          </w:tcPr>
          <w:p>
            <w:pPr>
              <w:jc w:val="right"/>
              <w:ind w:right="4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(4,407)</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(12,118)</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management team retained a substantial economic interest in such entities. Edgewater’s activities are recorded in the Company’s Asset Management segment.</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 On December 30, 2011, 285,715 Initial Shares and 57,287 Earnout Shares became unrestricted or were otherwise delivered.</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prior years, the Company made certain other business acquisitions. These purchases were effected through an exchange of a combination of cash, Class A common stock, and by Lazard Ltd issuing shares of non-participating convertible Series A and Series B preferred stock, which were each convertible into Class A common stock. In connection with such acquisitions, as of both June 30, 2012 and December 31, 2011, 47,474 shares of Class A common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stock were issuable on a non-contingent basis. At June 30, 2012, no shares of Series A preferred stock were convertible into shares of Class A common stock on a contingent or a non-contingent basis. See Note 12 of Notes to Condensed Consolidated Financial Statements for additional information relating to preferred stock.</w:t>
      </w:r>
    </w:p>
    <w:p>
      <w:pPr>
        <w:spacing w:after="0" w:line="18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PROPERTY-NET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June 30, 2012 and December 31, 2011 property-net consists of the following:</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Depreciable</w:t>
            </w:r>
          </w:p>
        </w:tc>
        <w:tc>
          <w:tcPr>
            <w:tcW w:w="540" w:type="dxa"/>
            <w:vAlign w:val="bottom"/>
          </w:tcPr>
          <w:p>
            <w:pPr>
              <w:spacing w:after="0"/>
              <w:rPr>
                <w:sz w:val="12"/>
                <w:szCs w:val="12"/>
                <w:color w:val="auto"/>
              </w:rPr>
            </w:pPr>
          </w:p>
        </w:tc>
        <w:tc>
          <w:tcPr>
            <w:tcW w:w="10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6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Life in Years</w:t>
            </w:r>
          </w:p>
        </w:tc>
        <w:tc>
          <w:tcPr>
            <w:tcW w:w="122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$158,939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spacing w:after="0"/>
              <w:rPr>
                <w:sz w:val="20"/>
                <w:szCs w:val="20"/>
                <w:color w:val="auto"/>
              </w:rPr>
            </w:pPr>
            <w:r>
              <w:rPr>
                <w:rFonts w:ascii="Arial" w:cs="Arial" w:eastAsia="Arial" w:hAnsi="Arial"/>
                <w:sz w:val="18"/>
                <w:szCs w:val="18"/>
                <w:color w:val="auto"/>
              </w:rPr>
              <w:t>5 - 20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167,957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159,191</w:t>
            </w:r>
          </w:p>
        </w:tc>
        <w:tc>
          <w:tcPr>
            <w:tcW w:w="10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3 - 10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108,025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85,396</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459,979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435,102</w:t>
            </w:r>
          </w:p>
        </w:tc>
        <w:tc>
          <w:tcPr>
            <w:tcW w:w="10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261,690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266,673</w:t>
            </w: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Property-net</w:t>
            </w:r>
          </w:p>
        </w:tc>
        <w:tc>
          <w:tcPr>
            <w:tcW w:w="7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198,289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168,429</w:t>
            </w:r>
          </w:p>
        </w:tc>
        <w:tc>
          <w:tcPr>
            <w:tcW w:w="1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June 30, 2012 and December 31, 2011 are presented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June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$360,993</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356,657</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33,175</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394,168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393,099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June 30, 2012 and December 31, 2011, goodwill of $296,452 and $292,116, respectively, was attributable to the Company’s Financial Advisory segment and, at such respective dates, $64,541 of goodwill was attributable to the Company’s Asset Management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2012, and 2011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3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$356,657</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$313,229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Business acquisitions</w:t>
            </w:r>
          </w:p>
        </w:tc>
        <w:tc>
          <w:tcPr>
            <w:tcW w:w="4340" w:type="dxa"/>
            <w:vAlign w:val="bottom"/>
            <w:gridSpan w:val="2"/>
          </w:tcPr>
          <w:p>
            <w:pPr>
              <w:jc w:val="right"/>
              <w:spacing w:after="0"/>
              <w:rPr>
                <w:sz w:val="20"/>
                <w:szCs w:val="20"/>
                <w:color w:val="auto"/>
              </w:rPr>
            </w:pPr>
            <w:r>
              <w:rPr>
                <w:rFonts w:ascii="Arial" w:cs="Arial" w:eastAsia="Arial" w:hAnsi="Arial"/>
                <w:sz w:val="18"/>
                <w:szCs w:val="18"/>
                <w:color w:val="auto"/>
              </w:rPr>
              <w:t>4,272</w:t>
            </w:r>
          </w:p>
        </w:tc>
        <w:tc>
          <w:tcPr>
            <w:tcW w:w="3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36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Balance, June 30</w:t>
            </w:r>
          </w:p>
        </w:tc>
        <w:tc>
          <w:tcPr>
            <w:tcW w:w="4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360,993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$ 320,411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60" w:type="dxa"/>
            <w:vAlign w:val="bottom"/>
            <w:vMerge w:val="restart"/>
          </w:tcPr>
          <w:p>
            <w:pPr>
              <w:jc w:val="right"/>
              <w:ind w:right="2592"/>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2012 and December 31, 2011,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June 30, 2012</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$22,230</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$23,618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w w:val="93"/>
              </w:rPr>
              <w:t>Management fees, customer relationships and non-compete agreements</w:t>
            </w:r>
          </w:p>
        </w:tc>
        <w:tc>
          <w:tcPr>
            <w:tcW w:w="4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33,035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22,090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10,945</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32,624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63,775</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33,175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63,364</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26,922</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36,442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2012 was $2,560 and $3,678, respectively, and for the three month and six month periods ended June 30, 2011 was $1,706 and $3,180, respectively. Estimated future amortization expense is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1046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2012 (July 1 through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2013</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2015</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251460</wp:posOffset>
            </wp:positionV>
            <wp:extent cx="7200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hanging="567"/>
        <w:spacing w:after="0"/>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Approximately 45% of intangible asset amortization is attributable to a noncontrolling interest.</w:t>
      </w:r>
    </w:p>
    <w:p>
      <w:pPr>
        <w:spacing w:after="0" w:line="315"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June 30, 2012 and December 31, 2011: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Initial</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Annual</w:t>
            </w: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Principal</w:t>
            </w: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Maturity</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61"/>
        </w:trPr>
        <w:tc>
          <w:tcPr>
            <w:tcW w:w="6240" w:type="dxa"/>
            <w:vAlign w:val="bottom"/>
            <w:vMerge w:val="restart"/>
          </w:tcPr>
          <w:p>
            <w:pPr>
              <w:spacing w:after="0"/>
              <w:rPr>
                <w:sz w:val="20"/>
                <w:szCs w:val="20"/>
                <w:color w:val="auto"/>
              </w:rPr>
            </w:pPr>
            <w:r>
              <w:rPr>
                <w:rFonts w:ascii="Arial" w:cs="Arial" w:eastAsia="Arial" w:hAnsi="Arial"/>
                <w:sz w:val="18"/>
                <w:szCs w:val="18"/>
                <w:color w:val="auto"/>
              </w:rPr>
              <w:t>Lazard Group 7.125% Senior Notes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40" w:type="dxa"/>
            <w:vAlign w:val="bottom"/>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240" w:type="dxa"/>
            <w:vAlign w:val="bottom"/>
            <w:vMerge w:val="continue"/>
          </w:tcPr>
          <w:p>
            <w:pPr>
              <w:spacing w:after="0"/>
              <w:rPr>
                <w:sz w:val="17"/>
                <w:szCs w:val="17"/>
                <w:color w:val="auto"/>
              </w:rPr>
            </w:pP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w w:val="85"/>
              </w:rPr>
              <w:t>$550,000</w:t>
            </w:r>
          </w:p>
        </w:tc>
        <w:tc>
          <w:tcPr>
            <w:tcW w:w="44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w w:val="96"/>
              </w:rPr>
              <w:t>5/15/15</w:t>
            </w:r>
          </w:p>
        </w:tc>
        <w:tc>
          <w:tcPr>
            <w:tcW w:w="200" w:type="dxa"/>
            <w:vAlign w:val="bottom"/>
          </w:tcPr>
          <w:p>
            <w:pPr>
              <w:spacing w:after="0"/>
              <w:rPr>
                <w:sz w:val="17"/>
                <w:szCs w:val="17"/>
                <w:color w:val="auto"/>
              </w:rPr>
            </w:pPr>
          </w:p>
        </w:tc>
        <w:tc>
          <w:tcPr>
            <w:tcW w:w="60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4"/>
              </w:rPr>
              <w:t>7.125%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Lazard Group 6.85% Senior Notes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600,000</w:t>
            </w:r>
          </w:p>
        </w:tc>
        <w:tc>
          <w:tcPr>
            <w:tcW w:w="4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6/15/17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Lazard Group Credit Facility</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4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4/29/13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Future</w:t>
      </w:r>
    </w:p>
    <w:p>
      <w:pPr>
        <w:jc w:val="center"/>
        <w:ind w:right="1100"/>
        <w:spacing w:after="0" w:line="223" w:lineRule="auto"/>
        <w:rPr>
          <w:sz w:val="20"/>
          <w:szCs w:val="20"/>
          <w:color w:val="auto"/>
        </w:rPr>
      </w:pPr>
      <w:r>
        <w:rPr>
          <w:rFonts w:ascii="Arial" w:cs="Arial" w:eastAsia="Arial" w:hAnsi="Arial"/>
          <w:sz w:val="14"/>
          <w:szCs w:val="14"/>
          <w:b w:val="1"/>
          <w:bCs w:val="1"/>
          <w:color w:val="auto"/>
        </w:rPr>
        <w:t>Amortization</w:t>
      </w:r>
    </w:p>
    <w:p>
      <w:pPr>
        <w:jc w:val="center"/>
        <w:ind w:right="1100"/>
        <w:spacing w:after="0"/>
        <w:rPr>
          <w:sz w:val="20"/>
          <w:szCs w:val="20"/>
          <w:color w:val="auto"/>
        </w:rPr>
      </w:pPr>
      <w:r>
        <w:rPr>
          <w:rFonts w:ascii="Arial" w:cs="Arial" w:eastAsia="Arial" w:hAnsi="Arial"/>
          <w:sz w:val="14"/>
          <w:szCs w:val="14"/>
          <w:b w:val="1"/>
          <w:bCs w:val="1"/>
          <w:color w:val="auto"/>
        </w:rPr>
        <w:t>Expense (a)</w:t>
      </w:r>
    </w:p>
    <w:p>
      <w:pPr>
        <w:ind w:left="520" w:hanging="379"/>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2,641</w:t>
      </w:r>
    </w:p>
    <w:p>
      <w:pPr>
        <w:spacing w:after="0" w:line="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9,372</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8,901</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6,953</w:t>
      </w:r>
    </w:p>
    <w:p>
      <w:pPr>
        <w:spacing w:after="0" w:line="9"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5,308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6985</wp:posOffset>
            </wp:positionV>
            <wp:extent cx="4972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10" w:lineRule="exact"/>
        <w:rPr>
          <w:sz w:val="20"/>
          <w:szCs w:val="20"/>
          <w:color w:val="auto"/>
        </w:rPr>
      </w:pPr>
    </w:p>
    <w:p>
      <w:pPr>
        <w:ind w:left="440" w:hanging="299"/>
        <w:spacing w:after="0"/>
        <w:tabs>
          <w:tab w:leader="none" w:pos="44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33,175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27940</wp:posOffset>
            </wp:positionV>
            <wp:extent cx="4972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Outstanding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3119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r>
      <w:tr>
        <w:trPr>
          <w:trHeight w:val="228"/>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528,500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528,500</w:t>
            </w:r>
          </w:p>
        </w:tc>
      </w:tr>
      <w:tr>
        <w:trPr>
          <w:trHeight w:val="216"/>
        </w:trPr>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548,350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548,350</w:t>
            </w:r>
          </w:p>
        </w:tc>
      </w:tr>
      <w:tr>
        <w:trPr>
          <w:trHeight w:val="223"/>
        </w:trPr>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84"/>
              </w:rPr>
              <w:t>1,076,850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1,076,850</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8740" w:space="520"/>
            <w:col w:w="2160"/>
          </w:cols>
          <w:pgMar w:left="240" w:top="459" w:right="239" w:bottom="1440" w:gutter="0" w:footer="0" w:header="0"/>
          <w:type w:val="continuous"/>
        </w:sectPr>
      </w:pPr>
    </w:p>
    <w:p>
      <w:pPr>
        <w:ind w:right="140" w:firstLine="456"/>
        <w:spacing w:after="0" w:line="298" w:lineRule="auto"/>
        <w:rPr>
          <w:sz w:val="20"/>
          <w:szCs w:val="20"/>
          <w:color w:val="auto"/>
        </w:rPr>
      </w:pPr>
      <w:r>
        <w:rPr>
          <w:rFonts w:ascii="Arial" w:cs="Arial" w:eastAsia="Arial" w:hAnsi="Arial"/>
          <w:sz w:val="16"/>
          <w:szCs w:val="16"/>
          <w:color w:val="auto"/>
        </w:rPr>
        <w:t>Lazard Group has in place a $150,000, three-year senior revolving credit facility with a group of lenders (the “Credit Facility”), which expires in April, 2013. Interest rates under the Credit Facility vary and are based on either a Federal Funds rate or a Eurodollar rate, in each case plus an applicable margin. As of June 30, 2012, the annual interest rate for a loan accruing interest (based on the Federal Funds overnight rate), including the applicable margin, was 1.92%. At June 30, 2012 and December 31, 2011, no amounts were outstanding under the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Credit Facility, as amended, contains customary terms and conditions, including certain financial covenants. In addition, the Credit Facility, as well as the indenture and the supplemental indentures relating to Lazard Group’s senior notes, contain certain covenants, events of default and other customary provisions, including, where applicable, a customary make-whole provision in the event of early redemption. As of June 30, 2012, the Company was in compliance with all of these provisions. All of the Company’s senior debt obligations are unsecured.</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As of June 30, 2012, the Company had approximately $299,000 in unused lines of credit available to it, including the Credit Facility, and unused lines of credit available to LFB of approximately $88,000 (at June 30, 2012, exchange rates) and Edgewater of $55,000. In addition, LFB has access to the Eurosystem Covered Bond Purchase Program of the Banque de France.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senior debt at June 30, 2012 and December 31, 2011 is recorded at historical amounts. At those dates, the fair value of such senior debt outstanding was approximately $1,186,000 and $1,138,000, respectively, and exceeded the aggregate carrying value by approximately $109,000 and $61,000, respectively. The fair value of the Company’s senior debt was estimated using a discounted cash flow analysis based on the Company’s current borrowing rates for similar types of borrowing arrangements or based on market quotations, where available. The Company’s senior debt would be categorized within Level 2 of the hierarchy of fair value measurements if carried at fair value.</w:t>
      </w:r>
    </w:p>
    <w:p>
      <w:pPr>
        <w:spacing w:after="0" w:line="26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the Company’s consolidated financial position or results of operations.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2012, LFB had approximately $5,000 of such indemnifications and held approximately $4,000 of collateral/counter-guarantees to secure these commitments. The Company believes the likelihood of loss with respect to these indemnities is remote. Accordingly, no liability is recorded in the consolidated statement of financial condition.</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June 30, 2012 aggregated approximately $22,000. These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See Notes 5, 7 and 14 of Notes to Condensed Consolidated Financial Statements for information regarding commitments relating to investment capital funding commitments, business acquisitions and obligations to fund our pension plans, respectively.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 At June 30, 2012, LFB had no such underwriting commitments.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2012 and 2011,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43,011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32,855</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45,427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35,029</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 During the six month periods ended June 30, 2012 and 2011, Lazard Ltd issued 186,701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728,385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9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In February 2011, October 2011 and April 2012, the Board of Directors of Lazard Ltd authorized, on a cumulative basis,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repurchase of up to $250,000, $125,000 and $125,000, respectively, in aggregate cost of Class A common stock and Lazard Group common membership interests through December 31, 2012, December 31, 2013 and December 31, 2013, respectively. The Company’s prior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share repurchase authorizations expired on December 31, 2009 and December 31, 2011. The Company expects that the share repurchase program, with respect to the Class A common stock, will continue to be used, among other ways, to offset a portion of the shares that have been or will be issued under the Lazard Ltd 2005 Equity Incentive Plan (the “2005 Plan”) and the Lazard Ltd 2008 Incentive Compensation Plan (the “2008 Plan”). Pursuant to such authorizations, purchases have been made in the open market or through privately negotiated transactions. During the six month period ended June 30, 2012, the Company purchased 5,706,592 shares of Class A common stock, at an aggregate cost of $152,413 (no Lazard Group common membership interests were purchased during such six month period).</w:t>
      </w:r>
    </w:p>
    <w:p>
      <w:pPr>
        <w:spacing w:after="0" w:line="14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June 30, 2012, $184,730 of the current aggregate share repurchase amount authorized as of such date remained available under the share repurchase program, all of which expires on December 31, 2013. In addition, under the terms of the 2005 Plan and the 2008 Plan, upon the vesting of restricted stock units (“RSUs”), shares of Class A common stock may be withheld by the Company to cover the recipient’s estimated income tax liability (see Note 13 of Notes to Condensed Consolidated Financial Statements).</w:t>
      </w:r>
    </w:p>
    <w:p>
      <w:pPr>
        <w:spacing w:after="0" w:line="143"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During the first half of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—Lazard Ltd has 15,000,000 authorized shares of preferred stock, par value $0.01 per share, inclusive of its Series A preferred stock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B preferred stock. The Series A and Series B preferred shares are each non-participating securities that are or were each convertible into Class A common stock, and have no voting or dividend rights. As of both June 30, 2012 and December 31, 2011, 7,921 shares of Series A preferred stock were outstanding, and no shares of Series B preferred stock were outstanding at such respective dates.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components of AOCI at June 30, 2012 and December 31, 2011 are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3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6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Interest rate hedge</w:t>
            </w:r>
          </w:p>
        </w:tc>
        <w:tc>
          <w:tcPr>
            <w:tcW w:w="100" w:type="dxa"/>
            <w:vAlign w:val="bottom"/>
          </w:tcPr>
          <w:p>
            <w:pPr>
              <w:spacing w:after="0"/>
              <w:rPr>
                <w:sz w:val="18"/>
                <w:szCs w:val="18"/>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rPr>
              <w:t>(3,030)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9"/>
              </w:rPr>
              <w:t>(97,050)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(92,637)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(98,315)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(92,475)</w:t>
            </w:r>
          </w:p>
        </w:tc>
        <w:tc>
          <w:tcPr>
            <w:tcW w:w="0" w:type="dxa"/>
            <w:vAlign w:val="bottom"/>
          </w:tcPr>
          <w:p>
            <w:pPr>
              <w:spacing w:after="0"/>
              <w:rPr>
                <w:sz w:val="1"/>
                <w:szCs w:val="1"/>
                <w:color w:val="auto"/>
              </w:rPr>
            </w:pPr>
          </w:p>
        </w:tc>
      </w:tr>
      <w:tr>
        <w:trPr>
          <w:trHeight w:val="218"/>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(4,144)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8"/>
                <w:szCs w:val="18"/>
                <w:color w:val="auto"/>
              </w:rPr>
              <w:t>Total Lazard Ltd AOCI</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20" w:type="dxa"/>
            <w:vAlign w:val="bottom"/>
            <w:gridSpan w:val="3"/>
          </w:tcPr>
          <w:p>
            <w:pPr>
              <w:jc w:val="right"/>
              <w:ind w:right="600"/>
              <w:spacing w:after="0"/>
              <w:rPr>
                <w:sz w:val="20"/>
                <w:szCs w:val="20"/>
                <w:color w:val="auto"/>
              </w:rPr>
            </w:pPr>
            <w:r>
              <w:rPr>
                <w:rFonts w:ascii="Arial" w:cs="Arial" w:eastAsia="Arial" w:hAnsi="Arial"/>
                <w:sz w:val="18"/>
                <w:szCs w:val="18"/>
                <w:color w:val="auto"/>
                <w:w w:val="89"/>
              </w:rPr>
              <w:t>(94,171)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(88,364)</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(i) Lazard Group by LAZ-MD Holdings and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w:t>
      </w:r>
    </w:p>
    <w:p>
      <w:pPr>
        <w:spacing w:after="0" w:line="132" w:lineRule="exact"/>
        <w:rPr>
          <w:sz w:val="20"/>
          <w:szCs w:val="20"/>
          <w:color w:val="auto"/>
        </w:rPr>
      </w:pPr>
    </w:p>
    <w:p>
      <w:pPr>
        <w:jc w:val="both"/>
        <w:ind w:right="540" w:firstLine="456"/>
        <w:spacing w:after="0" w:line="332" w:lineRule="auto"/>
        <w:rPr>
          <w:sz w:val="20"/>
          <w:szCs w:val="20"/>
          <w:color w:val="auto"/>
        </w:rPr>
      </w:pPr>
      <w:r>
        <w:rPr>
          <w:rFonts w:ascii="Arial" w:cs="Arial" w:eastAsia="Arial" w:hAnsi="Arial"/>
          <w:sz w:val="16"/>
          <w:szCs w:val="16"/>
          <w:color w:val="auto"/>
        </w:rPr>
        <w:t>As of June 30, 2012 and December 31, 2011, LAZ-MD Holdings held approximately 5.1% and 5.2%,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six month periods ended June 30, 2012, and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Lazard Ltd</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5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Common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6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Interests</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Ownership</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Interests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Ownership</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119,697,936</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7,652,625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127,350,561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Activity January 1, 2011 to June 30, 2011:</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728,385</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(728,385)</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Repurchase of common membership interests from LAZ-MD</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Holdings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(19,032)</w:t>
            </w: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Balance, June 30, 2011</w:t>
            </w: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94.6%</w:t>
            </w: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5.4%</w:t>
            </w: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0" w:type="dxa"/>
            <w:vAlign w:val="bottom"/>
            <w:gridSpan w:val="2"/>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120,426,321</w:t>
            </w:r>
          </w:p>
        </w:tc>
        <w:tc>
          <w:tcPr>
            <w:tcW w:w="3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6,905,208</w:t>
            </w:r>
          </w:p>
        </w:tc>
        <w:tc>
          <w:tcPr>
            <w:tcW w:w="1140" w:type="dxa"/>
            <w:vAlign w:val="bottom"/>
            <w:gridSpan w:val="2"/>
            <w:vMerge w:val="continue"/>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127,331,529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restart"/>
          </w:tcPr>
          <w:p>
            <w:pPr>
              <w:spacing w:after="0"/>
              <w:rPr>
                <w:sz w:val="11"/>
                <w:szCs w:val="11"/>
                <w:color w:val="auto"/>
              </w:rPr>
            </w:pPr>
          </w:p>
        </w:tc>
        <w:tc>
          <w:tcPr>
            <w:tcW w:w="5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123,009,311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6,756,779</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Activity January 1, 2012 to June 30, 2012:</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186,701</w:t>
            </w: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(186,701)</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123,196,012</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6,570,078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129,766,090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six month periods ended June 30, 2012 and 2011 did not materially impact Lazard Ltd’s stockholders’ equity.</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six month periods ended June 30, 2012 and 2011 and noncontrolling interests as of June 30, 2012 and December 31, 2011 in the Company’s accompanying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8"/>
          </w:tcPr>
          <w:p>
            <w:pPr>
              <w:jc w:val="center"/>
              <w:ind w:right="22"/>
              <w:spacing w:after="0"/>
              <w:rPr>
                <w:sz w:val="20"/>
                <w:szCs w:val="20"/>
                <w:color w:val="auto"/>
              </w:rPr>
            </w:pPr>
            <w:r>
              <w:rPr>
                <w:rFonts w:ascii="Arial" w:cs="Arial" w:eastAsia="Arial" w:hAnsi="Arial"/>
                <w:sz w:val="14"/>
                <w:szCs w:val="14"/>
                <w:b w:val="1"/>
                <w:bCs w:val="1"/>
                <w:color w:val="auto"/>
                <w:w w:val="88"/>
              </w:rPr>
              <w:t>Net Income (Loss) Attributable To</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center"/>
              <w:ind w:right="322"/>
              <w:spacing w:after="0"/>
              <w:rPr>
                <w:sz w:val="20"/>
                <w:szCs w:val="20"/>
                <w:color w:val="auto"/>
              </w:rPr>
            </w:pPr>
            <w:r>
              <w:rPr>
                <w:rFonts w:ascii="Arial" w:cs="Arial" w:eastAsia="Arial" w:hAnsi="Arial"/>
                <w:sz w:val="14"/>
                <w:szCs w:val="14"/>
                <w:b w:val="1"/>
                <w:bCs w:val="1"/>
                <w:color w:val="auto"/>
                <w:w w:val="86"/>
              </w:rPr>
              <w:t>Noncontrolling Interests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880" w:type="dxa"/>
            <w:vAlign w:val="bottom"/>
            <w:gridSpan w:val="6"/>
          </w:tcPr>
          <w:p>
            <w:pPr>
              <w:jc w:val="right"/>
              <w:ind w:right="452"/>
              <w:spacing w:after="0" w:line="129" w:lineRule="exact"/>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1"/>
                <w:szCs w:val="11"/>
                <w:color w:val="auto"/>
              </w:rPr>
            </w:pPr>
          </w:p>
        </w:tc>
        <w:tc>
          <w:tcPr>
            <w:tcW w:w="156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gridSpan w:val="6"/>
          </w:tcPr>
          <w:p>
            <w:pPr>
              <w:jc w:val="right"/>
              <w:ind w:right="812"/>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06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85"/>
              </w:rPr>
              <w:t>June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4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$1,694</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$ 4,012</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$ 3,019</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Edgewater</w:t>
            </w:r>
          </w:p>
        </w:tc>
        <w:tc>
          <w:tcPr>
            <w:tcW w:w="486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5,882</w:t>
            </w:r>
          </w:p>
        </w:tc>
        <w:tc>
          <w:tcPr>
            <w:tcW w:w="3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200" w:type="dxa"/>
            <w:vAlign w:val="bottom"/>
            <w:gridSpan w:val="4"/>
            <w:shd w:val="clear" w:color="auto" w:fill="CCEEFF"/>
          </w:tcPr>
          <w:p>
            <w:pPr>
              <w:jc w:val="right"/>
              <w:ind w:right="252"/>
              <w:spacing w:after="0"/>
              <w:rPr>
                <w:sz w:val="20"/>
                <w:szCs w:val="20"/>
                <w:color w:val="auto"/>
              </w:rPr>
            </w:pPr>
            <w:r>
              <w:rPr>
                <w:rFonts w:ascii="Arial" w:cs="Arial" w:eastAsia="Arial" w:hAnsi="Arial"/>
                <w:sz w:val="18"/>
                <w:szCs w:val="18"/>
                <w:color w:val="auto"/>
              </w:rPr>
              <w:t>(332)</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00" w:type="dxa"/>
            <w:vAlign w:val="bottom"/>
            <w:vMerge w:val="continue"/>
          </w:tcPr>
          <w:p>
            <w:pPr>
              <w:spacing w:after="0"/>
              <w:rPr>
                <w:sz w:val="19"/>
                <w:szCs w:val="19"/>
                <w:color w:val="auto"/>
              </w:rPr>
            </w:pPr>
          </w:p>
        </w:tc>
        <w:tc>
          <w:tcPr>
            <w:tcW w:w="4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3,341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$ 9,562</w:t>
            </w:r>
          </w:p>
        </w:tc>
        <w:tc>
          <w:tcPr>
            <w:tcW w:w="3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6"/>
              </w:rPr>
              <w:t>$ 6,845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14,538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86"/>
              </w:rPr>
              <w:t>Noncontrolling Interests</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2"/>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0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4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34,506</w:t>
            </w:r>
          </w:p>
        </w:tc>
        <w:tc>
          <w:tcPr>
            <w:tcW w:w="780" w:type="dxa"/>
            <w:vAlign w:val="bottom"/>
            <w:tcBorders>
              <w:top w:val="single" w:sz="8" w:color="CCEEFF"/>
            </w:tcBorders>
            <w:gridSpan w:val="3"/>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102"/>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Edgewater</w:t>
            </w:r>
          </w:p>
        </w:tc>
        <w:tc>
          <w:tcPr>
            <w:tcW w:w="4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86,235</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91,713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$ 121,983</w:t>
            </w:r>
          </w:p>
        </w:tc>
        <w:tc>
          <w:tcPr>
            <w:tcW w:w="1040" w:type="dxa"/>
            <w:vAlign w:val="bottom"/>
            <w:gridSpan w:val="4"/>
          </w:tcPr>
          <w:p>
            <w:pPr>
              <w:jc w:val="center"/>
              <w:ind w:left="512"/>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140,713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320" w:type="dxa"/>
            <w:vAlign w:val="bottom"/>
            <w:vMerge w:val="restart"/>
          </w:tcPr>
          <w:p>
            <w:pPr>
              <w:jc w:val="right"/>
              <w:ind w:right="1932"/>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Dividend Declared, July, 2012</w:t>
      </w:r>
      <w:r>
        <w:rPr>
          <w:rFonts w:ascii="Arial" w:cs="Arial" w:eastAsia="Arial" w:hAnsi="Arial"/>
          <w:sz w:val="18"/>
          <w:szCs w:val="18"/>
          <w:color w:val="auto"/>
        </w:rPr>
        <w:t>—On July 25, 2012, the Board of Directors of Lazard Ltd declared a quarterly dividend of $0.20 per share on its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payable on August 24, 2012, to stockholders of record on August 6, 2012.</w:t>
      </w:r>
    </w:p>
    <w:p>
      <w:pPr>
        <w:spacing w:after="0" w:line="254"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2012 and 2011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restricted stock units and other equity-based awards. Each stock unit or similar award granted under the 2005 Plan represents a contingent right to receive one share of Class A common stock, at no cost to the recipient. The fair value of such awards is generally determined based on the closing market price of Class A common stock on the day prior to the date of grant.</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is a summary of the impact of share-based incentive plans on “compensation and benefits” expense within the Company’s accompanying condensed consolidated statements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9"/>
              </w:rPr>
              <w:t>Three Months Ended</w:t>
            </w:r>
          </w:p>
        </w:tc>
        <w:tc>
          <w:tcPr>
            <w:tcW w:w="21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7080" w:type="dxa"/>
            <w:vAlign w:val="bottom"/>
          </w:tcPr>
          <w:p>
            <w:pPr>
              <w:spacing w:after="0"/>
              <w:rPr>
                <w:sz w:val="14"/>
                <w:szCs w:val="14"/>
                <w:color w:val="auto"/>
              </w:rPr>
            </w:pPr>
          </w:p>
        </w:tc>
        <w:tc>
          <w:tcPr>
            <w:tcW w:w="114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Borders>
              <w:bottom w:val="single" w:sz="8" w:color="auto"/>
            </w:tcBorders>
            <w:gridSpan w:val="2"/>
          </w:tcPr>
          <w:p>
            <w:pPr>
              <w:jc w:val="center"/>
              <w:ind w:left="681"/>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740" w:type="dxa"/>
            <w:vAlign w:val="bottom"/>
          </w:tcPr>
          <w:p>
            <w:pPr>
              <w:jc w:val="right"/>
              <w:ind w:right="16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640" w:type="dxa"/>
            <w:vAlign w:val="bottom"/>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88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7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7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compensation:</w:t>
            </w: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RSUs</w:t>
            </w:r>
          </w:p>
        </w:tc>
        <w:tc>
          <w:tcPr>
            <w:tcW w:w="740" w:type="dxa"/>
            <w:vAlign w:val="bottom"/>
          </w:tcPr>
          <w:p>
            <w:pPr>
              <w:jc w:val="right"/>
              <w:spacing w:after="0"/>
              <w:rPr>
                <w:sz w:val="20"/>
                <w:szCs w:val="20"/>
                <w:color w:val="auto"/>
              </w:rPr>
            </w:pPr>
            <w:r>
              <w:rPr>
                <w:rFonts w:ascii="Arial" w:cs="Arial" w:eastAsia="Arial" w:hAnsi="Arial"/>
                <w:sz w:val="18"/>
                <w:szCs w:val="18"/>
                <w:color w:val="auto"/>
              </w:rPr>
              <w:t>$63,428</w:t>
            </w:r>
          </w:p>
        </w:tc>
        <w:tc>
          <w:tcPr>
            <w:tcW w:w="40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w w:val="88"/>
              </w:rPr>
              <w:t>$ 57,552</w:t>
            </w:r>
          </w:p>
        </w:tc>
        <w:tc>
          <w:tcPr>
            <w:tcW w:w="880" w:type="dxa"/>
            <w:vAlign w:val="bottom"/>
          </w:tcPr>
          <w:p>
            <w:pPr>
              <w:jc w:val="right"/>
              <w:spacing w:after="0"/>
              <w:rPr>
                <w:sz w:val="20"/>
                <w:szCs w:val="20"/>
                <w:color w:val="auto"/>
              </w:rPr>
            </w:pPr>
            <w:r>
              <w:rPr>
                <w:rFonts w:ascii="Arial" w:cs="Arial" w:eastAsia="Arial" w:hAnsi="Arial"/>
                <w:sz w:val="18"/>
                <w:szCs w:val="18"/>
                <w:color w:val="auto"/>
              </w:rPr>
              <w:t>$145,319</w:t>
            </w:r>
          </w:p>
        </w:tc>
        <w:tc>
          <w:tcPr>
            <w:tcW w:w="4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$ 142,410</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stock units (“DSUs”)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1,124</w:t>
            </w:r>
          </w:p>
        </w:tc>
      </w:tr>
      <w:tr>
        <w:trPr>
          <w:trHeight w:val="223"/>
        </w:trPr>
        <w:tc>
          <w:tcPr>
            <w:tcW w:w="708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w:t>
            </w:r>
          </w:p>
        </w:tc>
        <w:tc>
          <w:tcPr>
            <w:tcW w:w="100" w:type="dxa"/>
            <w:vAlign w:val="bottom"/>
          </w:tcPr>
          <w:p>
            <w:pPr>
              <w:spacing w:after="0"/>
              <w:rPr>
                <w:sz w:val="19"/>
                <w:szCs w:val="19"/>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$66,350</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88"/>
              </w:rPr>
              <w:t>$ 58,976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$152,486</w:t>
            </w:r>
          </w:p>
        </w:tc>
        <w:tc>
          <w:tcPr>
            <w:tcW w:w="4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$ 152,533</w:t>
            </w:r>
          </w:p>
        </w:tc>
      </w:tr>
      <w:tr>
        <w:trPr>
          <w:trHeight w:val="20"/>
        </w:trPr>
        <w:tc>
          <w:tcPr>
            <w:tcW w:w="7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incentive plans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RSUs generally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RSUs are included in the diluted weighted average shares of Class A common stock outstanding using the “treasury stock” method.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2012 and 2011, issuances of RSUs pertaining to such dividend participation rights and respective charges to “retained earnings”, net of estimated forfeitures (with corresponding credits to “additional paid-in-capital”)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7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9700" w:type="dxa"/>
            <w:vAlign w:val="bottom"/>
          </w:tcPr>
          <w:p>
            <w:pPr>
              <w:spacing w:after="0"/>
              <w:rPr>
                <w:sz w:val="14"/>
                <w:szCs w:val="14"/>
                <w:color w:val="auto"/>
              </w:rPr>
            </w:pPr>
          </w:p>
        </w:tc>
        <w:tc>
          <w:tcPr>
            <w:tcW w:w="17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97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9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RSUs issued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310,756</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140,613</w:t>
            </w:r>
          </w:p>
        </w:tc>
        <w:tc>
          <w:tcPr>
            <w:tcW w:w="120" w:type="dxa"/>
            <w:vAlign w:val="bottom"/>
            <w:shd w:val="clear" w:color="auto" w:fill="CCEEFF"/>
          </w:tcPr>
          <w:p>
            <w:pPr>
              <w:spacing w:after="0"/>
              <w:rPr>
                <w:sz w:val="18"/>
                <w:szCs w:val="18"/>
                <w:color w:val="auto"/>
              </w:rPr>
            </w:pPr>
          </w:p>
        </w:tc>
      </w:tr>
      <w:tr>
        <w:trPr>
          <w:trHeight w:val="222"/>
        </w:trPr>
        <w:tc>
          <w:tcPr>
            <w:tcW w:w="970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680" w:type="dxa"/>
            <w:vAlign w:val="bottom"/>
          </w:tcPr>
          <w:p>
            <w:pPr>
              <w:jc w:val="right"/>
              <w:spacing w:after="0"/>
              <w:rPr>
                <w:sz w:val="20"/>
                <w:szCs w:val="20"/>
                <w:color w:val="auto"/>
              </w:rPr>
            </w:pPr>
            <w:r>
              <w:rPr>
                <w:rFonts w:ascii="Arial" w:cs="Arial" w:eastAsia="Arial" w:hAnsi="Arial"/>
                <w:sz w:val="18"/>
                <w:szCs w:val="18"/>
                <w:color w:val="auto"/>
              </w:rPr>
              <w:t>$7,277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$5,337</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Non-Executive members of the Board of Directors receive approximately 55% of their annual compensation for service on the Board of Directors and its committees in the form of DSUs, which resulted in 49,735 and 26,859 DSUs granted during the six month periods ended June 30, 2012 and 2011,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and, for purposes of calculating diluted net income per share, are included in the diluted weighted average shares of Class A common stock outstanding using the “treasury stock” method. DSUs include a cash dividend participation right equivalent to any ordinary quarterly dividends paid on Class A common stock, and resulted in nominal cash payments for the six month periods ended June 30, 2012 and 2011.</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will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2012 and 2011, 5,489 and 2,942 DSUs, respectively, had been granted pursuant to such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2012 and 2011:</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RSUs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DSUs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1000" w:type="dxa"/>
            <w:vAlign w:val="bottom"/>
            <w:gridSpan w:val="2"/>
          </w:tcPr>
          <w:p>
            <w:pPr>
              <w:jc w:val="right"/>
              <w:ind w:right="472"/>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20,751,829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140,660</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Granted (including 310,756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7,847,541</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27.51</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55,224</w:t>
            </w:r>
          </w:p>
        </w:tc>
        <w:tc>
          <w:tcPr>
            <w:tcW w:w="3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(311,601)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(3,631,932)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33.83</w:t>
            </w:r>
          </w:p>
        </w:tc>
        <w:tc>
          <w:tcPr>
            <w:tcW w:w="380" w:type="dxa"/>
            <w:vAlign w:val="bottom"/>
          </w:tcPr>
          <w:p>
            <w:pPr>
              <w:spacing w:after="0"/>
              <w:rPr>
                <w:sz w:val="19"/>
                <w:szCs w:val="19"/>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24,655,837</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195,884</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8"/>
                <w:szCs w:val="18"/>
                <w:color w:val="auto"/>
              </w:rPr>
            </w:pPr>
          </w:p>
        </w:tc>
      </w:tr>
      <w:tr>
        <w:trPr>
          <w:trHeight w:val="20"/>
        </w:trPr>
        <w:tc>
          <w:tcPr>
            <w:tcW w:w="620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4"/>
        </w:trPr>
        <w:tc>
          <w:tcPr>
            <w:tcW w:w="620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22,108,635</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35.67</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121,737</w:t>
            </w:r>
          </w:p>
        </w:tc>
        <w:tc>
          <w:tcPr>
            <w:tcW w:w="3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140,613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6,309,310</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29,801</w:t>
            </w:r>
          </w:p>
        </w:tc>
        <w:tc>
          <w:tcPr>
            <w:tcW w:w="3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(223,365)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37.90</w:t>
            </w:r>
          </w:p>
        </w:tc>
        <w:tc>
          <w:tcPr>
            <w:tcW w:w="380" w:type="dxa"/>
            <w:vAlign w:val="bottom"/>
          </w:tcPr>
          <w:p>
            <w:pPr>
              <w:spacing w:after="0"/>
              <w:rPr>
                <w:sz w:val="18"/>
                <w:szCs w:val="18"/>
                <w:color w:val="auto"/>
              </w:rPr>
            </w:pPr>
          </w:p>
        </w:tc>
        <w:tc>
          <w:tcPr>
            <w:tcW w:w="10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(7,616,386)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8"/>
              </w:rPr>
              <w:t>(16,120)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Balance, June 30, 2011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20,578,194</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37.18</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135,418</w:t>
            </w:r>
          </w:p>
        </w:tc>
        <w:tc>
          <w:tcPr>
            <w:tcW w:w="3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connection with RSUs which vested during the six month periods ended June 30, 2012 and 2011, the Company satisfied certain employees’ tax obligations in lieu of issuing 967,828 and 2,226,829 shares of Class A common stock in the respective six month periods. Accordingly, 2,664,104 and 5,389,557 shares of Class A common stock held by the Company were delivered during the six month periods ended June 30, 2012 and 2011, respectively.</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2012, unrecognized RSU compensation expense, adjusted for estimated forfeitures, was approximately $311,000, with such unrecognized compensation expense expected to be recognized over a weighted average period of approximately 1.4 years subsequent to June 30, 2012.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six month periods ended June 30, 2012 and 2011:</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Granted/Exchanged</w:t>
            </w:r>
          </w:p>
        </w:tc>
        <w:tc>
          <w:tcPr>
            <w:tcW w:w="680" w:type="dxa"/>
            <w:vAlign w:val="bottom"/>
          </w:tcPr>
          <w:p>
            <w:pPr>
              <w:jc w:val="right"/>
              <w:spacing w:after="0"/>
              <w:rPr>
                <w:sz w:val="20"/>
                <w:szCs w:val="20"/>
                <w:color w:val="auto"/>
              </w:rPr>
            </w:pPr>
            <w:r>
              <w:rPr>
                <w:rFonts w:ascii="Arial" w:cs="Arial" w:eastAsia="Arial" w:hAnsi="Arial"/>
                <w:sz w:val="18"/>
                <w:szCs w:val="18"/>
                <w:color w:val="auto"/>
              </w:rPr>
              <w:t>577,323</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(18,921)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(131,743)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28.63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521,991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80" w:type="dxa"/>
            <w:vAlign w:val="bottom"/>
            <w:shd w:val="clear" w:color="auto" w:fill="CCEEFF"/>
          </w:tcPr>
          <w:p>
            <w:pPr>
              <w:spacing w:after="0"/>
              <w:rPr>
                <w:sz w:val="18"/>
                <w:szCs w:val="18"/>
                <w:color w:val="auto"/>
              </w:rPr>
            </w:pPr>
          </w:p>
        </w:tc>
      </w:tr>
      <w:tr>
        <w:trPr>
          <w:trHeight w:val="20"/>
        </w:trPr>
        <w:tc>
          <w:tcPr>
            <w:tcW w:w="70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6"/>
        </w:trPr>
        <w:tc>
          <w:tcPr>
            <w:tcW w:w="708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680" w:type="dxa"/>
            <w:vAlign w:val="bottom"/>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24"/>
                <w:szCs w:val="24"/>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shares of restricted Class A common stock that vested during the six month periods ended June 30, 2012 and 2011, the Company satisfied certain employees’ tax obligations in lieu of delivering 28,129 and 68,866 shares of Class A common stock during the respective periods. Accordingly, 103,614 and 258,372 shares of Class A common stock held by the Company were delivered during the respective six month periods.</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awards include a cash dividend participation right equivalent to any ordinary quarterly dividends paid on Class A common stock during the period, which will vest concurrently with the underlying restricted stock award. At June 30, 2012, unrecognized restricted stock expense was approximately $10,000, with such expense to be recognized over a weighted average period of approximately 1.9 years subsequent to June 30, 2012.</w:t>
      </w:r>
    </w:p>
    <w:p>
      <w:pPr>
        <w:spacing w:after="0" w:line="10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Lazard Fund Interests and Other Similar Deferred Compensation Arrangements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Commencing in February 2011, the Company granted to eligible employees Lazard Fund Interests. In connection with the Lazard Fund Interests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and is charged to “compensation and benefits” expense within the Company’s consolidated statement of operations. Lazard Fund Interests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 Such changes in the fair value of the derivative liability are recorded to “compensation and benefits” expense within the Company’s consolidated statements of operations,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impact of which equally offsets the changes in fair value of investments which are currently expected to be delivered upon settlement of Lazard Fund Interests awards, which is reported in “revenue-other” in the consolidated statement of operations (see Note 6 of Notes to Condensed Consolidated Financial Statements).</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is a summary of activity relating to Lazard Fund Interests and other similar deferred compensation arrangements during the six month period ended June 30, 2012: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7"/>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900" w:type="dxa"/>
            <w:vAlign w:val="bottom"/>
          </w:tcPr>
          <w:p>
            <w:pPr>
              <w:spacing w:after="0"/>
              <w:rPr>
                <w:sz w:val="12"/>
                <w:szCs w:val="12"/>
                <w:color w:val="auto"/>
              </w:rPr>
            </w:pPr>
          </w:p>
        </w:tc>
        <w:tc>
          <w:tcPr>
            <w:tcW w:w="15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Compensation</w:t>
            </w:r>
          </w:p>
        </w:tc>
      </w:t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2012</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64,631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64,631</w:t>
            </w:r>
          </w:p>
        </w:tc>
      </w:tr>
      <w:tr>
        <w:trPr>
          <w:trHeight w:val="230"/>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w:t>
            </w:r>
          </w:p>
        </w:tc>
      </w:tr>
      <w:tr>
        <w:trPr>
          <w:trHeight w:val="229"/>
        </w:trPr>
        <w:tc>
          <w:tcPr>
            <w:tcW w:w="79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(993)</w:t>
            </w: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(including grants of awards to retirement-eligible recipients)</w:t>
            </w: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(16,985)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Decrease in fair value</w:t>
            </w:r>
          </w:p>
        </w:tc>
        <w:tc>
          <w:tcPr>
            <w:tcW w:w="140" w:type="dxa"/>
            <w:vAlign w:val="bottom"/>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Balance, June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65,399</w:t>
            </w:r>
          </w:p>
        </w:tc>
        <w:tc>
          <w:tcPr>
            <w:tcW w:w="66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85,641</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2.1 years subsequent to June 30, 2012.</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following is a summary of the impact of Lazard Fund Interests and other similar deferred compensation arrangements on “compensation and benefits” expense within the accompanying condensed consolidated statements of operations for the three and six month periods ended June 30, 2012 and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2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4"/>
          </w:tcPr>
          <w:p>
            <w:pPr>
              <w:ind w:lef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(including grants of awards to retirement-eligible recipients)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$2,413</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$16,985</w:t>
            </w: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Change in fair value of compensation liability</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(2,856)</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2,413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16,896</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Management also evaluates from time to time whether to make voluntary contributions to the plans. The Company made a contribution to the U.S. pension plans during the six month period ended June 30, 2012 of approximately $700.</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April 30, 2012, the Company and the Trustees of the U.K. pension plans concluded the December 31, 2010 triennial valuations of the plans. In connection with such valuations and a previously negotiated agreement with the Trustees, the Company and the Trustees agreed upon pension funding terms (the “agreement”) (which superseded the terms of an agreement reached in June 2009 with respect to the previous triennial valuation as of December 31, 2007) whereby the Company: (i) made a contribution in December 2011 to the plans of 2.3 million British pounds ($3,687 at December 31, 2011 exchange rates) from a previously established escrow account, (ii) will make contributions of 1 million British pounds during each year from 2012 through 2020 inclusive and (iii) amended the previous escrow arrangement into an account security arrangement covering 10.2 million British pounds, committing to make annual contributions of 1 million British pounds into such account security arrangement during each year from 2014 through 2020. It was further agreed that, to the extent that the value of the plans’ assets falls short of the funding target for June 1, 2020 that has been agreed upon with the Trustees, the assets from the account security arrangement would be released into the plans at that date. Additionally, the Company agreed to fund the expenses of administering the plans, including certain regulator levies and the cost of other professional advisors to the plans. The terms of the agreement are subject to adjustment based on the results of subsequent triennial valuations. The aggregate amount in the account security arrangement at June 30, 2012 of approximately $16,000 has been recorded in “cash deposited with clearing organizations and other segregated cash” on the accompanying condensed consolidated statement of financial condition. Income on the escrow balance accretes to the Company and is recorded in interest income.</w:t>
      </w:r>
    </w:p>
    <w:p>
      <w:pPr>
        <w:spacing w:after="0" w:line="12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During the six month period ended June 30, 2012, the Company contributed 1 million British pounds ($1,576 at June 30, 2012 exchange rates) to these U.K. pension plans, and no contributions were made to other non-U.S. pension plans.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net periodic benefit cost for the three month and six month periods ended June 30, 2012 and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8"/>
              <w:spacing w:after="0"/>
              <w:rPr>
                <w:sz w:val="20"/>
                <w:szCs w:val="20"/>
                <w:color w:val="auto"/>
              </w:rPr>
            </w:pPr>
            <w:r>
              <w:rPr>
                <w:rFonts w:ascii="Arial" w:cs="Arial" w:eastAsia="Arial" w:hAnsi="Arial"/>
                <w:sz w:val="14"/>
                <w:szCs w:val="14"/>
                <w:b w:val="1"/>
                <w:bCs w:val="1"/>
                <w:color w:val="auto"/>
                <w:w w:val="88"/>
              </w:rPr>
              <w:t>Medical Plans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88"/>
              </w:rPr>
              <w:t>Three Months Ended June 30,</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6,885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7,092</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(6,622)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(7,644)</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Prior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Settlement loss (a)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$ 2,422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1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Post-Retirement</w:t>
            </w:r>
          </w:p>
        </w:tc>
      </w:t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8"/>
              <w:spacing w:after="0"/>
              <w:rPr>
                <w:sz w:val="20"/>
                <w:szCs w:val="20"/>
                <w:color w:val="auto"/>
              </w:rPr>
            </w:pPr>
            <w:r>
              <w:rPr>
                <w:rFonts w:ascii="Arial" w:cs="Arial" w:eastAsia="Arial" w:hAnsi="Arial"/>
                <w:sz w:val="14"/>
                <w:szCs w:val="14"/>
                <w:b w:val="1"/>
                <w:bCs w:val="1"/>
                <w:color w:val="auto"/>
                <w:w w:val="88"/>
              </w:rPr>
              <w:t>Medical Plans</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6"/>
          </w:tcPr>
          <w:p>
            <w:pPr>
              <w:jc w:val="right"/>
              <w:ind w:right="78"/>
              <w:spacing w:after="0" w:line="142" w:lineRule="exact"/>
              <w:rPr>
                <w:sz w:val="20"/>
                <w:szCs w:val="20"/>
                <w:color w:val="auto"/>
              </w:rPr>
            </w:pPr>
            <w:r>
              <w:rPr>
                <w:rFonts w:ascii="Arial" w:cs="Arial" w:eastAsia="Arial" w:hAnsi="Arial"/>
                <w:sz w:val="14"/>
                <w:szCs w:val="14"/>
                <w:b w:val="1"/>
                <w:bCs w:val="1"/>
                <w:color w:val="auto"/>
                <w:w w:val="88"/>
              </w:rPr>
              <w:t>Six Months Ended June 30,</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3"/>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7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338</w:t>
            </w:r>
          </w:p>
        </w:tc>
        <w:tc>
          <w:tcPr>
            <w:tcW w:w="6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332</w:t>
            </w:r>
          </w:p>
        </w:tc>
        <w:tc>
          <w:tcPr>
            <w:tcW w:w="6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14,159</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Expected return on plan assets</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(13,294)</w:t>
            </w:r>
          </w:p>
        </w:tc>
        <w:tc>
          <w:tcPr>
            <w:tcW w:w="1240" w:type="dxa"/>
            <w:vAlign w:val="bottom"/>
            <w:gridSpan w:val="4"/>
          </w:tcPr>
          <w:p>
            <w:pPr>
              <w:jc w:val="right"/>
              <w:ind w:right="540"/>
              <w:spacing w:after="0"/>
              <w:rPr>
                <w:sz w:val="20"/>
                <w:szCs w:val="20"/>
                <w:color w:val="auto"/>
              </w:rPr>
            </w:pPr>
            <w:r>
              <w:rPr>
                <w:rFonts w:ascii="Arial" w:cs="Arial" w:eastAsia="Arial" w:hAnsi="Arial"/>
                <w:sz w:val="18"/>
                <w:szCs w:val="18"/>
                <w:color w:val="auto"/>
              </w:rPr>
              <w:t>(15,266)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Prior service cost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1,388</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1,502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6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Settlement loss (a)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886</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3,936</w:t>
            </w:r>
          </w:p>
        </w:tc>
        <w:tc>
          <w:tcPr>
            <w:tcW w:w="60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2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right="20" w:firstLine="464"/>
        <w:spacing w:after="0" w:line="298" w:lineRule="auto"/>
        <w:tabs>
          <w:tab w:leader="none" w:pos="695" w:val="left"/>
        </w:tabs>
        <w:numPr>
          <w:ilvl w:val="1"/>
          <w:numId w:val="25"/>
        </w:numPr>
        <w:rPr>
          <w:rFonts w:ascii="Arial" w:cs="Arial" w:eastAsia="Arial" w:hAnsi="Arial"/>
          <w:sz w:val="16"/>
          <w:szCs w:val="16"/>
          <w:color w:val="auto"/>
        </w:rPr>
      </w:pPr>
      <w:r>
        <w:rPr>
          <w:rFonts w:ascii="Arial" w:cs="Arial" w:eastAsia="Arial" w:hAnsi="Arial"/>
          <w:sz w:val="16"/>
          <w:szCs w:val="16"/>
          <w:color w:val="auto"/>
        </w:rPr>
        <w:t>During the three month period ended June 30, 2012, the Company’s pension plans in the U.S. made lump sum benefit payments in excess of the plans’ annual service and interest costs, which, under U.S. GAAP, requires that the plans’ obligations and assets be remeasured. The remeasurement of the plans resulted in the recognition of actuarial losses totaling $1,935 recorded in “other comprehensive income (loss), net of tax” (“OCI”), which, combined with a settlement loss of $886 recognized in “compensation and benefits” expense, resulted in a net charge to OCI of $1,049.</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w:t>
      </w:r>
    </w:p>
    <w:p>
      <w:pPr>
        <w:spacing w:after="0" w:line="38"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 recorded income tax provisions of $10,371 and $19,138 for the three month and six month periods ended June 30, 2012, respectively, and $17,636 and $31,099 for the three month and six month periods ended June 30, 2011, respectively, representing effective tax rates of 23.3%, 23.2%, 19.8% and 19.1%, respectively. The difference between the U.S. federal statutory rate of 35.0% and the effective tax rates reflected above principally relates to (i) Lazard Group primarily operating as a limited liability company in the U.S., (ii) foreign source income (loss) not subject to U.S. income taxes, (iii) Lazard Group’s income from U.S. operations attributable to noncontrolling interests and (iv) U.S. state and local taxes (primarily UBT), which are incremental to the U.S. federal statutory tax rate.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 intangible assets of Lazard Group. The tax receivable agreement dated as of May 10, 2005 with LFCM Holdings LLC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six month periods ended June 30, 2012 and 2011. If any provision is required pursuant to the tax receivable agreement, such amount would be fully offset by a reduction in the Company’s income tax expense.</w:t>
      </w:r>
    </w:p>
    <w:p>
      <w:pPr>
        <w:spacing w:after="0" w:line="23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INCOME PER SHARE OF CLASS A COMMON STOCK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2012 and 2011 are computed as described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32"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as in the basic net income per share calculation described above, plus,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applicable and dilutive, (i) interest expense on convertible debt, (ii) changes in net income attributable to noncontrolling interests resulting from assumed Class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2012 and 2011 are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2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460" w:type="dxa"/>
            <w:vAlign w:val="bottom"/>
            <w:tcBorders>
              <w:bottom w:val="single" w:sz="8" w:color="auto"/>
            </w:tcBorders>
            <w:gridSpan w:val="3"/>
          </w:tcPr>
          <w:p>
            <w:pPr>
              <w:jc w:val="center"/>
              <w:ind w:left="816"/>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816"/>
              <w:spacing w:after="0"/>
              <w:rPr>
                <w:sz w:val="20"/>
                <w:szCs w:val="20"/>
                <w:color w:val="auto"/>
              </w:rPr>
            </w:pPr>
            <w:r>
              <w:rPr>
                <w:rFonts w:ascii="Arial" w:cs="Arial" w:eastAsia="Arial" w:hAnsi="Arial"/>
                <w:sz w:val="14"/>
                <w:szCs w:val="14"/>
                <w:b w:val="1"/>
                <w:bCs w:val="1"/>
                <w:color w:val="auto"/>
                <w:w w:val="85"/>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0"/>
              </w:rPr>
              <w:t>Add - adjustment associated with Class A common stock issuable on a non-contingent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basis</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56,375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Adjustments to income relating to interest expense and changes in net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attributable to noncontrolling interests resulting from assumed Class A</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common stock issuances in connection with share-based incentive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compensation, convertible debt in 2011, convertible preferred stock and</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exchangeable interests, net of tax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$66,756</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$59,251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117,478,380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115,326,051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118,079,120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113,503,750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3"/>
              </w:rPr>
              <w:t>Add - adjustment for shares of Class A common stock issuable on a non-contingent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basis</w:t>
            </w:r>
          </w:p>
        </w:tc>
        <w:tc>
          <w:tcPr>
            <w:tcW w:w="1120" w:type="dxa"/>
            <w:vAlign w:val="bottom"/>
          </w:tcPr>
          <w:p>
            <w:pPr>
              <w:jc w:val="right"/>
              <w:spacing w:after="0"/>
              <w:rPr>
                <w:sz w:val="20"/>
                <w:szCs w:val="20"/>
                <w:color w:val="auto"/>
              </w:rPr>
            </w:pPr>
            <w:r>
              <w:rPr>
                <w:rFonts w:ascii="Arial" w:cs="Arial" w:eastAsia="Arial" w:hAnsi="Arial"/>
                <w:sz w:val="18"/>
                <w:szCs w:val="18"/>
                <w:color w:val="auto"/>
              </w:rPr>
              <w:t>756,940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3,781,335</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653,311</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3,717,320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shares of Class A common stock outstanding -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118,235,320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119,107,386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118,732,431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117,221,070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Weighted average number of incremental shares of Class A common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issuable from share-based incentive compensation, convertible debt in 2011,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convertible preferred stock and exchangeable interests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16,401,615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20,240,547</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16,883,126</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21,748,193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w w:val="93"/>
              </w:rPr>
              <w:t>Weighted average number of shares of Class A common stock outstanding - diluted</w:t>
            </w: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134,636,935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139,347,933</w:t>
            </w: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135,615,557</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138,969,263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Basic</w:t>
            </w: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$0.47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392"/>
              <w:spacing w:after="0"/>
              <w:rPr>
                <w:sz w:val="20"/>
                <w:szCs w:val="20"/>
                <w:color w:val="auto"/>
              </w:rPr>
            </w:pPr>
            <w:r>
              <w:rPr>
                <w:rFonts w:ascii="Arial" w:cs="Arial" w:eastAsia="Arial" w:hAnsi="Arial"/>
                <w:sz w:val="18"/>
                <w:szCs w:val="18"/>
                <w:color w:val="auto"/>
              </w:rPr>
              <w:t>34</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June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2012</w:t>
            </w:r>
          </w:p>
        </w:tc>
        <w:tc>
          <w:tcPr>
            <w:tcW w:w="122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9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LFCM Holdings</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10,416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14,790</w:t>
            </w: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00" w:type="dxa"/>
            <w:vAlign w:val="bottom"/>
            <w:shd w:val="clear" w:color="auto" w:fill="CCEEFF"/>
          </w:tcPr>
          <w:p>
            <w:pPr>
              <w:spacing w:after="0"/>
              <w:rPr>
                <w:sz w:val="18"/>
                <w:szCs w:val="18"/>
                <w:color w:val="auto"/>
              </w:rPr>
            </w:pPr>
          </w:p>
        </w:tc>
      </w:tr>
      <w:tr>
        <w:trPr>
          <w:trHeight w:val="222"/>
        </w:trPr>
        <w:tc>
          <w:tcPr>
            <w:tcW w:w="946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ind w:left="6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14,102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18,501</w:t>
            </w:r>
          </w:p>
        </w:tc>
        <w:tc>
          <w:tcPr>
            <w:tcW w:w="10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60" w:type="dxa"/>
            <w:vAlign w:val="bottom"/>
          </w:tcPr>
          <w:p>
            <w:pPr>
              <w:ind w:left="220"/>
              <w:spacing w:after="0"/>
              <w:rPr>
                <w:sz w:val="20"/>
                <w:szCs w:val="20"/>
                <w:color w:val="auto"/>
              </w:rPr>
            </w:pPr>
            <w:r>
              <w:rPr>
                <w:rFonts w:ascii="Arial" w:cs="Arial" w:eastAsia="Arial" w:hAnsi="Arial"/>
                <w:sz w:val="18"/>
                <w:szCs w:val="18"/>
                <w:color w:val="auto"/>
              </w:rPr>
              <w:t>LFCM Holdings</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6,189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222"/>
        </w:trPr>
        <w:tc>
          <w:tcPr>
            <w:tcW w:w="946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or are also members of LAZ-MD Holdings. In addition to the master separation agreement dated as of May 10, 2005, by and among Lazard Ltd, Lazard Group, LAZ-MD Holdings and LFCM Holdings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(the “business alliance agreement”). Certain of these agreements are described in more detail in the Company’s Form 10-K.</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2012, amounts recorded by Lazard Group relating to the administrative services agreement amounted to $702 and $1,515, respectively, and net referral fees for underwriting, private placement, M&amp;A and restructuring transactions under the business alliance agreement amounted to $3,552 and $4,366, respectively. For the three month and six month periods ended June 30, 2011, amounts recorded by Lazard Group relating to the administrative services agreement amounted to $578 and $1,192, respectively, and net referral fees for underwriting, private placement, M&amp;A and restructuring transactions under the business alliance agreement amounted to $6,200 and $13,147,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Receivables from LFCM Holdings and its subsidiaries as of June 30, 2012 and December 31, 2011 include $3,825 and $11,862, respectively, related to administrative and support services, and other receivables which include sublease income and reimbursement of expenses incurred on behalf of LFCM Holdings, and $6,591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$2,928, respectively, related to referral fees for underwriting and private placement transactions. Payables to LFCM Holdings and its subsidiaries at June 30, 2012 and December 31, 2011 consist of $6,189 and $2,060, respectively, principally relating to certain advances and referral fees for Financial Advisory transactions and, at December 31, 2011, obligations pursuant to the tax receivable agreement of $2,790 (see Note 15 of Notes to Condensed Consolidated Financial Statements).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Other receivables and payables at June 30, 2012 and December 31, 2011 primarily relate to referral fees for restructuring and M&amp;A transactions with MBA Lazard Holdings S.A. and its affiliates, an Argentina-based group in which the Company has a 50% ownership interest, and a related party loan.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2012, such charges amounted to $187 and $375, respectively. For the three month and six month periods ended June 30, 2011, such charges amounted to $187 and $375, respectively.</w:t>
      </w:r>
    </w:p>
    <w:p>
      <w:pPr>
        <w:spacing w:after="0" w:line="26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2012, LFNY’s regulatory net capital was $74,299, which exceeded the minimum requirement by $68,933.</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2012, the aggregate regulatory net capital of the U.K. Subsidiaries was $130,437, which exceeded the minimum requirement by $106,893.</w:t>
      </w:r>
    </w:p>
    <w:p>
      <w:pPr>
        <w:spacing w:after="0" w:line="14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CFLF, under which asset management and commercial banking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2012, the consolidated regulatory net capital of CFLF was $168,117, which exceeded the minimum requirement set for regulatory capital levels by $75,989.</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2012, for those subsidiaries with regulatory capital requirements, their aggregate net capital was $107,826, which exceeded the minimum required capital by an aggregate of $84,178.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2012, each of these subsidiaries individually was in compliance with its regulatory capital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Lazard Ltd had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the European Union, Lazard Ltd is required to be supervised by another regulatory body, either in the U.S., by the Board of Governors of the Federal Reserve, or the European Union, which we are examining. The Dodd-Frank Act and the rules and regulations that may be adopted thereunder (including regulations that have not yet been proposed) could have other effects on us. We continue to monitor the process as such rules are proposed and adopted.</w:t>
      </w:r>
    </w:p>
    <w:p>
      <w:pPr>
        <w:spacing w:after="0" w:line="26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as described in Note 1 above - Financial Advisory and Asset Management. In addition, as described in Note 1 above, the Company records selected other activities in its Corporate segment.</w:t>
      </w:r>
    </w:p>
    <w:p>
      <w:pPr>
        <w:spacing w:after="0" w:line="11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2012 and 2011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revenue,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right"/>
              <w:ind w:right="512"/>
              <w:spacing w:after="0"/>
              <w:rPr>
                <w:sz w:val="20"/>
                <w:szCs w:val="20"/>
                <w:color w:val="auto"/>
              </w:rPr>
            </w:pPr>
            <w:r>
              <w:rPr>
                <w:rFonts w:ascii="Arial" w:cs="Arial" w:eastAsia="Arial" w:hAnsi="Arial"/>
                <w:sz w:val="14"/>
                <w:szCs w:val="14"/>
                <w:b w:val="1"/>
                <w:bCs w:val="1"/>
                <w:color w:val="auto"/>
                <w:w w:val="99"/>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8"/>
              </w:rPr>
              <w:t>Six Months Ended June</w:t>
            </w: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Financial Advisory</w:t>
            </w:r>
          </w:p>
        </w:tc>
        <w:tc>
          <w:tcPr>
            <w:tcW w:w="2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620" w:type="dxa"/>
            <w:vAlign w:val="bottom"/>
            <w:gridSpan w:val="2"/>
            <w:vMerge w:val="continue"/>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242,624</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$249,191</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$519,820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478,036</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231,200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214,217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481,097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427,783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34,974</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$ 38,723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50,253</w:t>
            </w:r>
          </w:p>
        </w:tc>
        <w:tc>
          <w:tcPr>
            <w:tcW w:w="0" w:type="dxa"/>
            <w:vAlign w:val="bottom"/>
          </w:tcPr>
          <w:p>
            <w:pPr>
              <w:spacing w:after="0"/>
              <w:rPr>
                <w:sz w:val="1"/>
                <w:szCs w:val="1"/>
                <w:color w:val="auto"/>
              </w:rPr>
            </w:pPr>
          </w:p>
        </w:tc>
      </w:tr>
      <w:tr>
        <w:trPr>
          <w:trHeight w:val="3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Asset Management</w:t>
            </w:r>
          </w:p>
        </w:tc>
        <w:tc>
          <w:tcPr>
            <w:tcW w:w="2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211,053</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$244,855</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$425,580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471,708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156,619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160,914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54,434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108,460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161,590</w:t>
            </w:r>
          </w:p>
        </w:tc>
        <w:tc>
          <w:tcPr>
            <w:tcW w:w="0" w:type="dxa"/>
            <w:vAlign w:val="bottom"/>
          </w:tcPr>
          <w:p>
            <w:pPr>
              <w:spacing w:after="0"/>
              <w:rPr>
                <w:sz w:val="1"/>
                <w:szCs w:val="1"/>
                <w:color w:val="auto"/>
              </w:rPr>
            </w:pPr>
          </w:p>
        </w:tc>
      </w:tr>
      <w:tr>
        <w:trPr>
          <w:trHeight w:val="3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Corporate</w:t>
            </w:r>
          </w:p>
        </w:tc>
        <w:tc>
          <w:tcPr>
            <w:tcW w:w="2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(16,767)</w:t>
            </w:r>
          </w:p>
        </w:tc>
        <w:tc>
          <w:tcPr>
            <w:tcW w:w="98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87"/>
              </w:rPr>
              <w:t>$ (16,754)</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(22,451)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(34,429)</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12,959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42,376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Loss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(21,325)</w:t>
            </w:r>
          </w:p>
        </w:tc>
        <w:tc>
          <w:tcPr>
            <w:tcW w:w="980" w:type="dxa"/>
            <w:vAlign w:val="bottom"/>
            <w:gridSpan w:val="4"/>
            <w:shd w:val="clear" w:color="auto" w:fill="CCEEFF"/>
          </w:tcPr>
          <w:p>
            <w:pPr>
              <w:jc w:val="right"/>
              <w:ind w:right="172"/>
              <w:spacing w:after="0"/>
              <w:rPr>
                <w:sz w:val="20"/>
                <w:szCs w:val="20"/>
                <w:color w:val="auto"/>
              </w:rPr>
            </w:pPr>
            <w:r>
              <w:rPr>
                <w:rFonts w:ascii="Arial" w:cs="Arial" w:eastAsia="Arial" w:hAnsi="Arial"/>
                <w:sz w:val="18"/>
                <w:szCs w:val="18"/>
                <w:color w:val="auto"/>
                <w:w w:val="87"/>
              </w:rPr>
              <w:t>$ (29,713)</w:t>
            </w: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(64,827)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(49,195)</w:t>
            </w:r>
          </w:p>
        </w:tc>
        <w:tc>
          <w:tcPr>
            <w:tcW w:w="0" w:type="dxa"/>
            <w:vAlign w:val="bottom"/>
          </w:tcPr>
          <w:p>
            <w:pPr>
              <w:spacing w:after="0"/>
              <w:rPr>
                <w:sz w:val="1"/>
                <w:szCs w:val="1"/>
                <w:color w:val="auto"/>
              </w:rPr>
            </w:pPr>
          </w:p>
        </w:tc>
      </w:tr>
      <w:tr>
        <w:trPr>
          <w:trHeight w:val="33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Net Revenue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436,910</w:t>
            </w:r>
          </w:p>
        </w:tc>
        <w:tc>
          <w:tcPr>
            <w:tcW w:w="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$477,292</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$922,949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915,315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1340"/>
              <w:spacing w:after="0"/>
              <w:rPr>
                <w:sz w:val="20"/>
                <w:szCs w:val="20"/>
                <w:color w:val="auto"/>
              </w:rPr>
            </w:pPr>
            <w:r>
              <w:rPr>
                <w:rFonts w:ascii="Arial" w:cs="Arial" w:eastAsia="Arial" w:hAnsi="Arial"/>
                <w:sz w:val="18"/>
                <w:szCs w:val="18"/>
                <w:color w:val="auto"/>
              </w:rPr>
              <w:t>Operating Expenses</w:t>
            </w:r>
          </w:p>
        </w:tc>
        <w:tc>
          <w:tcPr>
            <w:tcW w:w="2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392,377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388,090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840,593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752,667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74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Operating Income</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89,202</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$ 82,356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162,648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Financial Advisory</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8"/>
              </w:rPr>
              <w:t>$  747,456</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  767,699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Management</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491,239</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583,524</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Corporate</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1,739,159</w:t>
            </w:r>
          </w:p>
        </w:tc>
        <w:tc>
          <w:tcPr>
            <w:tcW w:w="280" w:type="dxa"/>
            <w:vAlign w:val="bottom"/>
            <w:gridSpan w:val="2"/>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4"/>
              </w:rPr>
              <w:t>1,730,713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2,977,854</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3,081,936</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vMerge w:val="restart"/>
          </w:tcPr>
          <w:p>
            <w:pPr>
              <w:jc w:val="right"/>
              <w:ind w:right="14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2011 (the “Form 10-K”). All references to “2012”, “2011”, “second quarter”, “first half” or “the period” refer to, as the context requires, the three month and six month periods ended June 30, 2012 and June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ability to deploy surplus cash through dividends, share repurchases and debt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levels of 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(“LAM”) and its subsidiaries.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xml:space="preserve"> Our websites and the information contained therein or connected thereto shall not be deemed to be incorporated into this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Lazard is a preeminent financial advisory and asset management firm. We have long specialized in crafting solutions to the complex financial and strategic challenges of a diverse set of clients around the world, including corporations, governments, institutions, partnerships and individuals. Founded in 1848 in New Orleans, we currently operate from 42 cities in key business and financial centers across 27 countries throughout Europe, North America, Asia, Australia, the Middle East and Central and South America.</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jc w:val="both"/>
        <w:ind w:left="900" w:right="1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Asset Management, which offers a broad range of investment solutions and investment management services in equity and fixed income strategies, alternative investments and private equity funds to corporations, public funds, sovereign entities, endowments and foundations, labor funds, financial intermediaries and private clients globally.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addition, we record selected other activities in our Corporate segment, including management of cash, certain investments and the commercial banking activities of Lazard Group’s Paris-based Lazard Frères Banque SA (“LFB”). We also record outstanding indebtedness in our Corporate segment.</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LFB is a registered bank regulated by the Autorité de Contrôle Prudentiel. It is engaged primarily in commercial and private banking services for clients and funds managed by Lazard Frères Gestion SAS (“LFG”) and other clients, investment banking activities, including participation in underwritten offerings of securities in France, asset-liability management and limited trading in securities and foreign exchange.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by our segments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5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3"/>
          </w:tcPr>
          <w:p>
            <w:pPr>
              <w:jc w:val="right"/>
              <w:ind w:right="140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Asset Management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900" w:type="dxa"/>
            <w:vAlign w:val="bottom"/>
            <w:gridSpan w:val="3"/>
          </w:tcPr>
          <w:p>
            <w:pPr>
              <w:jc w:val="right"/>
              <w:ind w:right="760"/>
              <w:spacing w:after="0"/>
              <w:rPr>
                <w:sz w:val="20"/>
                <w:szCs w:val="20"/>
                <w:color w:val="auto"/>
              </w:rPr>
            </w:pPr>
            <w:r>
              <w:rPr>
                <w:rFonts w:ascii="Arial" w:cs="Arial" w:eastAsia="Arial" w:hAnsi="Arial"/>
                <w:sz w:val="18"/>
                <w:szCs w:val="18"/>
                <w:color w:val="auto"/>
              </w:rPr>
              <w:t>51</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vMerge w:val="continue"/>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900" w:type="dxa"/>
            <w:vAlign w:val="bottom"/>
            <w:gridSpan w:val="3"/>
          </w:tcPr>
          <w:p>
            <w:pPr>
              <w:jc w:val="right"/>
              <w:ind w:right="62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investments through</w:t>
      </w:r>
    </w:p>
    <w:p>
      <w:pPr>
        <w:ind w:right="80" w:firstLine="8"/>
        <w:spacing w:after="0" w:line="287" w:lineRule="auto"/>
        <w:tabs>
          <w:tab w:leader="none" w:pos="21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Edgewater Funds (“Edgewater”), our Chicago-based private equity firm, (ii) Lazard Australia Corporate Opportunities Fund 2 (“COF 2”) which has an opportunistic investment strategy focused on the Australian mid-market, (iii) a mezzanine fund, which invests in mezzanine debt of a diversified selection of small- to mid-cap European companies, (iv) Corporate Partners II Limited (“CP II”), a private equity fund targeting significant non-controlling investments in established public and private companies and (v) Lazard Senior Housing Partners LP (“Senior Housing”), which acquires companies and assets in the senior housing, extended stay and shopping center sectors. We may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LLC (“LFCM Holdings”), we may explore discrete capital markets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for the most part dependent on the successful completion of merger, acquisition, restructuring, capital raising or similar transactions, and our Asset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Overall, global equity market indices at June 30, 2012 generally increased when compared to such indices at December 31, 2011, with declines in the indices during the second quarter of 2012. On an industry-wide basis, during the first half of 2012, capital-raising and M&amp;A activity has generally decreased as compared to the corresponding period in 2011. The announced value and number of global M&amp;A transactions decreased in both the first half and second quarter of 2012 as compared to the corresponding periods in 2011. Restructuring volume declined in the second quarter of 2012, as compared to the corresponding period in 2011, despite an increase in the number of corporate defaults.</w:t>
      </w:r>
    </w:p>
    <w:p>
      <w:pPr>
        <w:spacing w:after="0" w:line="11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mid-2012, interest rates remain low and corporate cash balances remain high. Macroeconomic conditions remain uncertain, however, especially with respect to Europe. The breadth of our businesses has mitigated the impact of the European financial crisis. Although European M&amp;A activity has declined in the second quarter of 2012 and affected our Financial Advisory business, we believe our market share has risen and other advisory opportunities, including opportunities for our Restructuring, Debt Advisory, Capital Markets Advisory and Sovereign Advisory businesses, have offset the slowdown. In our Asset Management business, most of LAM’s European clients are invested primarily outside of Europe. Those who are invested in Europe are investing primarily in European fixed income, which has not had a significant impact on our Asset Management business. Nonetheless, the business situation in Europe remains challenging.</w:t>
      </w:r>
    </w:p>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leverage our existing infrastructure to capitalize on any global macroeconomic recovery, any upturn in the M&amp;A cycle, and any momentum in the global equity markets. We expect to generate revenue growth by remaining adequately staffed to capitalize on any macroeconomic recovery and deploying our intellectual capital to generate new revenue streams. We also remain focused on expense management. More specifically, with respect to our Financial Advisory and Asset Management businesses, our outlook is described below.</w:t>
      </w:r>
    </w:p>
    <w:p>
      <w:pPr>
        <w:spacing w:after="0" w:line="184" w:lineRule="exact"/>
        <w:rPr>
          <w:sz w:val="20"/>
          <w:szCs w:val="20"/>
          <w:color w:val="auto"/>
        </w:rPr>
      </w:pPr>
    </w:p>
    <w:p>
      <w:pPr>
        <w:ind w:left="900" w:right="40" w:hanging="325"/>
        <w:spacing w:after="0" w:line="291"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In the near- to mid-term, we expect that the U.S. macroeconomic environment likely will be the strongest of the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economies. Certain legal decisions in the U.S. reinforce the importance of independent advice, and the global scale and breadth of our Financial Advisory business allows us to advise on large, complex cross-border transactions across a variety of industries. In Europe, we believe our Restructuring, Debt Advisory, Capital Markets Advisory and Sovereign Advisory businesses have positive growth prospects. In addition, we believe our businesses throughout the emerging markets, Japan and Australia position us for growth in these markets, while strengthening and distinguishing our relationships with clients in developed economies.</w:t>
      </w:r>
    </w:p>
    <w:p>
      <w:pPr>
        <w:spacing w:after="0" w:line="160" w:lineRule="exact"/>
        <w:rPr>
          <w:rFonts w:ascii="Arial" w:cs="Arial" w:eastAsia="Arial" w:hAnsi="Arial"/>
          <w:sz w:val="16"/>
          <w:szCs w:val="16"/>
          <w:color w:val="auto"/>
        </w:rPr>
      </w:pPr>
    </w:p>
    <w:p>
      <w:pPr>
        <w:ind w:left="900" w:right="80" w:hanging="325"/>
        <w:spacing w:after="0" w:line="28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Despite turbulent markets, we have recently seen investor demand across regions and investment platforms, though demand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decline if volatility continues. In the short to intermediate term, we expect most of our growth will come from defined benefit and defined contribution plans in the developed economies because of their sheer scope and size. Over the longer term, we expect an increasing share of our AUM to come from the developing economies in Asia, Latin America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We are continually developing and seeding new investment strategies that extend our existing platforms. Recent examples of growth initiatives include the following investment strategies: Emerging Market Debt, Latin America Equity, Core Emerging Markets, Real Estate and Global Trend.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operate in a very competitive and rapidly changing environment. New risks and uncertainties emerge from time to time,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 Overall, we continue to focus on the development of our business in this environment, including the generation of stable revenue and earnings growth and stockholder returns during periods of macroeconomic volatility, the prudent management of our costs and expenses, the efficient use of our capital and the return of cash to our stockholders.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are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As reflected in the following table, which sets forth industry statistics regarding the value and number of global and Trans-Atlantic completed and announced M&amp;A transactions, for the first half of 2012, the value and number of such transactions generally decreased compared to the corresponding 2011 period, reflecting transactions with lower average values. During the second quarter of 2012, the value and number of completed and announced transactions generally decreased as compared to the corresponding period in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w w:val="92"/>
              </w:rPr>
              <w:t>Three Months Ended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5"/>
              </w:rPr>
              <w:t>Six Months Ended</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434"/>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jc w:val="center"/>
              <w:ind w:left="99"/>
              <w:spacing w:after="0" w:line="129"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jc w:val="center"/>
              <w:ind w:left="118"/>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Incr /</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Incr /</w:t>
            </w:r>
          </w:p>
        </w:tc>
      </w:t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2012</w:t>
            </w:r>
          </w:p>
        </w:tc>
        <w:tc>
          <w:tcPr>
            <w:tcW w:w="600" w:type="dxa"/>
            <w:vAlign w:val="bottom"/>
          </w:tcPr>
          <w:p>
            <w:pPr>
              <w:spacing w:after="0"/>
              <w:rPr>
                <w:sz w:val="14"/>
                <w:szCs w:val="14"/>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2011</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(Decr)</w:t>
            </w:r>
          </w:p>
        </w:tc>
        <w:tc>
          <w:tcPr>
            <w:tcW w:w="100" w:type="dxa"/>
            <w:vAlign w:val="bottom"/>
          </w:tcPr>
          <w:p>
            <w:pPr>
              <w:spacing w:after="0"/>
              <w:rPr>
                <w:sz w:val="14"/>
                <w:szCs w:val="14"/>
                <w:color w:val="auto"/>
              </w:rPr>
            </w:pPr>
          </w:p>
        </w:tc>
        <w:tc>
          <w:tcPr>
            <w:tcW w:w="6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60" w:type="dxa"/>
            <w:vAlign w:val="bottom"/>
          </w:tcPr>
          <w:p>
            <w:pPr>
              <w:spacing w:after="0"/>
              <w:rPr>
                <w:sz w:val="14"/>
                <w:szCs w:val="14"/>
                <w:color w:val="auto"/>
              </w:rPr>
            </w:pPr>
          </w:p>
        </w:tc>
        <w:tc>
          <w:tcPr>
            <w:tcW w:w="840" w:type="dxa"/>
            <w:vAlign w:val="bottom"/>
          </w:tcPr>
          <w:p>
            <w:pPr>
              <w:jc w:val="right"/>
              <w:ind w:right="434"/>
              <w:spacing w:after="0"/>
              <w:rPr>
                <w:sz w:val="20"/>
                <w:szCs w:val="20"/>
                <w:color w:val="auto"/>
              </w:rPr>
            </w:pPr>
            <w:r>
              <w:rPr>
                <w:rFonts w:ascii="Arial" w:cs="Arial" w:eastAsia="Arial" w:hAnsi="Arial"/>
                <w:sz w:val="14"/>
                <w:szCs w:val="14"/>
                <w:b w:val="1"/>
                <w:bCs w:val="1"/>
                <w:color w:val="auto"/>
                <w:w w:val="96"/>
              </w:rPr>
              <w:t>2011</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(Decr)</w:t>
            </w:r>
          </w:p>
        </w:tc>
      </w:tr>
      <w:tr>
        <w:trPr>
          <w:trHeight w:val="156"/>
        </w:trPr>
        <w:tc>
          <w:tcPr>
            <w:tcW w:w="5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838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1,559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9,559</w:t>
            </w:r>
          </w:p>
        </w:tc>
        <w:tc>
          <w:tcPr>
            <w:tcW w:w="600" w:type="dxa"/>
            <w:vAlign w:val="bottom"/>
          </w:tcPr>
          <w:p>
            <w:pPr>
              <w:spacing w:after="0"/>
              <w:rPr>
                <w:sz w:val="18"/>
                <w:szCs w:val="18"/>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w w:val="83"/>
              </w:rPr>
              <w:t>11,428</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20,052</w:t>
            </w:r>
          </w:p>
        </w:tc>
        <w:tc>
          <w:tcPr>
            <w:tcW w:w="560" w:type="dxa"/>
            <w:vAlign w:val="bottom"/>
          </w:tcPr>
          <w:p>
            <w:pPr>
              <w:spacing w:after="0"/>
              <w:rPr>
                <w:sz w:val="18"/>
                <w:szCs w:val="18"/>
                <w:color w:val="auto"/>
              </w:rPr>
            </w:pPr>
          </w:p>
        </w:tc>
        <w:tc>
          <w:tcPr>
            <w:tcW w:w="840" w:type="dxa"/>
            <w:vAlign w:val="bottom"/>
          </w:tcPr>
          <w:p>
            <w:pPr>
              <w:jc w:val="right"/>
              <w:ind w:right="274"/>
              <w:spacing w:after="0"/>
              <w:rPr>
                <w:sz w:val="20"/>
                <w:szCs w:val="20"/>
                <w:color w:val="auto"/>
              </w:rPr>
            </w:pPr>
            <w:r>
              <w:rPr>
                <w:rFonts w:ascii="Arial" w:cs="Arial" w:eastAsia="Arial" w:hAnsi="Arial"/>
                <w:sz w:val="18"/>
                <w:szCs w:val="18"/>
                <w:color w:val="auto"/>
                <w:w w:val="83"/>
              </w:rPr>
              <w:t>22,708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92</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122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409</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10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753</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1,508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10,865</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3"/>
              </w:rPr>
              <w:t>11,438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7"/>
              </w:rPr>
              <w:t>20,976</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3"/>
              </w:rPr>
              <w:t>22,916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62</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118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22"/>
        </w:trPr>
        <w:tc>
          <w:tcPr>
            <w:tcW w:w="5100" w:type="dxa"/>
            <w:vAlign w:val="bottom"/>
          </w:tcPr>
          <w:p>
            <w:pPr>
              <w:ind w:left="880"/>
              <w:spacing w:after="0"/>
              <w:rPr>
                <w:sz w:val="20"/>
                <w:szCs w:val="20"/>
                <w:color w:val="auto"/>
              </w:rPr>
            </w:pPr>
            <w:r>
              <w:rPr>
                <w:rFonts w:ascii="Arial" w:cs="Arial" w:eastAsia="Arial" w:hAnsi="Arial"/>
                <w:sz w:val="18"/>
                <w:szCs w:val="18"/>
                <w:color w:val="auto"/>
              </w:rPr>
              <w:t>Number</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60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Arial" w:cs="Arial" w:eastAsia="Arial" w:hAnsi="Arial"/>
                <w:sz w:val="18"/>
                <w:szCs w:val="18"/>
                <w:color w:val="auto"/>
              </w:rPr>
              <w:t>421</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800</w:t>
            </w:r>
          </w:p>
        </w:tc>
        <w:tc>
          <w:tcPr>
            <w:tcW w:w="560" w:type="dxa"/>
            <w:vAlign w:val="bottom"/>
          </w:tcPr>
          <w:p>
            <w:pPr>
              <w:spacing w:after="0"/>
              <w:rPr>
                <w:sz w:val="19"/>
                <w:szCs w:val="19"/>
                <w:color w:val="auto"/>
              </w:rPr>
            </w:pP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852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11, 2012.</w:t>
      </w:r>
    </w:p>
    <w:p>
      <w:pPr>
        <w:spacing w:after="0" w:line="171"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Global restructuring activity during the first half of 2012, as measured by the value of debt defaults, decreased from the corresponding period in 2011. However, the number of issuers defaulting increased to 33 in the first half of 2012, according to Moody’s Investors Service, Inc., as compared to 13 in the corresponding period of 2011, with approximately two-thirds of such activity occurring in the first quarter of each respective year. Our Restructuring activities include advising companies on matters relating to debt restructurings, refinancings and other on- and off-balance sheet assignments, and our assignments are generally executed over a six- to eighteen-month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shown in the table below, major equity market indices at June 30, 2012 generally increased when compared to such indices at December 31, 2011 and decreased as compared to March 31, 2012. When compared to indices at June 30, 2011, the U.S. markets increased, while global markets and markets outside the U.S. decreased.</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Changes</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rPr>
              <w:t>June 30, 2012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10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9"/>
              </w:rPr>
              <w:t>March 31,</w:t>
            </w:r>
          </w:p>
        </w:tc>
        <w:tc>
          <w:tcPr>
            <w:tcW w:w="540" w:type="dxa"/>
            <w:vAlign w:val="bottom"/>
          </w:tcPr>
          <w:p>
            <w:pPr>
              <w:spacing w:after="0"/>
              <w:rPr>
                <w:sz w:val="11"/>
                <w:szCs w:val="11"/>
                <w:color w:val="auto"/>
              </w:rPr>
            </w:pPr>
          </w:p>
        </w:tc>
        <w:tc>
          <w:tcPr>
            <w:tcW w:w="1780" w:type="dxa"/>
            <w:vAlign w:val="bottom"/>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54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CAC 40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FTSE 100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NASDAQ</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320" w:type="dxa"/>
            <w:vAlign w:val="bottom"/>
            <w:gridSpan w:val="3"/>
          </w:tcPr>
          <w:p>
            <w:pPr>
              <w:jc w:val="right"/>
              <w:ind w:right="82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3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bl>
    <w:p>
      <w:pPr>
        <w:spacing w:after="0" w:line="15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reflect the changes in global market indices. Our AUM at June 30, 2012 increased 5% versus AUM at December 31, 2011 (primarily reflecting market appreciation), while our average AUM for the first half of 2012 decreased 6% as compared to our average AUM for the corresponding period of 2011. The lower levels of average AUM contributed to lower management fee revenues in the 2012 period when compared to the corresponding period in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and for referring opportunities to LFCM Holdings for underwriting, distribution and placement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institutional and private clients. As noted above, the main driver of Asset Management net revenue is the level of AUM, which is generally influenced by the performance of the global equity markets and, to a lesser extent, fixed income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markets and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hedge funds in any year are applied against certain future period net appreciation before any incentive fees can be earned.</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in LAM equity and fixed income funds and principal investments in equities and alternative asset management funds and “equity method” investments, as well as gains and losses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 The Company holds no “available-for-sale” or “held-to-maturity” investments.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Although Corporate segment net revenue during the first half of 2012 represented (2)% of Lazard’s net revenue, total assets in the Corporate segment represented 58% of Lazard’s consolidated total assets as of June 30, 2012, which is attributable to investments in government bonds and money market funds, fixed income funds, alternative asset management funds and other securities, private equity investments, cash and LFB’s assets.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(see Note 13 of Notes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Condensed Consolidated Financial Statements) including (a) share-based incentive compensation under the Lazard Ltd 2005 Equity Incentive Plan (the “2005 Plan”) and the Lazard Ltd 2008 Incentive Compensation Plan (the “2008 Plan”) and (b) Lazard Fund Interests awards and other similar deferred compensation arrangements (see Note 13 of Notes to Condensed Consolidated Financial Statements) and (iii) a provision for discretionary or guaranteed cash bonuses and profit pools. Compensation expense in any given period is dependent on many factors, including general economic and market conditions, our operating and financial performance, staffing levels, competitive pay conditions and the nature of revenues earned, as well as the mix between current and deferred compensation.</w:t>
      </w:r>
    </w:p>
    <w:p>
      <w:pPr>
        <w:spacing w:after="0" w:line="10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calculations with respect to “adjusted compensation and benefits expense” and the ratio of “adjusted compensation and benefits expense” to “operating revenue,” see the table under “Consolidated Results of Operations” below.</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actual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as modified by the following items:</w:t>
      </w:r>
    </w:p>
    <w:p>
      <w:pPr>
        <w:spacing w:after="0" w:line="32" w:lineRule="exact"/>
        <w:rPr>
          <w:sz w:val="20"/>
          <w:szCs w:val="20"/>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deduct amortization expense recorded for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add (i) the grant date fair value of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grant date fair value of deferred incentive awards granted in 2012, 2011 and 2010 related to the 2011, 2010 and 2009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“sign-on” bonuses) and other special deferred incentive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awarded compensation and benefits expense to rise at a slower rate than operating revenue growth, and if operating revenue declines, awarded compensation and benefits expense should also decline. In addition, we seek to maintain discipline with respect to deferred compensation. Based on a similar mix of revenues from our business as today and a gradual improvement in the macroeconomic environment, we believe that over the cycle we can attain a ratio of awarded compensation and benefits expense to operating revenue in the mid-to-high-50s percentage range, which compares to 61.7% for the year ended December 31, 2011. While we have begun to implement initiatives that we believe will assist us in achieving a ratio within this range, there can be no guarantee that such a ratio will be achieved or that our policies or initiatives will not change in the future. We may benefit from pressure on compensation costs within the financial services industry in future periods, but increased competition for senior professionals, changes in the macroeconomic environment or the financial markets generally, lower operating revenue, changes in the mix of revenues from our businesses or various other factors could prevent us from achieving this goal.</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and amortization of intangible assets related to acquisitions. Amortization of intangible assets relates primarily to the acquisition of Edgewater.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its indirect investment in Lazard Group, Lazard Ltd, through certain of its subsidiaries, is subject to U.S. federal income taxes on its portion of Lazard Group’s operating income. 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Noncontrolling interests primarily relate to the amount attributable to LAZ-MD Holdings’ ownership interest in the net income of Lazard Group and amounts related to Edgewater’s management vehicles that the Company is deemed to control but not own. See Note 12 of Notes to Condensed Consolidated Financial Statements for information regarding the Company’s noncontrolling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are prepared in conformity with accounting principles generally accepted in the United States of America (“U.S. GAAP”). Selected financial data from the Company’s reported condensed consolidated results of operations is set forth below, followed by a more detailed discussion of both the consolidated and business segment results.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80" w:type="dxa"/>
            <w:vAlign w:val="bottom"/>
            <w:gridSpan w:val="6"/>
          </w:tcPr>
          <w:p>
            <w:pPr>
              <w:jc w:val="right"/>
              <w:ind w:right="1432"/>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vMerge w:val="restart"/>
          </w:tcPr>
          <w:p>
            <w:pPr>
              <w:spacing w:after="0"/>
              <w:rPr>
                <w:sz w:val="5"/>
                <w:szCs w:val="5"/>
                <w:color w:val="auto"/>
              </w:rPr>
            </w:pPr>
          </w:p>
        </w:tc>
        <w:tc>
          <w:tcPr>
            <w:tcW w:w="4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436,910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w w:val="86"/>
              </w:rPr>
              <w:t>477,292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922,949</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915,315</w:t>
            </w:r>
          </w:p>
        </w:tc>
        <w:tc>
          <w:tcPr>
            <w:tcW w:w="0" w:type="dxa"/>
            <w:vAlign w:val="bottom"/>
          </w:tcPr>
          <w:p>
            <w:pPr>
              <w:spacing w:after="0"/>
              <w:rPr>
                <w:sz w:val="1"/>
                <w:szCs w:val="1"/>
                <w:color w:val="auto"/>
              </w:rPr>
            </w:pPr>
          </w:p>
        </w:tc>
      </w:tr>
      <w:tr>
        <w:trPr>
          <w:trHeight w:val="303"/>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283,392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w w:val="86"/>
              </w:rPr>
              <w:t>286,480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621,709</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106,425</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rPr>
              <w:t>99,904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215,206</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193,008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1,706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3,678</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392,377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w w:val="86"/>
              </w:rPr>
              <w:t>388,090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840,593</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752,667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89,202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82,356</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10,371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rPr>
              <w:t>17,636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19,138</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71,566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63,218</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892"/>
              <w:spacing w:after="0"/>
              <w:rPr>
                <w:sz w:val="20"/>
                <w:szCs w:val="20"/>
                <w:color w:val="auto"/>
              </w:rPr>
            </w:pPr>
            <w:r>
              <w:rPr>
                <w:rFonts w:ascii="Arial" w:cs="Arial" w:eastAsia="Arial" w:hAnsi="Arial"/>
                <w:sz w:val="18"/>
                <w:szCs w:val="18"/>
                <w:color w:val="auto"/>
              </w:rPr>
              <w:t>9,562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6,845</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14,538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62,004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56,373</w:t>
            </w:r>
          </w:p>
        </w:tc>
        <w:tc>
          <w:tcPr>
            <w:tcW w:w="1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$ 117,011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52"/>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include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20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3"/>
                <w:szCs w:val="13"/>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20" w:type="dxa"/>
            <w:vAlign w:val="bottom"/>
            <w:gridSpan w:val="5"/>
          </w:tcPr>
          <w:p>
            <w:pPr>
              <w:jc w:val="right"/>
              <w:ind w:right="660"/>
              <w:spacing w:after="0" w:line="155" w:lineRule="exact"/>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$457,231</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$500,605</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$963,692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$961,946</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LFB interest expense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(369)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(970)</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(875)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(2,034)</w:t>
            </w: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Revenue related to noncontrolling interests (b)</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(7,862)</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(8,948)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(11,288)</w:t>
            </w:r>
          </w:p>
        </w:tc>
      </w:tr>
      <w:tr>
        <w:trPr>
          <w:trHeight w:val="223"/>
        </w:trPr>
        <w:tc>
          <w:tcPr>
            <w:tcW w:w="20" w:type="dxa"/>
            <w:vAlign w:val="bottom"/>
          </w:tcPr>
          <w:p>
            <w:pPr>
              <w:spacing w:after="0"/>
              <w:rPr>
                <w:sz w:val="19"/>
                <w:szCs w:val="19"/>
                <w:color w:val="auto"/>
              </w:rPr>
            </w:pPr>
          </w:p>
        </w:tc>
        <w:tc>
          <w:tcPr>
            <w:tcW w:w="7300" w:type="dxa"/>
            <w:vAlign w:val="bottom"/>
            <w:gridSpan w:val="2"/>
          </w:tcPr>
          <w:p>
            <w:pPr>
              <w:ind w:left="420"/>
              <w:spacing w:after="0"/>
              <w:rPr>
                <w:sz w:val="20"/>
                <w:szCs w:val="20"/>
                <w:color w:val="auto"/>
              </w:rPr>
            </w:pPr>
            <w:r>
              <w:rPr>
                <w:rFonts w:ascii="Arial" w:cs="Arial" w:eastAsia="Arial" w:hAnsi="Arial"/>
                <w:sz w:val="18"/>
                <w:szCs w:val="18"/>
                <w:color w:val="auto"/>
              </w:rPr>
              <w:t>Losses on investments pertaining to Lazard Fund Interests (c)</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455,209</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491,773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953,958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948,624</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expense incurred by LFB is reported as a charge in determining operating revenue because LFB is a commercial bank and we consider its interest expense to be a cost directly related to the revenues of its business.</w:t>
      </w: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Revenue related to the consolidation of noncontrolling interests is excluded because the Company has no economic interest in such amount.</w:t>
      </w:r>
    </w:p>
    <w:p>
      <w:pPr>
        <w:spacing w:after="0" w:line="32" w:lineRule="exact"/>
        <w:rPr>
          <w:rFonts w:ascii="Arial" w:cs="Arial" w:eastAsia="Arial" w:hAnsi="Arial"/>
          <w:sz w:val="16"/>
          <w:szCs w:val="16"/>
          <w:color w:val="auto"/>
        </w:rPr>
      </w:pPr>
    </w:p>
    <w:p>
      <w:pPr>
        <w:ind w:left="460" w:right="580" w:hanging="452"/>
        <w:spacing w:after="0" w:line="361"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Changes in the fair value of investments held in connection with Lazard Fund Interests and other similar deferred compensation arrangements that correspond to changes in the value of the related compensation liability, which is recorded within compensation and benefits expense, are excluded.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4"/>
          </w:tcPr>
          <w:p>
            <w:pPr>
              <w:jc w:val="right"/>
              <w:ind w:right="107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w w:val="90"/>
              </w:rPr>
              <w:t>$283,392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$286,480</w:t>
            </w:r>
          </w:p>
        </w:tc>
        <w:tc>
          <w:tcPr>
            <w:tcW w:w="6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0"/>
              </w:rPr>
              <w:t>$621,709</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$556,479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Noncontrolling interests (a)</w:t>
            </w:r>
          </w:p>
        </w:tc>
        <w:tc>
          <w:tcPr>
            <w:tcW w:w="1260" w:type="dxa"/>
            <w:vAlign w:val="bottom"/>
            <w:gridSpan w:val="2"/>
          </w:tcPr>
          <w:p>
            <w:pPr>
              <w:jc w:val="right"/>
              <w:ind w:right="432"/>
              <w:spacing w:after="0"/>
              <w:rPr>
                <w:sz w:val="20"/>
                <w:szCs w:val="20"/>
                <w:color w:val="auto"/>
              </w:rPr>
            </w:pPr>
            <w:r>
              <w:rPr>
                <w:rFonts w:ascii="Arial" w:cs="Arial" w:eastAsia="Arial" w:hAnsi="Arial"/>
                <w:sz w:val="18"/>
                <w:szCs w:val="18"/>
                <w:color w:val="auto"/>
              </w:rPr>
              <w:t>(1,010)</w:t>
            </w:r>
          </w:p>
        </w:tc>
        <w:tc>
          <w:tcPr>
            <w:tcW w:w="1320" w:type="dxa"/>
            <w:vAlign w:val="bottom"/>
            <w:gridSpan w:val="3"/>
          </w:tcPr>
          <w:p>
            <w:pPr>
              <w:jc w:val="right"/>
              <w:ind w:right="540"/>
              <w:spacing w:after="0"/>
              <w:rPr>
                <w:sz w:val="20"/>
                <w:szCs w:val="20"/>
                <w:color w:val="auto"/>
              </w:rPr>
            </w:pPr>
            <w:r>
              <w:rPr>
                <w:rFonts w:ascii="Arial" w:cs="Arial" w:eastAsia="Arial" w:hAnsi="Arial"/>
                <w:sz w:val="18"/>
                <w:szCs w:val="18"/>
                <w:color w:val="auto"/>
              </w:rPr>
              <w:t>(835)</w:t>
            </w:r>
          </w:p>
        </w:tc>
        <w:tc>
          <w:tcPr>
            <w:tcW w:w="1300" w:type="dxa"/>
            <w:vAlign w:val="bottom"/>
            <w:gridSpan w:val="2"/>
          </w:tcPr>
          <w:p>
            <w:pPr>
              <w:jc w:val="right"/>
              <w:ind w:right="472"/>
              <w:spacing w:after="0"/>
              <w:rPr>
                <w:sz w:val="20"/>
                <w:szCs w:val="20"/>
                <w:color w:val="auto"/>
              </w:rPr>
            </w:pPr>
            <w:r>
              <w:rPr>
                <w:rFonts w:ascii="Arial" w:cs="Arial" w:eastAsia="Arial" w:hAnsi="Arial"/>
                <w:sz w:val="18"/>
                <w:szCs w:val="18"/>
                <w:color w:val="auto"/>
              </w:rPr>
              <w:t>(2,090)</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Credits pertaining to Lazard Fund Interests (b)</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2,856</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Costs related to staff reductions (c)</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72"/>
              <w:spacing w:after="0"/>
              <w:rPr>
                <w:sz w:val="20"/>
                <w:szCs w:val="20"/>
                <w:color w:val="auto"/>
              </w:rPr>
            </w:pPr>
            <w:r>
              <w:rPr>
                <w:rFonts w:ascii="Arial" w:cs="Arial" w:eastAsia="Arial" w:hAnsi="Arial"/>
                <w:sz w:val="18"/>
                <w:szCs w:val="18"/>
                <w:color w:val="auto"/>
              </w:rPr>
              <w:t>(21,754)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285,238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285,645</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597,954</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554,566</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62.7%</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58.1%</w:t>
            </w:r>
          </w:p>
        </w:tc>
        <w:tc>
          <w:tcPr>
            <w:tcW w:w="1300" w:type="dxa"/>
            <w:vAlign w:val="bottom"/>
            <w:gridSpan w:val="2"/>
          </w:tcPr>
          <w:p>
            <w:pPr>
              <w:jc w:val="right"/>
              <w:ind w:right="372"/>
              <w:spacing w:after="0"/>
              <w:rPr>
                <w:sz w:val="20"/>
                <w:szCs w:val="20"/>
                <w:color w:val="auto"/>
              </w:rPr>
            </w:pPr>
            <w:r>
              <w:rPr>
                <w:rFonts w:ascii="Arial" w:cs="Arial" w:eastAsia="Arial" w:hAnsi="Arial"/>
                <w:sz w:val="18"/>
                <w:szCs w:val="18"/>
                <w:color w:val="auto"/>
              </w:rPr>
              <w:t>62.7%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right="2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fair value of the derivative compensation liability recorded in connection with Lazard Fund Interests and other similar deferred compensation arrangements are excluded because such amounts correspond to the change in the fair value of the underlying investments, which are excluded from operating revenue.</w:t>
      </w:r>
    </w:p>
    <w:p>
      <w:pPr>
        <w:spacing w:after="0" w:line="1" w:lineRule="exact"/>
        <w:rPr>
          <w:rFonts w:ascii="Arial" w:cs="Arial" w:eastAsia="Arial" w:hAnsi="Arial"/>
          <w:sz w:val="18"/>
          <w:szCs w:val="18"/>
          <w:color w:val="auto"/>
        </w:rPr>
      </w:pPr>
    </w:p>
    <w:p>
      <w:pPr>
        <w:ind w:left="460" w:right="18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Severance costs and benefit payments associated with staff reductions, including the acceleration of unrecognized amortization expense of deferred incentive compensation previously granted to individuals being terminated, are excluded to enhance comparability of adjusted compensation and benefits expense relative to operating revenue between present, historical and future periods.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2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gridSpan w:val="4"/>
          </w:tcPr>
          <w:p>
            <w:pPr>
              <w:jc w:val="right"/>
              <w:ind w:right="9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$106,425</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color w:val="auto"/>
                <w:w w:val="92"/>
              </w:rPr>
              <w:t>$99,904</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$215,206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$193,008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(658)</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(324)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(1,299)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Costs related to staff reductions (b)</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105,767</w:t>
            </w:r>
          </w:p>
        </w:tc>
        <w:tc>
          <w:tcPr>
            <w:tcW w:w="11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99,580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211,002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192,350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20.2%</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related to the consolidation of noncontrolling interests are excluded because, as is the case with operating revenue, the Company has no economic interest in such amounts.</w:t>
      </w:r>
    </w:p>
    <w:p>
      <w:pPr>
        <w:ind w:left="46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Non-compensation costs associated with staff reductions are excluded to enhance comparability of adjusted non-compensation expense relative to operating revenue between present, historical and future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13"/>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jc w:val="center"/>
              <w:ind w:left="456"/>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16"/>
          </w:tcPr>
          <w:p>
            <w:pPr>
              <w:jc w:val="right"/>
              <w:ind w:right="1152"/>
              <w:spacing w:after="0" w:line="142" w:lineRule="exact"/>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5"/>
              </w:rPr>
              <w:t>455,209</w:t>
            </w:r>
          </w:p>
        </w:tc>
        <w:tc>
          <w:tcPr>
            <w:tcW w:w="12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$ 491,773</w:t>
            </w:r>
          </w:p>
        </w:tc>
        <w:tc>
          <w:tcPr>
            <w:tcW w:w="100" w:type="dxa"/>
            <w:vAlign w:val="bottom"/>
          </w:tcPr>
          <w:p>
            <w:pPr>
              <w:spacing w:after="0"/>
              <w:rPr>
                <w:sz w:val="18"/>
                <w:szCs w:val="18"/>
                <w:color w:val="auto"/>
              </w:rPr>
            </w:pPr>
          </w:p>
        </w:tc>
        <w:tc>
          <w:tcPr>
            <w:tcW w:w="1320" w:type="dxa"/>
            <w:vAlign w:val="bottom"/>
            <w:gridSpan w:val="10"/>
          </w:tcPr>
          <w:p>
            <w:pPr>
              <w:jc w:val="right"/>
              <w:spacing w:after="0"/>
              <w:rPr>
                <w:sz w:val="20"/>
                <w:szCs w:val="20"/>
                <w:color w:val="auto"/>
              </w:rPr>
            </w:pPr>
            <w:r>
              <w:rPr>
                <w:rFonts w:ascii="Arial" w:cs="Arial" w:eastAsia="Arial" w:hAnsi="Arial"/>
                <w:sz w:val="18"/>
                <w:szCs w:val="18"/>
                <w:color w:val="auto"/>
              </w:rPr>
              <w:t>$ 953,958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7"/>
          </w:tcPr>
          <w:p>
            <w:pPr>
              <w:jc w:val="right"/>
              <w:ind w:right="180"/>
              <w:spacing w:after="0"/>
              <w:rPr>
                <w:sz w:val="20"/>
                <w:szCs w:val="20"/>
                <w:color w:val="auto"/>
              </w:rPr>
            </w:pPr>
            <w:r>
              <w:rPr>
                <w:rFonts w:ascii="Arial" w:cs="Arial" w:eastAsia="Arial" w:hAnsi="Arial"/>
                <w:sz w:val="18"/>
                <w:szCs w:val="18"/>
                <w:color w:val="auto"/>
                <w:w w:val="97"/>
              </w:rPr>
              <w:t>$ 948,624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(285,238)</w:t>
            </w:r>
          </w:p>
        </w:tc>
        <w:tc>
          <w:tcPr>
            <w:tcW w:w="120" w:type="dxa"/>
            <w:vAlign w:val="bottom"/>
          </w:tcPr>
          <w:p>
            <w:pPr>
              <w:spacing w:after="0"/>
              <w:rPr>
                <w:sz w:val="18"/>
                <w:szCs w:val="18"/>
                <w:color w:val="auto"/>
              </w:rPr>
            </w:pPr>
          </w:p>
        </w:tc>
        <w:tc>
          <w:tcPr>
            <w:tcW w:w="1260" w:type="dxa"/>
            <w:vAlign w:val="bottom"/>
            <w:gridSpan w:val="6"/>
          </w:tcPr>
          <w:p>
            <w:pPr>
              <w:jc w:val="right"/>
              <w:ind w:right="40"/>
              <w:spacing w:after="0"/>
              <w:rPr>
                <w:sz w:val="20"/>
                <w:szCs w:val="20"/>
                <w:color w:val="auto"/>
              </w:rPr>
            </w:pPr>
            <w:r>
              <w:rPr>
                <w:rFonts w:ascii="Arial" w:cs="Arial" w:eastAsia="Arial" w:hAnsi="Arial"/>
                <w:sz w:val="18"/>
                <w:szCs w:val="18"/>
                <w:color w:val="auto"/>
              </w:rPr>
              <w:t>(285,645)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0"/>
              </w:rPr>
              <w:t>(597,954)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7"/>
          </w:tcPr>
          <w:p>
            <w:pPr>
              <w:jc w:val="right"/>
              <w:ind w:right="120"/>
              <w:spacing w:after="0"/>
              <w:rPr>
                <w:sz w:val="20"/>
                <w:szCs w:val="20"/>
                <w:color w:val="auto"/>
              </w:rPr>
            </w:pPr>
            <w:r>
              <w:rPr>
                <w:rFonts w:ascii="Arial" w:cs="Arial" w:eastAsia="Arial" w:hAnsi="Arial"/>
                <w:sz w:val="18"/>
                <w:szCs w:val="18"/>
                <w:color w:val="auto"/>
              </w:rPr>
              <w:t>(554,566)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(105,767)</w:t>
            </w:r>
          </w:p>
        </w:tc>
        <w:tc>
          <w:tcPr>
            <w:tcW w:w="12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(99,580)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(211,002)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(192,350)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64,204</w:t>
            </w:r>
          </w:p>
        </w:tc>
        <w:tc>
          <w:tcPr>
            <w:tcW w:w="120" w:type="dxa"/>
            <w:vAlign w:val="bottom"/>
          </w:tcPr>
          <w:p>
            <w:pPr>
              <w:spacing w:after="0"/>
              <w:rPr>
                <w:sz w:val="19"/>
                <w:szCs w:val="19"/>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$ 106,548</w:t>
            </w:r>
          </w:p>
        </w:tc>
        <w:tc>
          <w:tcPr>
            <w:tcW w:w="100" w:type="dxa"/>
            <w:vAlign w:val="bottom"/>
          </w:tcPr>
          <w:p>
            <w:pPr>
              <w:spacing w:after="0"/>
              <w:rPr>
                <w:sz w:val="19"/>
                <w:szCs w:val="19"/>
                <w:color w:val="auto"/>
              </w:rPr>
            </w:pPr>
          </w:p>
        </w:tc>
        <w:tc>
          <w:tcPr>
            <w:tcW w:w="1320" w:type="dxa"/>
            <w:vAlign w:val="bottom"/>
            <w:gridSpan w:val="10"/>
          </w:tcPr>
          <w:p>
            <w:pPr>
              <w:jc w:val="right"/>
              <w:spacing w:after="0"/>
              <w:rPr>
                <w:sz w:val="20"/>
                <w:szCs w:val="20"/>
                <w:color w:val="auto"/>
              </w:rPr>
            </w:pPr>
            <w:r>
              <w:rPr>
                <w:rFonts w:ascii="Arial" w:cs="Arial" w:eastAsia="Arial" w:hAnsi="Arial"/>
                <w:sz w:val="18"/>
                <w:szCs w:val="18"/>
                <w:color w:val="auto"/>
              </w:rPr>
              <w:t>$ 145,002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7"/>
          </w:tcPr>
          <w:p>
            <w:pPr>
              <w:jc w:val="right"/>
              <w:ind w:right="180"/>
              <w:spacing w:after="0"/>
              <w:rPr>
                <w:sz w:val="20"/>
                <w:szCs w:val="20"/>
                <w:color w:val="auto"/>
              </w:rPr>
            </w:pPr>
            <w:r>
              <w:rPr>
                <w:rFonts w:ascii="Arial" w:cs="Arial" w:eastAsia="Arial" w:hAnsi="Arial"/>
                <w:sz w:val="18"/>
                <w:szCs w:val="18"/>
                <w:color w:val="auto"/>
                <w:w w:val="97"/>
              </w:rPr>
              <w:t>$ 201,708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13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62"/>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60"/>
              <w:spacing w:after="0"/>
              <w:rPr>
                <w:sz w:val="20"/>
                <w:szCs w:val="20"/>
                <w:color w:val="auto"/>
              </w:rPr>
            </w:pPr>
            <w:r>
              <w:rPr>
                <w:rFonts w:ascii="Arial" w:cs="Arial" w:eastAsia="Arial" w:hAnsi="Arial"/>
                <w:sz w:val="18"/>
                <w:szCs w:val="18"/>
                <w:color w:val="auto"/>
                <w:w w:val="92"/>
              </w:rPr>
              <w:t>Certain additional key ratios and headcount information are set forth below:</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11"/>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10"/>
          </w:tcPr>
          <w:p>
            <w:pPr>
              <w:jc w:val="center"/>
              <w:ind w:right="42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9"/>
          </w:tcPr>
          <w:p>
            <w:pPr>
              <w:jc w:val="center"/>
              <w:ind w:right="7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5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6"/>
          </w:tcPr>
          <w:p>
            <w:pPr>
              <w:jc w:val="right"/>
              <w:ind w:right="6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62"/>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8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4"/>
          </w:tcPr>
          <w:p>
            <w:pPr>
              <w:jc w:val="right"/>
              <w:ind w:right="52"/>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6"/>
          </w:tcPr>
          <w:p>
            <w:pPr>
              <w:jc w:val="right"/>
              <w:ind w:right="6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560" w:type="dxa"/>
            <w:vAlign w:val="bottom"/>
            <w:gridSpan w:val="5"/>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ind w:left="220"/>
              <w:spacing w:after="0"/>
              <w:rPr>
                <w:sz w:val="20"/>
                <w:szCs w:val="20"/>
                <w:color w:val="auto"/>
              </w:rPr>
            </w:pPr>
            <w:r>
              <w:rPr>
                <w:rFonts w:ascii="Arial" w:cs="Arial" w:eastAsia="Arial" w:hAnsi="Arial"/>
                <w:sz w:val="18"/>
                <w:szCs w:val="18"/>
                <w:color w:val="auto"/>
              </w:rPr>
              <w:t>Net revenue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8"/>
              </w:rPr>
              <w:t>100%</w:t>
            </w:r>
          </w:p>
        </w:tc>
        <w:tc>
          <w:tcPr>
            <w:tcW w:w="220" w:type="dxa"/>
            <w:vAlign w:val="bottom"/>
          </w:tcPr>
          <w:p>
            <w:pPr>
              <w:spacing w:after="0"/>
              <w:rPr>
                <w:sz w:val="19"/>
                <w:szCs w:val="19"/>
                <w:color w:val="auto"/>
              </w:rPr>
            </w:pPr>
          </w:p>
        </w:tc>
        <w:tc>
          <w:tcPr>
            <w:tcW w:w="560" w:type="dxa"/>
            <w:vAlign w:val="bottom"/>
            <w:gridSpan w:val="5"/>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4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1040" w:type="dxa"/>
            <w:vAlign w:val="bottom"/>
            <w:gridSpan w:val="6"/>
          </w:tcPr>
          <w:p>
            <w:pPr>
              <w:jc w:val="center"/>
              <w:ind w:left="615"/>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4"/>
                <w:szCs w:val="14"/>
                <w:color w:val="auto"/>
              </w:rPr>
            </w:pPr>
          </w:p>
        </w:tc>
        <w:tc>
          <w:tcPr>
            <w:tcW w:w="98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auto"/>
              </w:rPr>
              <w:t>77</w:t>
            </w:r>
          </w:p>
        </w:tc>
        <w:tc>
          <w:tcPr>
            <w:tcW w:w="1260" w:type="dxa"/>
            <w:vAlign w:val="bottom"/>
            <w:gridSpan w:val="7"/>
          </w:tcPr>
          <w:p>
            <w:pPr>
              <w:jc w:val="right"/>
              <w:ind w:right="12"/>
              <w:spacing w:after="0"/>
              <w:rPr>
                <w:sz w:val="20"/>
                <w:szCs w:val="20"/>
                <w:color w:val="auto"/>
              </w:rPr>
            </w:pPr>
            <w:r>
              <w:rPr>
                <w:rFonts w:ascii="Arial" w:cs="Arial" w:eastAsia="Arial" w:hAnsi="Arial"/>
                <w:sz w:val="18"/>
                <w:szCs w:val="18"/>
                <w:color w:val="auto"/>
              </w:rPr>
              <w:t>71</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1,105</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3"/>
          </w:tcPr>
          <w:p>
            <w:pPr>
              <w:spacing w:after="0"/>
              <w:rPr>
                <w:sz w:val="19"/>
                <w:szCs w:val="19"/>
                <w:color w:val="auto"/>
              </w:rPr>
            </w:pP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4"/>
              </w:rPr>
              <w:t>1,199</w:t>
            </w:r>
          </w:p>
        </w:tc>
        <w:tc>
          <w:tcPr>
            <w:tcW w:w="40" w:type="dxa"/>
            <w:vAlign w:val="bottom"/>
            <w:tcBorders>
              <w:bottom w:val="single" w:sz="8" w:color="auto"/>
            </w:tcBorders>
          </w:tcPr>
          <w:p>
            <w:pPr>
              <w:spacing w:after="0"/>
              <w:rPr>
                <w:sz w:val="19"/>
                <w:szCs w:val="19"/>
                <w:color w:val="auto"/>
              </w:rPr>
            </w:pPr>
          </w:p>
        </w:tc>
        <w:tc>
          <w:tcPr>
            <w:tcW w:w="740" w:type="dxa"/>
            <w:vAlign w:val="bottom"/>
            <w:gridSpan w:val="4"/>
          </w:tcPr>
          <w:p>
            <w:pPr>
              <w:spacing w:after="0"/>
              <w:rPr>
                <w:sz w:val="19"/>
                <w:szCs w:val="19"/>
                <w:color w:val="auto"/>
              </w:rPr>
            </w:pPr>
          </w:p>
        </w:tc>
        <w:tc>
          <w:tcPr>
            <w:tcW w:w="4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84"/>
              </w:rPr>
              <w:t>1,197</w:t>
            </w:r>
          </w:p>
        </w:tc>
        <w:tc>
          <w:tcPr>
            <w:tcW w:w="520" w:type="dxa"/>
            <w:vAlign w:val="bottom"/>
            <w:gridSpan w:val="4"/>
          </w:tcPr>
          <w:p>
            <w:pPr>
              <w:spacing w:after="0"/>
              <w:rPr>
                <w:sz w:val="19"/>
                <w:szCs w:val="19"/>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88"/>
              </w:rPr>
              <w:t>1,146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2,547</w:t>
            </w:r>
          </w:p>
        </w:tc>
        <w:tc>
          <w:tcPr>
            <w:tcW w:w="1260" w:type="dxa"/>
            <w:vAlign w:val="bottom"/>
            <w:gridSpan w:val="7"/>
            <w:shd w:val="clear" w:color="auto" w:fill="CCEEFF"/>
          </w:tcPr>
          <w:p>
            <w:pPr>
              <w:jc w:val="right"/>
              <w:ind w:right="12"/>
              <w:spacing w:after="0"/>
              <w:rPr>
                <w:sz w:val="20"/>
                <w:szCs w:val="20"/>
                <w:color w:val="auto"/>
              </w:rPr>
            </w:pPr>
            <w:r>
              <w:rPr>
                <w:rFonts w:ascii="Arial" w:cs="Arial" w:eastAsia="Arial" w:hAnsi="Arial"/>
                <w:sz w:val="18"/>
                <w:szCs w:val="18"/>
                <w:color w:val="auto"/>
              </w:rPr>
              <w:t>2,511</w:t>
            </w:r>
          </w:p>
        </w:tc>
        <w:tc>
          <w:tcPr>
            <w:tcW w:w="98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2012 period of $31 million, as compared to net income of $62 million in the 2011 period. The changes in the Company’s operating results during these periods are described below.</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Net revenue in the 2012 period decreased $40 million, or 8%, with operating revenue decreasing $37 million, or 7%, respectively, as compared to the 2011 period. Fees from investment banking and other advisory activities decreased $3 million, or 1%, primarily due to an $18 million, or 38%, decline in Restructuring revenue and a $10 million, or 39%, decline in other advisory fee revenue, partially offset by an increase of $25 million, or 15%, in M&amp;A and Strategic Advisory fee revenue. Such increase reflected a higher level of revenues earned from our top 10 clients as compared to the 2011 period. The decrease in Restructuring revenue primarily resulted from lower average fees for assignments with completion fees greater than $1 million, and was consistent with the continuing industry-wide decline of corporate restructuring activity. Money management fees decreased $29 million, or 13%, during the 2012 period primarily due to a $10 billion, or 6%, decrease in average AUM, on which management fees are earned, generally reflecting market depreciation and a slight shift in the mix of AUM into lower margin products. In the aggregate, interest income, other revenue and interest expense contributed to a decrease in net revenue of $8 million as compared to the corresponding period in 2011.</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Compensation and benefits expense in the 2012 period was $283 million, as compared to $286 million in the corresponding prior year period. Adjusted compensation and benefits expense (which excludes certain items, and which we believe allows for improved comparability between interim periods, as described above) was $285 million in the 2012 period, substantially unchanged when compared to the 2011 period. The resulting ratio of adjusted compensation and benefits expense to operating revenue was 62.7% for the 2012 period, versus 58.1% and 62.0% for the second quarter and full year of 2011, respectively. The ratio in the 2012 period was negatively impacted by higher amortization of deferred incentive compensation awards as described in more detail in the discussion below regarding year-to-date results. Further,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Non-compensation expense in the 2012 period was $107 million, an increase of $7 million, or 7%, as compared to $100 million in the corresponding period in 2011. When excluding non-compensation costs relating to noncontrolling interests, adjusted non-compensation expense in the second quarter of 2012 increased $6 million, or 6%, primarily attributable to higher occupancy costs in the 2012 period as a result of our amended lease and associated build-out costs of our Rockefeller Center facility. The ratio of adjusted non-compensation expense to operating revenue was 23.2% in the 2012 period versus 20.2% for the corresponding period in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was $3 million in the 2012 period, as compared to $2 million in the 2011 period.</w:t>
      </w:r>
    </w:p>
    <w:p>
      <w:pPr>
        <w:spacing w:after="0" w:line="171"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Operating income in the 2012 period was $45 million, a decrease of $44 million, or 50%, as compared to operating income of $89 million in the 2011 period, and, as a percentage of net revenue, was 10.2% as compared to 18.7% in the 2011 period. Earnings from operations (which represent operating revenue less (i) adjusted compensation and benefits expense and (ii) adjusted non-compensation expense) were $64 million and $107 million for the 2012 and 2011 periods, respectively, and, as a percentage of operating revenue, were 14.1% as compared to 21.7% in the 2011 period.</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provision for income taxes was $10 million and $18 million for the 2012 and 2011 periods, respectively, representing effective tax rates of 23.3% and 19.8% for the respective periods.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income attributable to noncontrolling interests was $3 million and $10 million in the 2012 and 2011 periods, respectively. The decrease of $7 million primarily reflects a lower level of earnings in the 2012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in the 2012 period of $56 million, as compared to net income of $117 million in the 2011 period. The changes in the Company’s operating results during these periods are described below.</w:t>
      </w:r>
    </w:p>
    <w:p>
      <w:pPr>
        <w:spacing w:after="0" w:line="132"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Net revenue in the 2012 period increased $8 million, or 1%, with operating revenue increasing $5 million, or 1%, respectively, as compared to the 2011 period. Fees from investment banking and other advisory activities increased $50 million, or 11%, primarily due to increases in M&amp;A and Strategic Advisory fee revenue of $54 million, or 16%, and Restructuring fee revenue of $16 million, or 20%, partially offset by a decrease in other advisory fee revenue of $20 million, or 43%. The increase in M&amp;A and Strategic Advisory fee revenue was driven by the breadth and volume of our global M&amp;A and Sovereign Advisory businesses, as well as the strong performance of Lazard Middle Market and higher fees earned from our top 10 clients, reflecting the closing of several significant M&amp;A and sovereign and government advisory transactions during the 2012 period. Although global corporate restructuring activity continues to be in an industry-wide decline, the increase in Restructuring fee revenue in the 2012 period was driven primarily by a higher number of closings in the first quarter of 2012 which resulted in an increase in average fees for assignments with completion fees greater than $1 million. Money management fees decreased $39 million, or 9%, during the 2012 period primarily due to a $10 billion, or 6%, decrease in average AUM, on which management fees are earned, primarily as a result of market depreciation in the second half of 2011. In the aggregate, interest income, other revenue and interest expense contributed to a decrease in net revenue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 million as compared to the corresponding period in 2011.</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Compensation and benefits expense in the 2012 period was $622 million, as compared to $556 million in the corresponding prior year period, and included a $22 million first quarter 2012 charge associated with staff reductions, representing severance costs and benefit payments, $7 million of which related to the acceleration of unrecognized amortization expense of deferred incentive compensation previously granted to individuals being terminated. Also contributing to the increase was a higher level of amortization of deferred incentive compensation awards and increased salaries and benefits. Adjusted compensation and benefits expense (which excludes certain items, and which we believe allows for improved comparability between interim periods, as described above), was $598 million in the 2012 period, an increase of $43 million, or 8%, when compared to $555 million in the 2011 period. The resulting ratio of adjusted compensation and benefits expense to operating revenue was 62.7% for the 2012 period, which compares to 58.5% and 62.0% for the first half and full year of 2011, respectively. The first half 2012 ratio of adjusted compensation and benefits expense to operating revenue assumed, based on current market conditions, a ratio of awarded compensation and benefits expense to operating revenue of approximately 60% for the full year of 2012, as compared to 61.7% for the full year of 2011. As described above, when analyzing compensation and benefits expense on a full year basis, we believe that awarded compensation and benefits expense provides the most meaningful basis for comparison of compensation and benefits expense between present, historical and future years.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expect that amortization of deferred incentive compensation awards will approximate $341 million for the full year of 2012, compared to $289 million for the full year of 2011, when excluding the $7 million charge in 2012 related to staff reductions. Approximately $41 million, or 79%, of the increased amortization in 2012 is related to the 2008 plan year deferred incentive compensation awards (the “2008 grant”), approximately $23 million of which was expensed in the first half of 2012, representing approximately 2.4% of operating revenue. The 2008 grant had a four year vesting period and is the last grant with a vesting period in excess of three years. Amortization of deferred incentive compensation expense is expected to revert to a lower level after the first quarter of 2013 following the full vesting of the 2008 grant.</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Non-compensation expense in the 2012 period was $215 million, an increase of $22 million, or 12%, as compared to $193 million in the corresponding period in 2011. Non-compensation expense in the first half of 2012 included charges totaling $3 million associated with the staff reductions. When excluding such charges, as well as non-compensation costs relating to noncontrolling interests, adjusted non-compensation expense in the first half of 2012 increased $19 million, or 10%, primarily attributable to (i) higher occupancy costs in the 2012 period as a result of our amended lease and associated build-out costs of our Rockefeller Center facility and (ii) deal-related costs specifically related to transactions that closed in the 2012 period. The ratio of adjusted non-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compensation expense to operating revenue was 22.1% in the 2012 period versus 20.3% for the corresponding period in 2011. We currently estimate that, on a full year basis in 2012 as compared to 2011, our occupancy-related costs associated with the amended lease at our Rockefeller Center facility will increase by approximately $12 million. We have initiated, and continue to pursue, reductions of non-compensation expense.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2011 period.</w:t>
      </w:r>
    </w:p>
    <w:p>
      <w:pPr>
        <w:spacing w:after="0" w:line="171" w:lineRule="exact"/>
        <w:rPr>
          <w:sz w:val="20"/>
          <w:szCs w:val="20"/>
          <w:color w:val="auto"/>
        </w:rPr>
      </w:pPr>
    </w:p>
    <w:p>
      <w:pPr>
        <w:ind w:right="480" w:firstLine="456"/>
        <w:spacing w:after="0" w:line="298" w:lineRule="auto"/>
        <w:rPr>
          <w:sz w:val="20"/>
          <w:szCs w:val="20"/>
          <w:color w:val="auto"/>
        </w:rPr>
      </w:pPr>
      <w:r>
        <w:rPr>
          <w:rFonts w:ascii="Arial" w:cs="Arial" w:eastAsia="Arial" w:hAnsi="Arial"/>
          <w:sz w:val="16"/>
          <w:szCs w:val="16"/>
          <w:color w:val="auto"/>
        </w:rPr>
        <w:t>Operating income in the 2012 period (including the above-mentioned charges relating to staff reductions aggregating $25 million) was $82 million, a decrease of $80 million, or 49%, as compared to operating income of $162 million in the 2011 period, and, as a percentage of net revenue, was 8.9%, as compared to 17.8% in the 2011 period. Earnings from operations were $145 million and $202 million for the 2012 and 2011 periods, respectively, and, as a percentage of operating revenue, were 15.2% as compared to 21.3% in the 2011 period.</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provision for income taxes was $19 million and $31 million for the 2012 and 2011 periods, respectively, representing effective tax rates of 23.2% and 19.1% for the respective periods.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income attributable to noncontrolling interests was $7 million and $15 million in the 2012 and 2011 periods, respectively. The decrease of $8 million primarily reflects a lower level of earnings in the 2012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following is a discussion of net revenue and operating income for the Company’s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revenue, headcount, square footage and other factors.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of the Financial Advisory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5"/>
          </w:tcPr>
          <w:p>
            <w:pPr>
              <w:jc w:val="right"/>
              <w:ind w:right="1072"/>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0"/>
              </w:rPr>
              <w:t>$195,383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170,568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387,994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334,320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Capital Markets and Other Advisory</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17,174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30,290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31,544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59,826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212,557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200,858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419,538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394,146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30,067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48,333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100,282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Revenue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242,624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249,191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519,820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478,036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260" w:type="dxa"/>
            <w:vAlign w:val="bottom"/>
            <w:gridSpan w:val="2"/>
          </w:tcPr>
          <w:p>
            <w:pPr>
              <w:jc w:val="right"/>
              <w:ind w:right="492"/>
              <w:spacing w:after="0"/>
              <w:rPr>
                <w:sz w:val="20"/>
                <w:szCs w:val="20"/>
                <w:color w:val="auto"/>
              </w:rPr>
            </w:pPr>
            <w:r>
              <w:rPr>
                <w:rFonts w:ascii="Arial" w:cs="Arial" w:eastAsia="Arial" w:hAnsi="Arial"/>
                <w:sz w:val="18"/>
                <w:szCs w:val="18"/>
                <w:color w:val="auto"/>
              </w:rPr>
              <w:t>231,200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214,217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481,097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427,783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w w:val="96"/>
              </w:rPr>
              <w:t>$ 11,424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50,253</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3"/>
            <w:vMerge w:val="continue"/>
          </w:tcPr>
          <w:p>
            <w:pPr>
              <w:spacing w:after="0"/>
              <w:rPr>
                <w:sz w:val="18"/>
                <w:szCs w:val="18"/>
                <w:color w:val="auto"/>
              </w:rPr>
            </w:pPr>
          </w:p>
        </w:tc>
        <w:tc>
          <w:tcPr>
            <w:tcW w:w="1260" w:type="dxa"/>
            <w:vAlign w:val="bottom"/>
            <w:gridSpan w:val="2"/>
          </w:tcPr>
          <w:p>
            <w:pPr>
              <w:jc w:val="right"/>
              <w:ind w:right="332"/>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 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While the M&amp;A industry data described above on completed and announced transactions reflects decreased M&amp;A activity in the first half of 2012 as compared to the corresponding period in 2011, our M&amp;A and Strategic Advisory revenue (which includes Sovereign and Government Advisory revenue) increased 16% in the 2012 six month period as compared to the 2011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client statistics and global industry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54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89"/>
              </w:rPr>
              <w:t>Three Months Ended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180" w:type="dxa"/>
            <w:vAlign w:val="bottom"/>
          </w:tcPr>
          <w:p>
            <w:pPr>
              <w:spacing w:after="0"/>
              <w:rPr>
                <w:sz w:val="12"/>
                <w:szCs w:val="12"/>
                <w:color w:val="auto"/>
              </w:rPr>
            </w:pPr>
          </w:p>
        </w:tc>
        <w:tc>
          <w:tcPr>
            <w:tcW w:w="3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54</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49</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43</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35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71</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22"/>
        </w:trPr>
        <w:tc>
          <w:tcPr>
            <w:tcW w:w="718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13</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11, 2012.</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$12 million, or 6%, and Restructuring revenue decreased $18 million, or 38%, as compared to the 2011 period.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M&amp;A and Strategic Advisory revenue increased $25 million, or 15% as compared to the 2011 period. Capital Markets and Other Advisory revenue decreased $13 million, or 43%. The increase in M&amp;A and Strategic Advisory revenue was principally due to a higher level of fees earned from our top 10 clients, which reflected the closing of several significant M&amp;A transactions. Our major clients, which, in the aggregate, represented a significant portion of our M&amp;A and Strategic Advisory revenue for the second quarter of 2012, included Abertis Infraestructuras, Caisse des Dépôts, Central Vermont Public Service, Delphi Financial Group, France Telecom-Orange, Gloucester Coal, Google, Medco Health Solutions, Mirvac Group and Northeast Utilities. The decrease in Capital Markets and Other Advisory revenue in the 2012 period was primarily attributable to a lower level of closings by Private Fund Advisory.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in the 2012 period was due to lower average fees for assignments with completion fees greater than $1 million. Notable assignments completed in the second quarter of 2012 included assignments for General Maritime, Crown of the State of New South Wales and Yucaipa Companies.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Operating expenses increased $17 million, or 8%, as compared to the 2011 period. The principal contributors to the increase were increases in compensation and benefits expense and occupancy costs in the 2012 period, the latter primarily as a result of our amended lease and associated build-out costs of our Rockefeller Center facility.</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Financial Advisory operating income in the 2012 period was $11 million, a decrease of $24 million, or 67%, as compared to operating income of $35 million in the 2011 period and, as a percentage of net revenue, was 4.7% as compared to 14.0% in the 2011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Total Strategic Advisory net revenue, representing fees from M&amp;A, Sovereign, Capital Markets, Private Funds and Other Advisory businesses, increased $25 million, or 6%, and Restructuring revenue increased $16 million, or 20%, as compared to the 2011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M&amp;A and Strategic Advisory revenue increased $54 million, or 16%, as compared to the 2011 period. Capital Markets and Other Advisory revenue decreased $28 million, or 47%. The increase in M&amp;A and Strategic Advisory revenue was principally due to a higher level of fees earned from our top 10 clients, reflecting the closing of several significant M&amp;A and sovereign and government advisory transactions, as well as the strong performance of Lazard Middle Market. The decrease in Capital Markets and Other Advisory revenue in the 2012 period was primarily attributable to a lower level of closings by Private Fund Advisory.</w:t>
      </w:r>
    </w:p>
    <w:p>
      <w:pPr>
        <w:spacing w:after="0" w:line="14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increase in Restructuring revenue in the 2012 period was driven by a comparatively strong 2012 first quarter and increased average fees for assignments with completion fees greater than $1 million.</w:t>
      </w:r>
    </w:p>
    <w:p>
      <w:pPr>
        <w:spacing w:after="0" w:line="132" w:lineRule="exact"/>
        <w:rPr>
          <w:sz w:val="20"/>
          <w:szCs w:val="20"/>
          <w:color w:val="auto"/>
        </w:rPr>
      </w:pPr>
    </w:p>
    <w:p>
      <w:pPr>
        <w:ind w:right="500" w:firstLine="456"/>
        <w:spacing w:after="0" w:line="335" w:lineRule="auto"/>
        <w:rPr>
          <w:sz w:val="20"/>
          <w:szCs w:val="20"/>
          <w:color w:val="auto"/>
        </w:rPr>
      </w:pPr>
      <w:r>
        <w:rPr>
          <w:rFonts w:ascii="Arial" w:cs="Arial" w:eastAsia="Arial" w:hAnsi="Arial"/>
          <w:sz w:val="15"/>
          <w:szCs w:val="15"/>
          <w:color w:val="auto"/>
        </w:rPr>
        <w:t>Operating expenses increased $53 million, or 12%, as compared to the 2011 period. The principal contributors to the increase were higher levels of compensation and benefits expense, deal-related costs specifically related to transactions that closed in the 2012 period, business development expense and occupancy costs in the 2012 period, the latter primarily as a result of our amended lease and associated build-out costs of our Rockefeller Center facility.</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Financial Advisory operating income in the 2012 period was $39 million, a decrease of $11 million, or 23%, as compared to operating income of $50 million in the 2011 period and, as a percentage of net revenue, was 7.4% as compared to 10.5% in the 2011 period.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72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left="355"/>
              <w:spacing w:after="0" w:line="155" w:lineRule="exact"/>
              <w:rPr>
                <w:sz w:val="20"/>
                <w:szCs w:val="20"/>
                <w:color w:val="auto"/>
              </w:rPr>
            </w:pPr>
            <w:r>
              <w:rPr>
                <w:rFonts w:ascii="Arial" w:cs="Arial" w:eastAsia="Arial" w:hAnsi="Arial"/>
                <w:sz w:val="14"/>
                <w:szCs w:val="14"/>
                <w:b w:val="1"/>
                <w:bCs w:val="1"/>
                <w:color w:val="auto"/>
                <w:w w:val="86"/>
              </w:rPr>
              <w:t>($ in millions)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29,506</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Global Equities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73,158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68,584</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19,495</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Equities</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122,159</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116,362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European and International Fixed Income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13,901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12,293</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Global Fixed Income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2,579</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U.S. Fixed Income</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Fixed Income</w:t>
            </w: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19,936</w:t>
            </w:r>
          </w:p>
        </w:tc>
        <w:tc>
          <w:tcPr>
            <w:tcW w:w="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5,349</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Management</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Total AUM</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148,439</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141,039</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Average AUM for the 2012 and 2011 periods is set forth below. Average AUM is generally based on an average of quarterly ending balances for the respective periods.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$ 150,994</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$ 161,024</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$ 149,203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$ 159,129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AUM at June 30, 2012 increased $7 billion, or 5%, as compared to total AUM of $141 billion at December 31, 2011, primarily due to market appreciation. Average AUM, however, for both the three month and six month periods ended June 30, 2012, was 6% lower than that for the corresponding periods in 2011. International, Global and U.S. equities represented 20%, 49% and 13% of total AUM at June 30, 2012, substantially unchanged from the respective percentages at December 31, 2011.</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2012 and December 31, 2011,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individuals.</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June 30, 2012 and December 31, 2011, AUM denominated in foreign currencies represented approximately 60% and 61%, respectively, of our total AUM.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2012 and 2011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June 30,</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$156,708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$160,451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$141,039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4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(327)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975</w:t>
            </w:r>
          </w:p>
        </w:tc>
        <w:tc>
          <w:tcPr>
            <w:tcW w:w="66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(Depreciation) Appreciation</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148,439</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161,597</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148,439</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161,597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inflows of $9,262 and $5,262 and outflows of $8,125 and $5,589 for the three month periods in 2012 and 2011, respectively, and inflows of $16,057 and $11,075 and outflows of $15,082 and $10,707 for the six month periods in 2012 and 2011, respectively.</w:t>
      </w:r>
    </w:p>
    <w:p>
      <w:pPr>
        <w:spacing w:after="0" w:line="85"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During the 2012 period, inflows were principally in Global and International Equities and International Fixed Income, primarily due to increased investments in existing accounts, as well as new accounts. Outflows during the 2012 period were principally in Global and International Equities and U.S. Equities, primarily resulting from withdrawals in existing accounts and accounts lost.</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July 27, 2012, AUM was $151.0 billion, an increase of $2.6 billion since June 30, 2012. The increase in AUM was due to market/foreign exchange appreciation of $1.1 billion and net inflows of $1.5 billion. Market appreciation was approximately 1% of AUM since June 30, 2012, which was generally consistent with the increase in global market indices during that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right"/>
              <w:ind w:right="1032"/>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195,223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221,217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$395,083</w:t>
            </w:r>
          </w:p>
        </w:tc>
        <w:tc>
          <w:tcPr>
            <w:tcW w:w="6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$427,985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24,197</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211,053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244,855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425,580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156,619</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160,914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317,120</w:t>
            </w:r>
          </w:p>
        </w:tc>
        <w:tc>
          <w:tcPr>
            <w:tcW w:w="6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108,460</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161,590</w:t>
            </w: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7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500" w:type="dxa"/>
            <w:vAlign w:val="bottom"/>
            <w:gridSpan w:val="3"/>
          </w:tcPr>
          <w:p>
            <w:pPr>
              <w:jc w:val="right"/>
              <w:ind w:right="372"/>
              <w:spacing w:after="0"/>
              <w:rPr>
                <w:sz w:val="20"/>
                <w:szCs w:val="20"/>
                <w:color w:val="auto"/>
              </w:rPr>
            </w:pPr>
            <w:r>
              <w:rPr>
                <w:rFonts w:ascii="Arial" w:cs="Arial" w:eastAsia="Arial" w:hAnsi="Arial"/>
                <w:sz w:val="18"/>
                <w:szCs w:val="18"/>
                <w:color w:val="auto"/>
              </w:rPr>
              <w:t>25.5%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00" w:hanging="5612"/>
        <w:spacing w:after="0" w:line="440" w:lineRule="auto"/>
        <w:tabs>
          <w:tab w:leader="none" w:pos="4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 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2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58%</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markets. Lazard management believes that annual results are the most meaningful basis for comparison among present, historical and future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Asset Management net revenue decreased $34 million, or 14%, as compared to the 2011 period. Management fees decreased $26 million, or 12%, as compared to the 2011 period, driven primarily by a 6% decrease in average AUM, generally reflecting market depreciation and a slight shift in the mix of AUM into lower margin products. Incentive fees, principally consisting of traditional long-only strategies, decreased $3 million, or 41%, as compared to the 2011 period, primarily due to a change in fee structure on one mandate from a quarterly to an annual performance fee basis. Other revenue decreased $5 million, or 30%, as compared to the 2011 period, primarily due to a decline in commissions and custody fees.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Operating expenses decreased $4 million, or 3%, as compared to the 2011 period, with such decrease primarily due to a decrease in compensation and benefits expense and lower fees for fund administration related to the decrease in average AUM, partially offset by higher occupancy costs in the 2012 period, the latter primarily as a result of our amended lease and associated build-out costs of our Rockefeller Center facility.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Asset Management operating income was $54 million, a decrease of $30 million, or 35%, as compared to operating income of $84 million in the 2011 period and, as a percentage of net revenue, was 25.8%, as compared to 34.3% in the 2011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Asset Management net revenue decreased $46 million, or 10%, as compared to the 2011 period. Management fees decreased $33 million, or 8%, as compared to the 2011 period, driven primarily by a 6% decrease in average AUM, generally reflecting market depreciation in the second half of 2011. Incentive fees, principally consisting of traditional long-only strategies, decreased $5 million, or 45%, as compared to the 2011 period, primarily due to a change in fee structure on one mandate from a quarterly to an annual performance fee basis. Other revenue decreased $8 million, or 25%, as compared to the 2011 period, primarily due to a decline in commissions and custody fees from an unusually strong 2011 period.</w:t>
      </w:r>
    </w:p>
    <w:p>
      <w:pPr>
        <w:spacing w:after="0" w:line="1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Operating expenses increased $7 million, or 2%, as compared to the 2011 period, with such increase primarily due to an increase in compensation and benefits expense and higher occupancy costs in the 2012 period, the latter primarily as a result of our amended lease and associated build-out costs of our Rockefeller Center facility, partially offset by lower fees for fund administration related to a decrease in average AUM.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Asset Management operating income was $109 million, a decrease of $53 million, or 33%, as compared to operating income of $162 million in the 2011 period and, as a percentage of net revenue, was 25.5%, as compared to 34.3% in the 2011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of the Corporate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5"/>
          </w:tcPr>
          <w:p>
            <w:pPr>
              <w:jc w:val="right"/>
              <w:ind w:right="932"/>
              <w:spacing w:after="0" w:line="142" w:lineRule="exact"/>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5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12"/>
              <w:spacing w:after="0"/>
              <w:rPr>
                <w:sz w:val="20"/>
                <w:szCs w:val="20"/>
                <w:color w:val="auto"/>
              </w:rPr>
            </w:pPr>
            <w:r>
              <w:rPr>
                <w:rFonts w:ascii="Arial" w:cs="Arial" w:eastAsia="Arial" w:hAnsi="Arial"/>
                <w:sz w:val="18"/>
                <w:szCs w:val="18"/>
                <w:color w:val="auto"/>
                <w:w w:val="89"/>
              </w:rPr>
              <w:t>(20,320)</w:t>
            </w:r>
          </w:p>
        </w:tc>
        <w:tc>
          <w:tcPr>
            <w:tcW w:w="12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(22,626)</w:t>
            </w:r>
          </w:p>
        </w:tc>
        <w:tc>
          <w:tcPr>
            <w:tcW w:w="120" w:type="dxa"/>
            <w:vAlign w:val="bottom"/>
          </w:tcPr>
          <w:p>
            <w:pPr>
              <w:spacing w:after="0"/>
              <w:rPr>
                <w:sz w:val="18"/>
                <w:szCs w:val="18"/>
                <w:color w:val="auto"/>
              </w:rPr>
            </w:pP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w w:val="89"/>
              </w:rPr>
              <w:t>(40,742)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(45,353)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(19,310)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(21,004)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(39,101)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16,650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(16,767)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(16,754)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(22,451)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72"/>
              <w:spacing w:after="0"/>
              <w:rPr>
                <w:sz w:val="20"/>
                <w:szCs w:val="20"/>
                <w:color w:val="auto"/>
              </w:rPr>
            </w:pPr>
            <w:r>
              <w:rPr>
                <w:rFonts w:ascii="Arial" w:cs="Arial" w:eastAsia="Arial" w:hAnsi="Arial"/>
                <w:sz w:val="18"/>
                <w:szCs w:val="18"/>
                <w:color w:val="auto"/>
              </w:rPr>
              <w:t>4,558</w:t>
            </w: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12,959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42,376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89"/>
              </w:rPr>
              <w:t>(21,325)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(29,713)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(64,827)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(49,195)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2012 versus June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$2 million, or 8%, as compared to the 2011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$2 million, or 40%, primarily resulting from a decrease in investment gains versus the 2011 period.</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Operating expenses decreased $8 million, primarily due to decreased compensation and benefits expense, partially offset by higher occupancy costs in the 2012 period as a result of our amended lease and associated build-out costs of our Rockefeller Center facility and increased technology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2012 versus June 30,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decreased $3 million, or 7%, as compared to the 2011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increased $9 million, primarily due to a higher level of investment gains versus the 2011 period.</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Operating expenses in the 2012 period (including the above-mentioned $25 million charge in the first quarter of 2012 relating to staff reductions) increased $28 million. Excluding the impact of such staff reduction charge, operating expenses in the 2012 period increased $3 million, or 20%, as compared to the 2011 period, primarily due to (i) higher occupancy costs in the 2012 period as a result of our amended lease and associated build-out costs of our Rockefeller Center facility and (ii) increased technology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cash flows are influenced by the timing of the receipt of Financial Advisory and Asset Management fees, the timing of distributions to shareholders, payments of incentive compensation to managing directors and employees and purchases of Class A common stock. M&amp;A, Strategic Advisory, and Asset Management fees are generally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4"/>
          </w:tcPr>
          <w:p>
            <w:pPr>
              <w:jc w:val="center"/>
              <w:ind w:left="76"/>
              <w:spacing w:after="0"/>
              <w:rPr>
                <w:sz w:val="20"/>
                <w:szCs w:val="20"/>
                <w:color w:val="auto"/>
              </w:rPr>
            </w:pPr>
            <w:r>
              <w:rPr>
                <w:rFonts w:ascii="Arial" w:cs="Arial" w:eastAsia="Arial" w:hAnsi="Arial"/>
                <w:sz w:val="14"/>
                <w:szCs w:val="14"/>
                <w:b w:val="1"/>
                <w:bCs w:val="1"/>
                <w:color w:val="auto"/>
                <w:w w:val="87"/>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236"/>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left="23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191.6</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82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3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(238.9)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(252.6)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8"/>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1,003.8</w:t>
            </w: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60" w:type="dxa"/>
            <w:vAlign w:val="bottom"/>
            <w:tcBorders>
              <w:bottom w:val="single" w:sz="8" w:color="auto"/>
            </w:tcBorders>
          </w:tcPr>
          <w:p>
            <w:pPr>
              <w:spacing w:after="0"/>
              <w:rPr>
                <w:sz w:val="8"/>
                <w:szCs w:val="8"/>
                <w:color w:val="auto"/>
              </w:rPr>
            </w:pPr>
          </w:p>
        </w:tc>
        <w:tc>
          <w:tcPr>
            <w:tcW w:w="8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1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191.6</w:t>
            </w:r>
          </w:p>
        </w:tc>
        <w:tc>
          <w:tcPr>
            <w:tcW w:w="6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72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Consists primarily of purchases of shares of Class A common stock, settlements of vested restricted stock units (“RSU”s), Class A common stock dividends, distributions to noncontrolling interest holders and activity relating to borrowings.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generally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regularly monitor our liquidity position, including cash levels, credit lines, principal investment commitments, interest and principal payments on debt, capital expenditures, dividend payments, purchases of shares of Class A common stock and Lazard Group common membership interests and matters relating to liquidity and to compliance with regulatory net capital requirements. At June 30, 2012, Lazard had approximately $751 million of cash, with such amount including approximately $290 million held at Lazard’s operations outside the U.S.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44"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2012, Lazard had approximately $299 million in unused lines of credit available to it, including a $150 million, three-year, senior revolving credit facility with a group of lenders that expires in April 2013 (the “Credit Facility”) (see “—Financing Activities” below) and unused lines of credit available to LFB of approximately $88 million (at June 30, 2012 exchange rates) and Edgewater of $55 million. In addition, LFB has access to the Eurosystem Covered Bond Purchase Program of the Banque de France.</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June 30, 2012 and December 31, 2011.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4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5"/>
              </w:rPr>
              <w:t>June 30,</w:t>
            </w:r>
          </w:p>
        </w:tc>
        <w:tc>
          <w:tcPr>
            <w:tcW w:w="64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8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0"/>
              </w:rPr>
              <w:t>(Decrease)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Senior Debt:</w:t>
            </w:r>
          </w:p>
        </w:tc>
        <w:tc>
          <w:tcPr>
            <w:tcW w:w="2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440"/>
              <w:spacing w:after="0"/>
              <w:rPr>
                <w:sz w:val="20"/>
                <w:szCs w:val="20"/>
                <w:color w:val="auto"/>
              </w:rPr>
            </w:pPr>
            <w:r>
              <w:rPr>
                <w:rFonts w:ascii="Arial" w:cs="Arial" w:eastAsia="Arial" w:hAnsi="Arial"/>
                <w:sz w:val="18"/>
                <w:szCs w:val="18"/>
                <w:color w:val="auto"/>
              </w:rPr>
              <w:t>7.125%</w:t>
            </w:r>
          </w:p>
        </w:tc>
        <w:tc>
          <w:tcPr>
            <w:tcW w:w="3500" w:type="dxa"/>
            <w:vAlign w:val="bottom"/>
            <w:gridSpan w:val="2"/>
          </w:tcPr>
          <w:p>
            <w:pPr>
              <w:jc w:val="center"/>
              <w:ind w:left="2912"/>
              <w:spacing w:after="0"/>
              <w:rPr>
                <w:sz w:val="20"/>
                <w:szCs w:val="20"/>
                <w:color w:val="auto"/>
              </w:rPr>
            </w:pPr>
            <w:r>
              <w:rPr>
                <w:rFonts w:ascii="Arial" w:cs="Arial" w:eastAsia="Arial" w:hAnsi="Arial"/>
                <w:sz w:val="18"/>
                <w:szCs w:val="18"/>
                <w:color w:val="auto"/>
                <w:w w:val="84"/>
              </w:rPr>
              <w:t>2015</w:t>
            </w:r>
          </w:p>
        </w:tc>
        <w:tc>
          <w:tcPr>
            <w:tcW w:w="7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  528.5</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3500" w:type="dxa"/>
            <w:vAlign w:val="bottom"/>
            <w:gridSpan w:val="2"/>
            <w:shd w:val="clear" w:color="auto" w:fill="CCEEFF"/>
          </w:tcPr>
          <w:p>
            <w:pPr>
              <w:jc w:val="center"/>
              <w:ind w:left="2912"/>
              <w:spacing w:after="0"/>
              <w:rPr>
                <w:sz w:val="20"/>
                <w:szCs w:val="20"/>
                <w:color w:val="auto"/>
              </w:rPr>
            </w:pPr>
            <w:r>
              <w:rPr>
                <w:rFonts w:ascii="Arial" w:cs="Arial" w:eastAsia="Arial" w:hAnsi="Arial"/>
                <w:sz w:val="18"/>
                <w:szCs w:val="18"/>
                <w:color w:val="auto"/>
                <w:w w:val="84"/>
              </w:rPr>
              <w:t>2017</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Total Senior Debt</w:t>
            </w:r>
          </w:p>
        </w:tc>
        <w:tc>
          <w:tcPr>
            <w:tcW w:w="2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2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1,076.9</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1,076.9</w:t>
            </w:r>
          </w:p>
        </w:tc>
        <w:tc>
          <w:tcPr>
            <w:tcW w:w="11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980" w:type="dxa"/>
            <w:vAlign w:val="bottom"/>
            <w:vMerge w:val="restart"/>
          </w:tcPr>
          <w:p>
            <w:pPr>
              <w:jc w:val="right"/>
              <w:ind w:right="532"/>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4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2012 Lazard Group was in compliance with such ratios, with its Consolidated Leverage Ratio being 2.20 to 1.00 and its Consolidated Interest Coverage Ratio being 7.11 to 1.00. In any event, no amounts were outstanding under the Credit Facility as of June 30, 2012.</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2012,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June 30, 2012, total stockholders’ equity was $826 million, as compared to $867 million at December 31, 2011, including $704 million and $726 million attributable to Lazard Ltd on the respective dates. The net activity in stockholders’ equity during the six month period ended June 30, 2012 is reflected in the table below (in millions of dollars):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Equity—January 1,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32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Class A common stock</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(152)</w:t>
            </w: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Class A common stock dividends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 - net</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Deconsolidation of investment companies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AOCI (including noncontrolling interests’ portion thereof)(*)</w:t>
            </w: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 net</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Stockholders’ Equity—June 30, 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Net foreign currency translation adjustments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benefit plans and other adjustments</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February 2011, October 2011 and April 2012, the Board of Directors of Lazard Ltd authorized the repurchase of up to $250 million, $125 million and $125 million, respectively, in aggregate cost of Class A common stock and Lazard Group common membership interests through December 31, 2012, December 31, 2013 and December 31, 2013, respectively. During the six month period ended June 30, 2012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repurchased 5,706,592 shares of Class A common stock, at an aggregate cost of $152 million (no Lazard Group common membership interests were purchased during such six month period). As of June 30, 2012, $185 million of the current aggregate share repurchase amount authorized as of such date remained available under the share repurchase program, all of which expires on December 31, 2013. Furthermore, under the terms of the 2005 Plan and the 2008 Plan, upon the vesting of RSUs, shares of Class A common stock may be withheld by the Company to cover estimated income taxes. In order to help neutralize the dilutive effect of our share-based incentive compensation plans, Lazard intends to repurchase during a given year more shares than it expects to ultimately issue pursuant to such plans in respect of year-end incentive compensation attributable to the prior year</w:t>
      </w:r>
      <w:r>
        <w:rPr>
          <w:rFonts w:ascii="Arial" w:cs="Arial" w:eastAsia="Arial" w:hAnsi="Arial"/>
          <w:sz w:val="16"/>
          <w:szCs w:val="16"/>
          <w:i w:val="1"/>
          <w:iCs w:val="1"/>
          <w:color w:val="auto"/>
        </w:rPr>
        <w:t>.</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first half of 2012, the Company had written trading plans under Rule 10b5-1 of the Securities Exchange Act of 1934 in place, pursuant to which it effected stock repurchases through the open market.</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to the repurchases of Class A common stock described above, during the six month period ended June 30, 2012, in order, among other reasons, to help neutralize the dilutive effect of our year-end share-based incentive compensation plans, the Company utilized $30 million to satisfy certain employees’ withholding tax obligations on vested RSUs and delivery of restricted Class A common stock in lieu of issuing 995,957 shares of Class A common stock directly by Lazard Ltd or by delivery of shares held by Lazard Group or other subsidiaries of Lazard Ltd.</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plans to deploy excess cash and may do so in a variety of ways, including by repurchasing outstanding shares of Class A common stock, paying dividends to stockholders and repurchasing its outstanding debt.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stockholders’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1-Business—Regulation” included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4"/>
              </w:rPr>
              <w:t>Contractual Obligations Due by Period</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7"/>
              </w:rPr>
              <w:t>Less than</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$ 1,377,627</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75,218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$ 678,935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$ 623,474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Leases (exclusive of $162,394 of sublease income)</w:t>
            </w:r>
          </w:p>
        </w:tc>
        <w:tc>
          <w:tcPr>
            <w:tcW w:w="2180" w:type="dxa"/>
            <w:vAlign w:val="bottom"/>
            <w:gridSpan w:val="3"/>
          </w:tcPr>
          <w:p>
            <w:pPr>
              <w:jc w:val="right"/>
              <w:ind w:right="100"/>
              <w:spacing w:after="0"/>
              <w:rPr>
                <w:sz w:val="20"/>
                <w:szCs w:val="20"/>
                <w:color w:val="auto"/>
              </w:rPr>
            </w:pPr>
            <w:r>
              <w:rPr>
                <w:rFonts w:ascii="Arial" w:cs="Arial" w:eastAsia="Arial" w:hAnsi="Arial"/>
                <w:sz w:val="18"/>
                <w:szCs w:val="18"/>
                <w:color w:val="auto"/>
              </w:rPr>
              <w:t>1,061,331</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61,617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146,668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723,024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21,940</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1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35,726</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24,921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9,668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$ 2,496,624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$ 165,449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$ 841,157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$ 766,994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723,024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5 of Notes to Condensed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15 of Notes to Condensed Consolidated Financial Statements regarding information in connection with commitments, incentive plans, employee benefit plans and income taxes,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U.S. GAAP.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71"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each of their respective jurisdictions. In addition to estimating actual current tax liability for these jurisdictions, we also must account for the tax effects of differences between the financial reporting and tax reporting of items, such as deferred revenue, compensation and benefits expense, unrealized gains or losses on investments and depreciation and amortization, as well as intercompany transactions such as revenue sharing, dividends and interest expense. These temporary differences result in deferred tax assets and liabilities. Significant judgment is required in determining our provision for income taxes, our deferred tax assets and liabilities and, as discussed below, any valuation allowance recorded against our deferred tax assets.</w:t>
      </w:r>
    </w:p>
    <w:p>
      <w:pPr>
        <w:spacing w:after="0" w:line="12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 deferred tax asset is recognized if it is more likely than not (defined as a likelihood of greater than 50%) that a tax benefit will be accepted by a taxing authority. The measurement of deferred tax assets and liabilities is based upon currently enacted tax rates in the applicable jurisdictions. At December 31, 2011, on a consolidated basis, we recorded deferred tax assets of approximately $1.3 billion.</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Subsequent to the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In order to determine whether we apply a valuation allowance, we must assess whether it is more likely than not that such asset will be realized, taking into account all available information. The ultimate realization of a deferred tax asset for a particular entity depends, among other things, on the generation of taxable income by such entity in the applicable jurisdiction. Although we have been profitable on a consolidated basis for the two year period ended December 31, 2011 and the six month period ended June 30, 2012, certain of our tax-paying entities have individually experienced pre-tax losses on a cumulative three-year basis primarily due to permanent differences between net income and taxable income at such entities. Considering these losses and the other factors listed below, we have recorded a valuation allowance of approximately $1.1 billion on our deferred tax assets as of December 31, 2011 and have not changed our assessment regarding the level of valuation allowance as of June 30,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taxable income in prior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nature, frequency and severity of any recent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significant evidence and will generally outweigh a projection of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mentioned previously, certain of our tax-paying entities have individually experienced losses on cumulative basis over the past several years. If these entities achieve sustainable levels of profitability in the future, we believe there is a reasonable possibility that the valuation allowance recorded against our deferred tax assets at such entities could be reduced significantly. If any valuation allowance reduction were to occur, we would likely have a negative effective tax rate in the period in which such reduction occurs. Included in our deferred tax assets as of December 31, 2011 are approximately $709 million related to certain basis step-ups and approximately $137 million of net operating losses generated by the amortization of such step-up assets. Under our tax receivable agreement, Lazard Group will retain 15% of the actual cash tax savings relating to such assets and will pay 85% of such savings to the former owners of Lazard. As a result, in the event of a reduction of our valuation allowance, we also would recognize a liability relating to the portion expected to be payable under the tax receivable agreement. The creation of this liability could potentially offset a significant amount (but not all) of the income we would otherwise recognize upon a release of the valuation allowance.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any valuation allowance reduction were to occur, for subsequent periods, our effective tax rate, with all other factors being held constant, would increase and could be significantly higher than our effective tax rate in the period immediately preceding the reduction in the valuation allowance. In such a situation, an increase in our effective tax rate would not impact the amount of cash income taxes we would pay in those periods subsequent to the release of any valuation allowance.</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other factors affect our provision for income taxes, including changes in the geographic mix of our business, the level of our annual pre-tax income, transfer pricing and intercompany transactions. In addition, our interpretation of complex tax laws may impact our recognition and measurement of current and deferred income taxes. Tax contingencies involve complex issues and often require an extended period of time to resolve. Tax contingencies that are resolved in a manner that is adverse to us could have a material adverse effect on our financial results. See “Risk Factors” and Note 19 of Notes to Consolidated Financial Statements in our Form 10-K for additional information related to income taxes.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Investments consist principally of debt securities, equities, interests in alternative asset management funds, fixed income funds and other private equity investments.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investments are carried at either (a)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(b)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subsequent thereto, Lazard did not own any securities designated as “available-for-sale” or “held-to-maturity”.</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if applicable, AOCI and therefore subject Lazard to market and credit risk.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is set forth below (in millions of dollars):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w w:val="96"/>
              </w:rPr>
              <w:t>June 30, 2012 (a)</w:t>
            </w:r>
          </w:p>
        </w:tc>
        <w:tc>
          <w:tcPr>
            <w:tcW w:w="120" w:type="dxa"/>
            <w:vAlign w:val="bottom"/>
          </w:tcPr>
          <w:p>
            <w:pPr>
              <w:spacing w:after="0"/>
              <w:rPr>
                <w:sz w:val="14"/>
                <w:szCs w:val="14"/>
                <w:color w:val="auto"/>
              </w:rPr>
            </w:pPr>
          </w:p>
        </w:tc>
        <w:tc>
          <w:tcPr>
            <w:tcW w:w="16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8"/>
              </w:rPr>
              <w:t>December 31, 2011 (a)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Equity securities (net of $1 and $4 of securities sold, not yet purchased, at June 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2"/>
          </w:tcPr>
          <w:p>
            <w:pPr>
              <w:ind w:left="200"/>
              <w:spacing w:after="0"/>
              <w:rPr>
                <w:sz w:val="20"/>
                <w:szCs w:val="20"/>
                <w:color w:val="auto"/>
              </w:rPr>
            </w:pPr>
            <w:r>
              <w:rPr>
                <w:rFonts w:ascii="Arial" w:cs="Arial" w:eastAsia="Arial" w:hAnsi="Arial"/>
                <w:sz w:val="18"/>
                <w:szCs w:val="18"/>
                <w:color w:val="auto"/>
              </w:rPr>
              <w:t>2012 and December 31, 2011, respectively) (c)</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152</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Alternative asset management funds owned (principally general partnership interests in</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Lazard-managed hedge funds) (d)</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Private equity owned (e)</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104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funds (f)</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Other (g)</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3"/>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2,978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w w:val="86"/>
              </w:rPr>
              <w:t>$ 3,082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investments, as a percentage of total assets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6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investments held in connection with Lazard Fund Interests and other similar deferred compensation arrangements granted, with an aggregate fair value of $97 million and $27 million at June 30, 2012 and December 31, 2011, respectively. The majority of the market risk associated with such investments is equally offset by the market risk associated with the derivative liability with respect to such awards. The Company is subject to market risk associated with any portion of such investments that employees may forfeit. See “—Risk Management—</w:t>
      </w:r>
      <w:r>
        <w:rPr>
          <w:rFonts w:ascii="Arial" w:cs="Arial" w:eastAsia="Arial" w:hAnsi="Arial"/>
          <w:sz w:val="18"/>
          <w:szCs w:val="18"/>
          <w:i w:val="1"/>
          <w:iCs w:val="1"/>
          <w:color w:val="auto"/>
        </w:rPr>
        <w:t>Risks Related to Derivatives</w:t>
      </w:r>
      <w:r>
        <w:rPr>
          <w:rFonts w:ascii="Arial" w:cs="Arial" w:eastAsia="Arial" w:hAnsi="Arial"/>
          <w:sz w:val="18"/>
          <w:szCs w:val="18"/>
          <w:color w:val="auto"/>
        </w:rPr>
        <w:t>” for risk management information relating to derivatives.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Debt securities primarily consist of seed investments in Asset Management products and U.S. and non-U.S. government debt securities.</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Equity securities primarily consist of seed investments in Asset Management products, which in turn invest in marketable equity securities of large-, mid-and small-cap domestic, international and global companies and include investments in public and private asset management funds managed both by LAM and third-party asset managers. Hedging strategies are employed to attempt to reduce market risk, and, in turn, the volatility to earnings. In addition, equity securities include amounts relating to Lazard Fund Interests awards and other similar deferred compensation arrangements (see (a) above).</w:t>
      </w:r>
    </w:p>
    <w:p>
      <w:pPr>
        <w:spacing w:after="0" w:line="31" w:lineRule="exact"/>
        <w:rPr>
          <w:rFonts w:ascii="Arial" w:cs="Arial" w:eastAsia="Arial" w:hAnsi="Arial"/>
          <w:sz w:val="16"/>
          <w:szCs w:val="16"/>
          <w:color w:val="auto"/>
        </w:rPr>
      </w:pPr>
    </w:p>
    <w:p>
      <w:pPr>
        <w:ind w:left="460" w:right="160"/>
        <w:spacing w:after="0" w:line="259" w:lineRule="auto"/>
        <w:rPr>
          <w:rFonts w:ascii="Arial" w:cs="Arial" w:eastAsia="Arial" w:hAnsi="Arial"/>
          <w:sz w:val="16"/>
          <w:szCs w:val="16"/>
          <w:color w:val="auto"/>
        </w:rPr>
      </w:pPr>
      <w:r>
        <w:rPr>
          <w:rFonts w:ascii="Arial" w:cs="Arial" w:eastAsia="Arial" w:hAnsi="Arial"/>
          <w:sz w:val="18"/>
          <w:szCs w:val="18"/>
          <w:color w:val="auto"/>
        </w:rPr>
        <w:t>At June 30, 2012 and December 31, 2011, investments in asset management funds, including amounts related to both seed investments and Lazard Fund Interests, represented 82% and 79%, respectively, of total equity securities. The remaining 18% and 21% at such respective dates represented investments in marketable equity securities, which were invested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June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84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2012</w:t>
            </w: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196"/>
        </w:trPr>
        <w:tc>
          <w:tcPr>
            <w:tcW w:w="84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42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4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r>
      <w:tr>
        <w:trPr>
          <w:trHeight w:val="216"/>
        </w:trPr>
        <w:tc>
          <w:tcPr>
            <w:tcW w:w="8420" w:type="dxa"/>
            <w:vAlign w:val="bottom"/>
          </w:tcPr>
          <w:p>
            <w:pPr>
              <w:ind w:left="1480"/>
              <w:spacing w:after="0"/>
              <w:rPr>
                <w:sz w:val="20"/>
                <w:szCs w:val="20"/>
                <w:color w:val="auto"/>
              </w:rPr>
            </w:pPr>
            <w:r>
              <w:rPr>
                <w:rFonts w:ascii="Arial" w:cs="Arial" w:eastAsia="Arial" w:hAnsi="Arial"/>
                <w:sz w:val="18"/>
                <w:szCs w:val="18"/>
                <w:color w:val="auto"/>
              </w:rPr>
              <w:t>Energy</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r>
      <w:tr>
        <w:trPr>
          <w:trHeight w:val="216"/>
        </w:trPr>
        <w:tc>
          <w:tcPr>
            <w:tcW w:w="84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Industrial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16"/>
        </w:trPr>
        <w:tc>
          <w:tcPr>
            <w:tcW w:w="8420" w:type="dxa"/>
            <w:vAlign w:val="bottom"/>
          </w:tcPr>
          <w:p>
            <w:pPr>
              <w:ind w:left="1480"/>
              <w:spacing w:after="0"/>
              <w:rPr>
                <w:sz w:val="20"/>
                <w:szCs w:val="20"/>
                <w:color w:val="auto"/>
              </w:rPr>
            </w:pPr>
            <w:r>
              <w:rPr>
                <w:rFonts w:ascii="Arial" w:cs="Arial" w:eastAsia="Arial" w:hAnsi="Arial"/>
                <w:sz w:val="18"/>
                <w:szCs w:val="18"/>
                <w:color w:val="auto"/>
              </w:rPr>
              <w:t>Basic materials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4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r>
      <w:tr>
        <w:trPr>
          <w:trHeight w:val="222"/>
        </w:trPr>
        <w:tc>
          <w:tcPr>
            <w:tcW w:w="8420" w:type="dxa"/>
            <w:vAlign w:val="bottom"/>
          </w:tcPr>
          <w:p>
            <w:pPr>
              <w:ind w:left="148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9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Comprised principally of investments in private equity funds that are generally not subject to short-term market fluctuation, but may subject Lazard to market or credit risk. 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(iii) Senior Housing, which targets controlling interests in companies and assets in senior housing, extended stay and shopping center sectors, (iv) Edgewater Growth Capital Partners III, L.P., a private equity fund primarily making growth equity and buyout investments in high-quality, lower middle market companies and (v) COF 2, a Lazard-managed Australian private equity fund.</w:t>
      </w:r>
    </w:p>
    <w:p>
      <w:pPr>
        <w:spacing w:after="0" w:line="39"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Fixed income funds primarily consist of seed investments in Asset Management products which invest in fixed income securities. Hedging strategies are employed to attempt to reduce market risk and, in turn, the volatility to earnings. In addition, fixed income funds include amounts relating to Lazard Fund Interests (see (a) above).</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investments (i) accounted for under the equity method of accounting and (ii) private equity and other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June 30, 2012 and December 31, 2011, $119 million and $133 million, respectively, of our total investments at a fair value of $438 million and $374 million, respectively, or 27% and 36%, respectively, were classified as Level 3 assets. Substantially all of our Level 3 investments in both periods are priced based on a NAV or its equivalent. During the six month periods ended June 30, 2012 and 2011, gains of approximately $12 million and $4 million, respectively, were recognized in “revenue-other” on the condensed consolidated statements of operations pertaining to Level 3 investments.</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regarding risks associated with our investments, see “Risk Factors—Other Business Risks—Our results of operations may be affected by market fluctuations related to positions held in our investment portfolios” in our Form 10-K.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prices provided by external pricing services. Accordingly, significant estimates and judgments are generally not involved in the calculation of the value of our AUM.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accordance with current accounting guidance, goodwill has an indefinite life and is tested for impairment annually or more frequently if circumstances indicate impairment may have occurred. For years prior to 2011, Lazard made estimates and assumptions in order to determine the fair value of its assets and liabilities and to project future earnings using various valuation techniques. Commencing in 2011, as permitted under an amendment issued by the Financial Accounting Standards Board, the Company elected to perform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59" w:lineRule="exact"/>
        <w:rPr>
          <w:sz w:val="20"/>
          <w:szCs w:val="20"/>
          <w:color w:val="auto"/>
        </w:rPr>
      </w:pPr>
    </w:p>
    <w:p>
      <w:pPr>
        <w:ind w:left="1480" w:hanging="446"/>
        <w:spacing w:after="0" w:line="256"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62" w:lineRule="exact"/>
        <w:rPr>
          <w:rFonts w:ascii="Arial" w:cs="Arial" w:eastAsia="Arial" w:hAnsi="Arial"/>
          <w:sz w:val="18"/>
          <w:szCs w:val="18"/>
          <w:color w:val="auto"/>
        </w:rPr>
      </w:pPr>
    </w:p>
    <w:p>
      <w:pPr>
        <w:ind w:left="1480" w:right="360" w:hanging="446"/>
        <w:spacing w:after="0" w:line="332"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encounter risk in the normal course of business, and therefore, in order to help manage and monitor such risks, we have designed risk management processes which consider both the nature of our business and our operating model. We are subject to varying degrees of credit and market risk, including risks related to the level of soundness of our clients, financial, governmental and other institutions and third parties, as well as operational and liquidity risks (see “— Liquidity and Capital Resources”) and we monitor these risks at both an entity level and on a consolidated basis. Management within each of Lazard’s operating locations is principally responsible for managing the risks within its respective businesses on a day-to-day basis.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Market and credit risks related to our investing activities are discussed under “Critical Accounting Policies and Estimates—</w:t>
      </w:r>
      <w:r>
        <w:rPr>
          <w:rFonts w:ascii="Arial" w:cs="Arial" w:eastAsia="Arial" w:hAnsi="Arial"/>
          <w:sz w:val="18"/>
          <w:szCs w:val="18"/>
          <w:i w:val="1"/>
          <w:iCs w:val="1"/>
          <w:color w:val="auto"/>
        </w:rPr>
        <w:t>Investments</w:t>
      </w:r>
      <w:r>
        <w:rPr>
          <w:rFonts w:ascii="Arial" w:cs="Arial" w:eastAsia="Arial" w:hAnsi="Arial"/>
          <w:sz w:val="18"/>
          <w:szCs w:val="18"/>
          <w:color w:val="auto"/>
        </w:rPr>
        <w:t>” above. Risks related to Lazard’s other activities are presented below. Lazard has established procedures to assess credit and market risks, as well as specific interest rate and currency risk, and has established limits related to various positions.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receivables. We determine the adequacy of the allowance by estimating the probability of loss based on our analysis of the client’s creditworthiness and specifically provide for exposures where we determine the receivables are impaired. At June 30, 2012, total receivables amounted to $483 million, net of an allowance for doubtful accounts of $21 million. As of that date, Financial Advisory and Asset Management fees, customer and related party receivables comprised 80%, 17% and 3% of total receivables, respectively. At December 31, 2011, total receivables amounted to $504 million, net of an allowance for doubtful accounts of $19 million. As of that date, Financial Advisory and Asset Management fees, customer and related party receivables comprised 80%, 16% and 4% of total receivables, respectively. At both June 30, 2012 and December 31, 2011, the Company had receivables past due of approximately $23 million. See also “Critical Accounting Policies and Estimates—</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above and Note 3 of Notes to Condensed Consolidated Financial Statements for additional information regarding receivables.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LFB engages in lending activities, including commitments to extend credit. At June 30, 2012 and December 31, 2011, customer receivables included $24 million and $29 million of LFB loans, respectively. Such loans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closely monitored for counterparty creditworthiness to help minimize exposure. In addition, as of June 30, 2012, LFB had commitments to lend totaling $22 million, which are fully collateralized and generally contain requirements for the counterparty to maintain a minimum collateral level.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 and, in addition, LFB has in place concentration risk limits. At June 30, 2012, excluding inter-bank counterparties, LFB had no exposure to an individual counterparty that exceeded $21 million, with such amount being fully collateralized. With respect to activities outside LFB, as of June 30, 2012, the Company’s largest individual counterparty exposure was a Financial Advisory fee receivable of $19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Lazard enters into interest rate swaps and foreign currency exchange contracts to hedge exposures to interest rates and currency exchange rates and uses equity and fixed income swap contracts to hedge a portion of its market exposure with respect to certain equity investments. At June 30, 2012 and December 31, 2011, such derivative contracts are recorded at fair value. Derivative assets amounted to $4 million and $7 million at June 30, 2012 and December 31, 2011, respectively, and derivative liabilities, excluding the derivative liability arising from the Company’s obligation with respect to Lazard Fund Interests and other similar deferred compensation arrangements, amounted to $2 million and $1 million at such respective dates.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also records derivative liabilities relating to its obligations pertaining to Lazard Fund Interests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currently expected to be delivered upon settlement of Lazard Fund Interests awards. Derivative liabilities relating to Lazard Fund Interests amounted to $86 million and $30 million at June 30, 2012 and December 31, 2011, respectively.</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LFB enters into interest rate swaps, forward foreign exchange contracts and other derivative contracts to hedge exposures to interest rate and currency fluctuations on open positions that arise primarily from client activity. Such foreign currency and interest rate positions are subject to strict internal limits and, based on account balances as of June 30, 2012, the impact of potential significant movements in either the currency or interest rate markets on LFB’s positions would not materially affect the Company’s annual operating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June 30, 2012, Lazard estimates that its annual operating income relating to cash and short-term investments and corporate indebtedness would increase by approximately $8 million in the event interest rates were to increase by 1% and decrease by approximately $2 million if rates were to decrease by 1%.</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2012, the Company’s cash and cash equivalents totaled approximately $751 million. Substantially all of the Company’s cash and cash equivalents were invested in highly liquid institutional money market funds (a significant majority of which were invested solely in U.S. Government or agency money market funds)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Securities Exchange Act of 1934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459" w:right="3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5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May 10, 2012, Lazard Ltd issued 101,505 shares of Class A common stock in reliance on Section 4(2) of the Securities Act of 1933 in connection with the exchange of 101,505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Total Number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Purchased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as Part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Total</w:t>
            </w: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Publicly</w:t>
            </w: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Announced</w:t>
            </w:r>
          </w:p>
        </w:tc>
        <w:tc>
          <w:tcPr>
            <w:tcW w:w="22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6440" w:type="dxa"/>
            <w:vAlign w:val="bottom"/>
            <w:vMerge w:val="restart"/>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Paid per</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Plans or</w:t>
            </w:r>
          </w:p>
        </w:tc>
        <w:tc>
          <w:tcPr>
            <w:tcW w:w="22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6440" w:type="dxa"/>
            <w:vAlign w:val="bottom"/>
            <w:vMerge w:val="continue"/>
          </w:tcPr>
          <w:p>
            <w:pPr>
              <w:spacing w:after="0"/>
              <w:rPr>
                <w:sz w:val="14"/>
                <w:szCs w:val="14"/>
                <w:color w:val="auto"/>
              </w:rPr>
            </w:pPr>
          </w:p>
        </w:tc>
        <w:tc>
          <w:tcPr>
            <w:tcW w:w="12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Purchased</w:t>
            </w:r>
          </w:p>
        </w:tc>
        <w:tc>
          <w:tcPr>
            <w:tcW w:w="9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Share</w:t>
            </w: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Programs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April 1, 2012 – April 30, 2012</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625,500</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$27.29</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625,500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249.5 million</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86,035</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$28.51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May 1, 2012 – May 31, 2012</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1,595,504</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$24.10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1,595,504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211.1 million</w:t>
            </w: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64,473</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$25.63</w:t>
            </w:r>
          </w:p>
        </w:tc>
        <w:tc>
          <w:tcPr>
            <w:tcW w:w="44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1, 2012 – June 30, 2012</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1,107,143</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$23.80</w:t>
            </w:r>
          </w:p>
        </w:tc>
        <w:tc>
          <w:tcPr>
            <w:tcW w:w="4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1,107,143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184.7 million</w:t>
            </w: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16,978</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$23.06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 Repurchase Program (1)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3,328,147</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$24.60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3,328,147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184.7 million</w:t>
            </w:r>
          </w:p>
        </w:tc>
        <w:tc>
          <w:tcPr>
            <w:tcW w:w="0" w:type="dxa"/>
            <w:vAlign w:val="bottom"/>
          </w:tcPr>
          <w:p>
            <w:pPr>
              <w:spacing w:after="0"/>
              <w:rPr>
                <w:sz w:val="1"/>
                <w:szCs w:val="1"/>
                <w:color w:val="auto"/>
              </w:rPr>
            </w:pPr>
          </w:p>
        </w:tc>
      </w:tr>
      <w:tr>
        <w:trPr>
          <w:trHeight w:val="222"/>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Employee Transactions (2)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167,486</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$26.85</w:t>
            </w:r>
          </w:p>
        </w:tc>
        <w:tc>
          <w:tcPr>
            <w:tcW w:w="44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60" w:hanging="452"/>
        <w:spacing w:after="0" w:line="306"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February 2011, October 2011 and April 2012, the Board of Directors of Lazard Ltd authorized the repurchase of up to $250 million, $125 million and $125 million, respectively, in aggregate cost of Class A common stock and Lazard Group common membership interests through December 31, 2012, December 31, 2013 and December 31, 2013, respectively. The share repurchase program is used primarily to offset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portion of the shares to be issued under the 2005 Plan and the 2008 Plan. Purchases under the share repurchase program may be made in the open market or through privately negotiated transactions. Amounts shown in this line item exclude the shares of Class A common stock withheld by the Company to cover estimated income taxes as described below. As of June 30, 2012, $184.7 million of the current aggregate share repurchase amount authorized as of such date remained available, all of which expires on December 31, 2013. Additionally, amounts shown in this line item for the period April 1 through June 30, 2012 include repurchases made in the open market pursuant to the Company’s Rule 10b5-1 plan, which was then in effect. A Rule 10b5-1 plan allows the Company to make repurchases during periods when it would not otherwise be repurchasing (</w:t>
      </w:r>
      <w:r>
        <w:rPr>
          <w:rFonts w:ascii="Arial" w:cs="Arial" w:eastAsia="Arial" w:hAnsi="Arial"/>
          <w:sz w:val="16"/>
          <w:szCs w:val="16"/>
          <w:i w:val="1"/>
          <w:iCs w:val="1"/>
          <w:color w:val="auto"/>
        </w:rPr>
        <w:t>i.e.</w:t>
      </w:r>
      <w:r>
        <w:rPr>
          <w:rFonts w:ascii="Arial" w:cs="Arial" w:eastAsia="Arial" w:hAnsi="Arial"/>
          <w:sz w:val="16"/>
          <w:szCs w:val="16"/>
          <w:color w:val="auto"/>
        </w:rPr>
        <w:t>, during internal “black-out” periods). All purchases under a Rule 10b5-1 plan must be made in accordance with a predefined plan, which must have been established when the Company was not aware of material non-public information.</w:t>
      </w:r>
    </w:p>
    <w:p>
      <w:pPr>
        <w:spacing w:after="0" w:line="37" w:lineRule="exact"/>
        <w:rPr>
          <w:sz w:val="20"/>
          <w:szCs w:val="20"/>
          <w:color w:val="auto"/>
        </w:rPr>
      </w:pPr>
    </w:p>
    <w:p>
      <w:pPr>
        <w:ind w:left="460" w:right="320" w:hanging="452"/>
        <w:spacing w:after="0" w:line="25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terms of the 2005 Plan and the 2008 Plan, upon the vesting of RSUs and delivery of restricted Class A common stock, shares of Class A common stock may be withheld by the Company to cover estimated income taxes. During the three month period ended June 30, 2012, the Company satisfied certain employees’ tax obligations in lieu of issuing (i) 165,018 shares of Class A common stock to cover estimated taxes upon the vesting of 361,557 RSUs and (ii) 2,468 shares of Class A common stock to cover estimated taxes upon the vesting of 12,191 shares of restricted Class A common stock.</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216"/>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40"/>
          </w:cols>
          <w:pgMar w:left="240" w:top="45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9,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5"/>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420"/>
              <w:spacing w:after="0"/>
              <w:rPr>
                <w:sz w:val="20"/>
                <w:szCs w:val="20"/>
                <w:color w:val="auto"/>
              </w:rPr>
            </w:pPr>
            <w:r>
              <w:rPr>
                <w:rFonts w:ascii="Arial" w:cs="Arial" w:eastAsia="Arial" w:hAnsi="Arial"/>
                <w:sz w:val="18"/>
                <w:szCs w:val="18"/>
                <w:color w:val="auto"/>
                <w:w w:val="90"/>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w w:val="91"/>
              </w:rPr>
              <w:t>Group LLC and LFCM Holdings LLC (incorporated by reference to Exhibit 10.12 to the Registrant’s Annual Report (File No. 001-32492) on</w:t>
            </w:r>
          </w:p>
        </w:tc>
      </w:tr>
      <w:tr>
        <w:trPr>
          <w:trHeight w:val="222"/>
        </w:trPr>
        <w:tc>
          <w:tcPr>
            <w:tcW w:w="840" w:type="dxa"/>
            <w:vAlign w:val="bottom"/>
          </w:tcPr>
          <w:p>
            <w:pPr>
              <w:spacing w:after="0"/>
              <w:rPr>
                <w:sz w:val="19"/>
                <w:szCs w:val="19"/>
                <w:color w:val="auto"/>
              </w:rPr>
            </w:pPr>
          </w:p>
        </w:tc>
        <w:tc>
          <w:tcPr>
            <w:tcW w:w="10500" w:type="dxa"/>
            <w:vAlign w:val="bottom"/>
          </w:tcPr>
          <w:p>
            <w:pPr>
              <w:ind w:left="420"/>
              <w:spacing w:after="0"/>
              <w:rPr>
                <w:sz w:val="20"/>
                <w:szCs w:val="20"/>
                <w:color w:val="auto"/>
              </w:rPr>
            </w:pPr>
            <w:r>
              <w:rPr>
                <w:rFonts w:ascii="Arial" w:cs="Arial" w:eastAsia="Arial" w:hAnsi="Arial"/>
                <w:sz w:val="18"/>
                <w:szCs w:val="18"/>
                <w:color w:val="auto"/>
              </w:rPr>
              <w:t>Form 10-K filed on March 2, 2009).</w:t>
            </w:r>
          </w:p>
        </w:tc>
      </w:tr>
      <w:tr>
        <w:trPr>
          <w:trHeight w:val="365"/>
        </w:trPr>
        <w:tc>
          <w:tcPr>
            <w:tcW w:w="8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9,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4"/>
              </w:rPr>
              <w:t>of May 4, 2005 (as amended from time to time), for Michael J. Castellano (incorporated by reference to Exhibit 10.26 to the Registrant’s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the Registrant’s Annual Report (File No. 001-32492) on Form 10-K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10.41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10.42 to the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Directors’ Fee Deferral Unit Plan (incorporated by reference to Exhibit 10.39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May 11,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Plan (incorporated by reference to Exhibit 10.43 to the Registrant’s Annual Report (File No. 001-32492) on Form 10-K filed on March 1, 2007).</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August 15,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Letter Agreement regarding employment, dated as of April 21, 2010, between Lazard Group LLC and Gary W. Parr (incorporated by reference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to Exhibit 10.53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27, 2012 to Letter Agreement regarding employment, dated as of April 21, 2010,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and Gary W. Parr (incorporated by reference to Exhibit 10.46 to the Registrant’s Quarterly Report (File No. 001-32492) on Form 10-Q filed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Citibank, N.A., as Administrative Agent (incorporated by reference to Exhibit 10.51 to the Registrant’s Quarterly Report (File No. 001-32492)</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on Form 10-Q filed on August 4,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tcPr>
          <w:p>
            <w:pPr>
              <w:ind w:left="38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10.49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Amendment No. 3, dated as of March 31, 2012, to the Senior Revolving Credit Agreement, dated as of April 29, 2010, among Lazard Group</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10.50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the Registrant’s Quarterly Report (File No. 001-32492) on Form 10-Q filed on May 2, 2012).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10.52*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10.53*</w:t>
            </w:r>
          </w:p>
        </w:tc>
        <w:tc>
          <w:tcPr>
            <w:tcW w:w="10440" w:type="dxa"/>
            <w:vAlign w:val="bottom"/>
          </w:tcPr>
          <w:p>
            <w:pPr>
              <w:ind w:left="300"/>
              <w:spacing w:after="0"/>
              <w:rPr>
                <w:sz w:val="20"/>
                <w:szCs w:val="20"/>
                <w:color w:val="auto"/>
              </w:rPr>
            </w:pPr>
            <w:r>
              <w:rPr>
                <w:rFonts w:ascii="Arial" w:cs="Arial" w:eastAsia="Arial" w:hAnsi="Arial"/>
                <w:sz w:val="18"/>
                <w:szCs w:val="18"/>
                <w:color w:val="auto"/>
                <w:w w:val="89"/>
              </w:rPr>
              <w:t>Form of Agreement evidencing a grant of Restricted Stock Units and Restricted Stock to Executive Officers who are or may become eligible for</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0"/>
              </w:rPr>
              <w:t>retirement under the 2008 Incentive Compensation Plan (incorporated by reference to Exhibit 10.53 to the Registrant’s Quarterly Report (File</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No. 001-32492) on Form 10-Q filed on May 2, 2012).</w:t>
            </w: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10.54*</w:t>
            </w:r>
          </w:p>
        </w:tc>
        <w:tc>
          <w:tcPr>
            <w:tcW w:w="10440" w:type="dxa"/>
            <w:vAlign w:val="bottom"/>
          </w:tcPr>
          <w:p>
            <w:pPr>
              <w:ind w:left="30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16"/>
        </w:trPr>
        <w:tc>
          <w:tcPr>
            <w:tcW w:w="960" w:type="dxa"/>
            <w:vAlign w:val="bottom"/>
          </w:tcPr>
          <w:p>
            <w:pPr>
              <w:spacing w:after="0"/>
              <w:rPr>
                <w:sz w:val="18"/>
                <w:szCs w:val="18"/>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w w:val="92"/>
              </w:rPr>
              <w:t>March 15, 2005, between Lazard Group LLC and Ashish Bhutani (incorporated by reference to Exhibit 10.56 to the Registrant’s Quarterly</w:t>
            </w:r>
          </w:p>
        </w:tc>
      </w:tr>
      <w:tr>
        <w:trPr>
          <w:trHeight w:val="222"/>
        </w:trPr>
        <w:tc>
          <w:tcPr>
            <w:tcW w:w="960" w:type="dxa"/>
            <w:vAlign w:val="bottom"/>
          </w:tcPr>
          <w:p>
            <w:pPr>
              <w:spacing w:after="0"/>
              <w:rPr>
                <w:sz w:val="19"/>
                <w:szCs w:val="19"/>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Report (File No. 001-32492) on Form 10-Q filed on August 4, 2011).</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12.1</w:t>
            </w:r>
          </w:p>
        </w:tc>
        <w:tc>
          <w:tcPr>
            <w:tcW w:w="1044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1"/>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4"/>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w w:val="97"/>
              </w:rPr>
              <w:t>(dollars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235,499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243,650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(182,234)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$418,295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110,919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117,119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127,398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160,154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134,418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346,418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360,769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185,294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573,669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139,899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$ 137,110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19,410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20,255</w:t>
            </w:r>
          </w:p>
        </w:tc>
        <w:tc>
          <w:tcPr>
            <w:tcW w:w="660" w:type="dxa"/>
            <w:vAlign w:val="bottom"/>
          </w:tcPr>
          <w:p>
            <w:pPr>
              <w:jc w:val="right"/>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110,919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117,119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127,398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160,154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28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3.08(d)</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–(e)</w:t>
            </w:r>
          </w:p>
        </w:tc>
        <w:tc>
          <w:tcPr>
            <w:tcW w:w="10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1.16(f)</w:t>
            </w:r>
          </w:p>
        </w:tc>
        <w:tc>
          <w:tcPr>
            <w:tcW w:w="6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Deficiency in the coverage of operating income (loss) before fixed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 to total fixed charges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182,234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jc w:val="both"/>
        <w:ind w:left="460" w:right="220" w:hanging="452"/>
        <w:spacing w:after="0" w:line="306"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relating to the aforementioned items. Excluding the impact of such items, the ratio of earnings to fixed charges would have been 3.96.</w:t>
      </w:r>
    </w:p>
    <w:p>
      <w:pPr>
        <w:spacing w:after="0" w:line="25" w:lineRule="exact"/>
        <w:rPr>
          <w:rFonts w:ascii="Arial" w:cs="Arial" w:eastAsia="Arial" w:hAnsi="Arial"/>
          <w:sz w:val="16"/>
          <w:szCs w:val="16"/>
          <w:color w:val="auto"/>
        </w:rPr>
      </w:pPr>
    </w:p>
    <w:p>
      <w:pPr>
        <w:ind w:left="460" w:right="20" w:hanging="452"/>
        <w:spacing w:after="0" w:line="298"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 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2012 of Lazard Ltd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2012</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July 31,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2012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2"/>
    </w:lvl>
  </w:abstractNum>
  <w:abstractNum w:abstractNumId="7">
    <w:nsid w:val="3006C83E"/>
    <w:multiLevelType w:val="hybridMultilevel"/>
    <w:lvl w:ilvl="0">
      <w:lvlJc w:val="left"/>
      <w:lvlText w:val="%1."/>
      <w:numFmt w:val="decimal"/>
      <w:start w:val="3"/>
    </w:lvl>
  </w:abstractNum>
  <w:abstractNum w:abstractNumId="8">
    <w:nsid w:val="614FD4A1"/>
    <w:multiLevelType w:val="hybridMultilevel"/>
    <w:lvl w:ilvl="0">
      <w:lvlJc w:val="left"/>
      <w:lvlText w:val="%1."/>
      <w:numFmt w:val="decimal"/>
      <w:start w:val="4"/>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decimal"/>
      <w:start w:val="5"/>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decimal"/>
      <w:start w:val="6"/>
    </w:lvl>
  </w:abstractNum>
  <w:abstractNum w:abstractNumId="13">
    <w:nsid w:val="3804823E"/>
    <w:multiLevelType w:val="hybridMultilevel"/>
    <w:lvl w:ilvl="0">
      <w:lvlJc w:val="left"/>
      <w:lvlText w:val="%1."/>
      <w:numFmt w:val="decimal"/>
      <w:start w:val="7"/>
    </w:lvl>
  </w:abstractNum>
  <w:abstractNum w:abstractNumId="14">
    <w:nsid w:val="77465F01"/>
    <w:multiLevelType w:val="hybridMultilevel"/>
    <w:lvl w:ilvl="0">
      <w:lvlJc w:val="left"/>
      <w:lvlText w:val="%1."/>
      <w:numFmt w:val="decimal"/>
      <w:start w:val="8"/>
    </w:lvl>
  </w:abstractNum>
  <w:abstractNum w:abstractNumId="15">
    <w:nsid w:val="7724C67E"/>
    <w:multiLevelType w:val="hybridMultilevel"/>
    <w:lvl w:ilvl="0">
      <w:lvlJc w:val="left"/>
      <w:lvlText w:val="%1."/>
      <w:numFmt w:val="decimal"/>
      <w:start w:val="9"/>
    </w:lvl>
  </w:abstractNum>
  <w:abstractNum w:abstractNumId="16">
    <w:nsid w:val="5C482A97"/>
    <w:multiLevelType w:val="hybridMultilevel"/>
    <w:lvl w:ilvl="0">
      <w:lvlJc w:val="left"/>
      <w:lvlText w:val="%1"/>
      <w:numFmt w:val="decimal"/>
      <w:start w:val="1"/>
    </w:lvl>
    <w:lvl w:ilvl="1">
      <w:lvlJc w:val="left"/>
      <w:lvlText w:val="(%2)"/>
      <w:numFmt w:val="lowerLetter"/>
      <w:start w:val="1"/>
    </w:lvl>
  </w:abstractNum>
  <w:abstractNum w:abstractNumId="17">
    <w:nsid w:val="2463B9EA"/>
    <w:multiLevelType w:val="hybridMultilevel"/>
    <w:lvl w:ilvl="0">
      <w:lvlJc w:val="left"/>
      <w:lvlText w:val="%1."/>
      <w:numFmt w:val="decimal"/>
      <w:start w:val="10"/>
    </w:lvl>
    <w:lvl w:ilvl="1">
      <w:lvlJc w:val="left"/>
      <w:lvlText w:val="%2"/>
      <w:numFmt w:val="lowerLetter"/>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1"/>
    </w:lvl>
  </w:abstractNum>
  <w:abstractNum w:abstractNumId="21">
    <w:nsid w:val="580BD78F"/>
    <w:multiLevelType w:val="hybridMultilevel"/>
    <w:lvl w:ilvl="0">
      <w:lvlJc w:val="left"/>
      <w:lvlText w:val="%1."/>
      <w:numFmt w:val="decimal"/>
      <w:start w:val="12"/>
    </w:lvl>
  </w:abstractNum>
  <w:abstractNum w:abstractNumId="22">
    <w:nsid w:val="153EA438"/>
    <w:multiLevelType w:val="hybridMultilevel"/>
    <w:lvl w:ilvl="0">
      <w:lvlJc w:val="left"/>
      <w:lvlText w:val="%1."/>
      <w:numFmt w:val="decimal"/>
      <w:start w:val="13"/>
    </w:lvl>
  </w:abstractNum>
  <w:abstractNum w:abstractNumId="23">
    <w:nsid w:val="3855585C"/>
    <w:multiLevelType w:val="hybridMultilevel"/>
    <w:lvl w:ilvl="0">
      <w:lvlJc w:val="left"/>
      <w:lvlText w:val="%1."/>
      <w:numFmt w:val="decimal"/>
      <w:start w:val="14"/>
    </w:lvl>
  </w:abstractNum>
  <w:abstractNum w:abstractNumId="24">
    <w:nsid w:val="70A64E2A"/>
    <w:multiLevelType w:val="hybridMultilevel"/>
    <w:lvl w:ilvl="0">
      <w:lvlJc w:val="left"/>
      <w:lvlText w:val="%1"/>
      <w:numFmt w:val="decimal"/>
      <w:start w:val="1"/>
    </w:lvl>
    <w:lvl w:ilvl="1">
      <w:lvlJc w:val="left"/>
      <w:lvlText w:val="(%2)"/>
      <w:numFmt w:val="lowerLetter"/>
      <w:start w:val="1"/>
    </w:lvl>
  </w:abstractNum>
  <w:abstractNum w:abstractNumId="25">
    <w:nsid w:val="6A2342EC"/>
    <w:multiLevelType w:val="hybridMultilevel"/>
    <w:lvl w:ilvl="0">
      <w:lvlJc w:val="left"/>
      <w:lvlText w:val="%1."/>
      <w:numFmt w:val="decimal"/>
      <w:start w:val="15"/>
    </w:lvl>
    <w:lvl w:ilvl="1">
      <w:lvlJc w:val="left"/>
      <w:lvlText w:val="%2"/>
      <w:numFmt w:val="lowerLetter"/>
      <w:start w:val="1"/>
    </w:lvl>
  </w:abstractNum>
  <w:abstractNum w:abstractNumId="26">
    <w:nsid w:val="2A487CB0"/>
    <w:multiLevelType w:val="hybridMultilevel"/>
    <w:lvl w:ilvl="0">
      <w:lvlJc w:val="left"/>
      <w:lvlText w:val="%1."/>
      <w:numFmt w:val="decimal"/>
      <w:start w:val="16"/>
    </w:lvl>
  </w:abstractNum>
  <w:abstractNum w:abstractNumId="27">
    <w:nsid w:val="1D4ED43B"/>
    <w:multiLevelType w:val="hybridMultilevel"/>
    <w:lvl w:ilvl="0">
      <w:lvlJc w:val="left"/>
      <w:lvlText w:val="%1."/>
      <w:numFmt w:val="decimal"/>
      <w:start w:val="17"/>
    </w:lvl>
  </w:abstractNum>
  <w:abstractNum w:abstractNumId="28">
    <w:nsid w:val="725A06FB"/>
    <w:multiLevelType w:val="hybridMultilevel"/>
    <w:lvl w:ilvl="0">
      <w:lvlJc w:val="left"/>
      <w:lvlText w:val="%1."/>
      <w:numFmt w:val="decimal"/>
      <w:start w:val="18"/>
    </w:lvl>
  </w:abstractNum>
  <w:abstractNum w:abstractNumId="29">
    <w:nsid w:val="2CD89A32"/>
    <w:multiLevelType w:val="hybridMultilevel"/>
    <w:lvl w:ilvl="0">
      <w:lvlJc w:val="left"/>
      <w:lvlText w:val="%1."/>
      <w:numFmt w:val="decimal"/>
      <w:start w:val="19"/>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lowerRoman"/>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2"/>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3"/>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4"/>
    </w:lvl>
  </w:abstractNum>
  <w:abstractNum w:abstractNumId="52">
    <w:nsid w:val="275AC794"/>
    <w:multiLevelType w:val="hybridMultilevel"/>
    <w:lvl w:ilvl="0">
      <w:lvlJc w:val="left"/>
      <w:lvlText w:val="(%1)"/>
      <w:numFmt w:val="lowerLetter"/>
      <w:start w:val="5"/>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2"/>
    </w:lvl>
  </w:abstractNum>
  <w:abstractNum w:abstractNumId="56">
    <w:nsid w:val="235BA861"/>
    <w:multiLevelType w:val="hybridMultilevel"/>
    <w:lvl w:ilvl="0">
      <w:lvlJc w:val="left"/>
      <w:lvlText w:val="(%1)"/>
      <w:numFmt w:val="lowerLetter"/>
      <w:start w:val="1"/>
    </w:lvl>
    <w:lvl w:ilvl="1">
      <w:lvlJc w:val="left"/>
      <w:lvlText w:val="•"/>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2019-12-09T17:17:42Z</dcterms:created>
  <dcterms:modified xsi:type="dcterms:W3CDTF">2019-12-09T17:17:42Z</dcterms:modified>
</cp:coreProperties>
</file>