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72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19"/>
                <w:szCs w:val="19"/>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89"/>
              </w:rPr>
              <w:t>51-0278097</w:t>
            </w:r>
          </w:p>
        </w:tc>
        <w:tc>
          <w:tcPr>
            <w:tcW w:w="600" w:type="dxa"/>
            <w:vAlign w:val="bottom"/>
          </w:tcPr>
          <w:p>
            <w:pPr>
              <w:spacing w:after="0"/>
              <w:rPr>
                <w:sz w:val="19"/>
                <w:szCs w:val="19"/>
                <w:color w:val="auto"/>
              </w:rPr>
            </w:pPr>
          </w:p>
        </w:tc>
      </w:tr>
      <w:tr>
        <w:trPr>
          <w:trHeight w:val="151"/>
        </w:trPr>
        <w:tc>
          <w:tcPr>
            <w:tcW w:w="7220" w:type="dxa"/>
            <w:vAlign w:val="bottom"/>
            <w:gridSpan w:val="3"/>
          </w:tcPr>
          <w:p>
            <w:pPr>
              <w:jc w:val="center"/>
              <w:ind w:right="210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38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72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9"/>
        </w:trPr>
        <w:tc>
          <w:tcPr>
            <w:tcW w:w="41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49"/>
        </w:trPr>
        <w:tc>
          <w:tcPr>
            <w:tcW w:w="416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416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7220" w:type="dxa"/>
            <w:vAlign w:val="bottom"/>
            <w:gridSpan w:val="3"/>
          </w:tcPr>
          <w:p>
            <w:pPr>
              <w:jc w:val="center"/>
              <w:ind w:left="3397"/>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0"/>
        </w:trPr>
        <w:tc>
          <w:tcPr>
            <w:tcW w:w="7220" w:type="dxa"/>
            <w:vAlign w:val="bottom"/>
            <w:gridSpan w:val="3"/>
          </w:tcPr>
          <w:p>
            <w:pPr>
              <w:jc w:val="center"/>
              <w:ind w:left="3417"/>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3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96"/>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85"/>
        </w:trPr>
        <w:tc>
          <w:tcPr>
            <w:tcW w:w="83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75"/>
        </w:trPr>
        <w:tc>
          <w:tcPr>
            <w:tcW w:w="79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firstLine="342"/>
        <w:spacing w:after="0" w:line="253" w:lineRule="auto"/>
        <w:rPr>
          <w:sz w:val="20"/>
          <w:szCs w:val="20"/>
          <w:color w:val="auto"/>
        </w:rPr>
      </w:pPr>
      <w:r>
        <w:rPr>
          <w:rFonts w:ascii="Arial" w:cs="Arial" w:eastAsia="Arial" w:hAnsi="Arial"/>
          <w:sz w:val="18"/>
          <w:szCs w:val="18"/>
          <w:color w:val="auto"/>
        </w:rPr>
        <w:t>As of June 30, 2012, none of the Registrant’s common membership interests were held by non-affiliates. As of June 30, 2012, LAZ-MD Holdings LLC held 6,570,078 common memberships interests of the Registrant, representing approximately 5.1% of the Registrant’s then outstanding common membership interests. As of January 31, 2013, LAZ-MD Holdings LLC held 1,549,667 common membership interests, or 1.2% of the Registrant’s then outstanding common membership interests. If LAZ-MD Holdings LLC is not deemed an “affiliate” of the Registrant, then as of June 30, 2012 there would have been 6,570,078 outstanding common membership interests of the Registrant held by non-affiliates, with a market value of $170,756,327 (assuming each common membership interest has a value equivalent to one share of Lazard Ltd Class A common stock and based on a closing price per share of $25.99 of Lazard Ltd Class A common stock on June 29, 2012).</w:t>
      </w:r>
    </w:p>
    <w:p>
      <w:pPr>
        <w:spacing w:after="0" w:line="39" w:lineRule="exact"/>
        <w:rPr>
          <w:sz w:val="24"/>
          <w:szCs w:val="24"/>
          <w:color w:val="auto"/>
        </w:rPr>
      </w:pPr>
    </w:p>
    <w:p>
      <w:pPr>
        <w:ind w:right="500" w:firstLine="342"/>
        <w:spacing w:after="0" w:line="268" w:lineRule="auto"/>
        <w:rPr>
          <w:sz w:val="20"/>
          <w:szCs w:val="20"/>
          <w:color w:val="auto"/>
        </w:rPr>
      </w:pPr>
      <w:r>
        <w:rPr>
          <w:rFonts w:ascii="Arial" w:cs="Arial" w:eastAsia="Arial" w:hAnsi="Arial"/>
          <w:sz w:val="18"/>
          <w:szCs w:val="18"/>
          <w:color w:val="auto"/>
        </w:rPr>
        <w:t>As of January 31, 2013, in addition to profit participation interests, there were 129,766,090 common membership interests and two managing member interests outstanding.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28">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3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46">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December 31, 2012 of approximately 98.8%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 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4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years ended December 31, 2012, 2011 and 2010, the Financial Advisory segment net revenue totaled $1.049 billion, $992 million and $1.120 billion, respectively, accounting for approximately 55%, 54% and 59%, respectively, of our consolidated net revenue for such years. We earned $1 million or more from 255 clients, 241 clients and 255 clients for the years ended December 31, 2012, 2011 and 2010, respectively. For the years ended December 31, 2012, 2011 and 2010, the ten largest fee paying clients constituted approximately 18%, 14% and 16% of our Financial Advisory segment net revenue, respectively, with no client individually constituting more than 10% of segment net revenue during any of these years. For the years ended December 31, 2012, 2011 and 2010, the Financial Advisory segment reported operating income (loss) of $(9) million, $62 million and $169 million, respectively. Operating income in 2012 included a charge in the fourth quarter of $78 million associated with the cost saving initiatives (as described in Note 16 of Notes to Consolidated Financial Statements) announced by the Company in October 2012, and, in 2010, included a charge of $20 million relating to the amendment of the Company’s retirement policy with respect to restricted stock unit (“RSU”) awards that are applicable to the Financial Advisory segment (as each are described in Management’s Discussion and Analysis of Financial Condition and Results of Operations). Excluding the impact of such items, our Financial Advisory segment had operating income of $69 million and $189 million in the years ended December 31, 2012 and 2010, respectively. At December 31, 2012, 2011 and 2010, the Financial Advisory segment had total assets of $793 million, $768 million and $799 million, respectively.</w:t>
      </w:r>
    </w:p>
    <w:p>
      <w:pPr>
        <w:spacing w:after="0" w:line="124"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and France, as well as a presence in Argentina, Australia, Belgium, Brazil, Chile, China, Colombia, Germany, India, Italy, Japan, the Netherlands, Panama, Peru, Saudi Arabia, Singapore, South Korea, Spain, Sweden, Switzerland, the United Arab Emirates and Uruguay.</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Over the past several years, our Financial Advisory segment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Australia Holdings Pty Limited, and, along with the Company’s existing financial advisory business in Australia, referred to below as “Lazard Australia”, and concurrently sold such investment to Lazard Group, and we entered into a joint cooperation agreement with Raiffeisen Investment AG (“Raiffeisen”) for merger and acquisition advisory services in Russia and the Central and Eastern European (the “CEE”) region. The cooperation agreement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and the parent company of MBA Banco de Inversiones.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 In 2012, we integrated our Brazilian operations based in São Paulo, and established a Lazard Africa initiative to leverage our sovereign and corporate expertise in this rapidly growing region, for our clients in both developed and developing countries.</w:t>
      </w:r>
    </w:p>
    <w:p>
      <w:pPr>
        <w:spacing w:after="0" w:line="12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to seeking business centered in the locations referred to above, we historically have focused in particular on advising clients with respect to cross-border transactions. We believe that we are particularly well known for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appropriate sale process for the situation, valuation issues,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and split-offs. We frequently provide advice with respect to the structure, timing and pricing of these alternatives.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 such as leveraged buyout, mezzanine or real estate focused funds.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have been at the forefront of providing independent advice to governments and governmental agencies challenged by the current troubled environment. Lazard’s Sovereign Advisory Group is highly active, advising a number of countries with respect to sovereign debt and other issues.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10, 2005, Lazard Group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(“LFCM Holdings”), a Delaware limited liability company. We refer to these businesses, assets and liabilities as the “separated businesses” and these transfers collectively as the “separation.” In connection with the separation,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entered into a business alliance agreement dated as of May 10, 2005 by and among Lazard Group, LAZ-MD Holdings LLC (“LAZ-MD Holdings”), an entity owned by current and former managing directors of Lazard Group,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2012, our Financial Advisory segment had 151 managing directors and 732 other professionals (which includes directors, vice presidents, associates and analysts).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developing new client relationships, including leveraging the broad geographic footprint and strong relationships in our Asset Management business,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and Sovereign Advisory Groups, to help corporations and governments in addressing the significant deleveraging that is occurring in the developed markets,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Capital Markets and other professionals, and</w:t>
      </w:r>
    </w:p>
    <w:p>
      <w:pPr>
        <w:spacing w:after="0" w:line="5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broadening our geographic presence by adding new offices, including, since the beginning of 2007, offices in Australia (Melbourne and Perth), Saudi Arabia (Riyadh), Switzerland (Zurich) and the United Arab Emirates (Dubai City), as well as new regional offices in the U.S. (Boston, Minneapolis and Charlotte), acquiring a 50% interest in a financial advisory firm with offices in Central and South America (Argentina, Chile, Colombia, Panama, Peru and Uruguay), integrating our Brazilian operations based in São Paulo and entering into a joint cooperation agreement in Eastern Europe and Russia, as well as a strategic alliance with a financial advisory firm in Mexico.</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the developed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since 2007, as described above, we have broadened our geographic footprint through acquisitions, investments and alliances.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Recapitalization and Relationship with Natixis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Lazard Ltd completed the equity public offering (the “equity public offering”) of its Class A common stock of Lazard Ltd (“Class A common stock” or “common stock”), the public offering of equity security units of Lazard Ltd, the private placements under an investment agreement with IXIS Corporate &amp; 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Lazard Group and Natixis had in place a cooperation arrangement to place and underwrite securities in the French capital markets under a common brand, “Lazard-Natixis,” and cooperate in their respective origination, syndication, placement and other activities. The cooperation arrangement primarily covered French listed companies included in the Société des Bourses Francaises (“SBF”) 120 Index and initial public offerings with an expected resulting market capitalization of at least €500 million. The term of the cooperation arrangement expired on December 31, 2012. Discussions are taking place regarding the possible renewal of the cooperation arrangement or the execution of a new form of cooperation arrangement.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union funds, financial intermediaries and private clients.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analyzing, among other things, a company’s financial position, productivity and opportunities in light of its valuation.</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2012, total assets under management (“AUM”) were $167 billion, of which approximately 83% was invested in equities, 13% in fixed income, 3% in alternative investments and 1% in private equity funds. As of the same date, approximately 31%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51% was invested in global investment strategies and 18% was invested in U.S. investment strategies. Our top ten clients accounted for 23%, 22% and 22% of our total AUM at December 31, 2012, 2011 and 2010, respectively, with no client individually constituting more than 10% of our Asset Management segment net revenue during any of the respective years. Approximately 91% of our AUM as of December 31, 2012 was managed on behalf of institutional clients, including corporations, labor unions, public pension funds, insurance companies and banks, and through sub-advisory relationships, mutual fund sponsors, broker-dealers and registered advisors, and approximately 9% of our AUM was managed on behalf of individual client relationships, which are principally with family offices and high-net worth individuals.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2012,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4905375"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537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 years ended December 31, 2012, 2011 and 2010, our Asset Management segment net revenue totaled $896 million, $897 million and $850 million, respectively, accounting for approximately 47%, 49% and 45%, respectively, of our consolidated net revenue for such years. For the years ended December 31, 2012, 2011 and 2010, Asset Management reported operating income of $237 million, $268 million and $265 million, respectively. Operating income in 2012 included a charge of $13 million associated with the cost saving initiatives announced by the Company in October 2012, and, in 2010, included a charge of $3 million relating to the amendment of Lazard’s retirement policy with respect to RSU awards that were applicable to the Asset Management segment (as each are described in Management’s Discussion and Analysis of Financial Condition and Results of Operations). Excluding the impact of such special items, our Asset Management segment had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operating income of $250 million and $268 million in the years ended December 31, 2012 and 2010, respectively. At December 31, 2012, 2011 and 2010, our Asset Management segment had total assets of $567 million, $584 million and $687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Asset Management businesses are Lazard Asset Management LLC and its subsidiaries (“LAM”), with offices in New York, San Francisco, Boston, Chicago, Toronto, Montreal, London, Milan, Frankfurt, Hamburg, Tokyo, Hong Kong, Sydney, Seoul, Zurich and Manama (aggregating approximately $152 billion in total AUM as of December 31, 2012), and Lazard Frères Gestion SAS (“LFG”), with offices in Paris, Bordeaux, Brussels and Lyon (aggregating approximately $14 billion in total AUM as of December 31, 2012). These operations, with 71 managing directors and 352 professionals as of December 31, 2012, provide our business with both a global presence and a local identity.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a company’s financial position, productivity and opportunities in light of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89"/>
              </w:rPr>
              <w:t>Emerging Markets Small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Latin American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Trend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 Strategies</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Long/Short Equity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Emerging Income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2203"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a broad array of marketing channels on a global basis. LAM’s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network, with distribution professionals located in cities including New York, Boston, Chicago, San Francisco, London, Milan, Montreal, Toronto, Frankfurt, Hamburg, Zurich, Tokyo, Sydney, Hong Kong, Manama and Seoul.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leveraging the broad geographic footprint and strong client relationships in our Financial Advisory business,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our product platform, including the addition of a new emerging markets fixed income team, a global equity team, an asian equity team and a global real estate investment team,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an office in Switzerland and planning to open an office in Singapore.</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In this regard, in September 2011, LAM acquired the assets of Grubb &amp; Ellis Alesco Global Advisors, LLC (“Alesco”). Alesco is an investment advisor located in San Francisco, California, focusing on real estate securities and managing three registered mutual funds.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through organic growth, acquisitions or otherwise.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Since 2005, we have been engaged in a number of alternative investments and private equity activities. On July 15, 2009, we established a private equity business with The Edgewater Funds (“Edgewater”), a Chicago-based private equity firm, through the acquisition of Edgewater’s management vehicles. The acquisition of Edgewater was structured as a purchase by Lazard of interests in a holding company that owns interests in the general partner and management company entities of the current Edgewater private equity funds (the “Edgewater Acquisition”).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Australia, we operate our private equity business through Lazard Australia, which, as of December 31, 2012, had approximately $325 million of AUM and unfunded fee-earning commitments.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LFCM Holdings, through certain subsidiaries of Lazard Alternative Investments Holdings LLC (“LAI”), operates the alternative investment business (including private equity activities) that was transferred to it in the separation. We retained an investment in certain of the funds that are now operated by LAI and its subsidiaries. We are entitled to receive all or a portion of the carry attributable to our investment in certain funds managed or formed by LAI (net of compensation payable to investment professionals who manage these funds). In addition, pursuant to the business alliance agreement, we retained an option to acquire the North American and European fund management activities of LAI and have the right to participate in the governance of LAI and to consent to certain actions. On December 15, 2009, we exercised our option to acquire the right to conduct private equity activities in Europe. While the remaining option to purchase the management entities of LAI’s North American businesses (the “North American Option”) is currently exercisable at any time prior to May 10, 2014, during the fourth quarter of 2011, we determined that we are unlikely to exercise such option (see Note 18 of Notes to Consolidated Financial Statements).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February 2009, the business alliance agreement with LFCM Holdings was amended to remove certain restrictions on our ability to engage in private equity activities in North America and to reduce the price of the North American 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2012, we employed 2,513 people, which included 151 managing directors and 732 other professionals in our Financial Advisory segment and 75 managing directors and 376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October 2012 we announced a number of cost saving initiatives to reduce our expenses, which have impacted and will impact the number of people that we employ. See “Management’s Discussion and Analysis of Financial Condition — Cost Saving Initiatives”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Citigroup, Credit Suisse, Deutsche Bank AG, Evercore Partners, Goldman Sachs &amp; Co., Greenhill &amp; Co., JPMorgan Chase, Mediobanca, Morgan Stanley, Rothschild and UBS. In our Restructuring practice, our primary competitors are The Blackstone Group, Evercore Partners, Greenhill &amp; Co., Houlihan Lokey, Moelis &amp; Company and Rothschild.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and Schroders, Alliance Bernstein, Capital Management &amp; Research, Fidelity, Franklin Templeton, Invesco, JP Morgan Asset Management, Lord Abbett, MFS and Mondrian Investment Partners,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 At the same time, demand for independent financial advice has increased and has created opportunities for new entrants, including a number of boutique financial advisory firms.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or the Financial Industry Regulatory Authority (“FINRA”)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the U.S., the SEC is the federal agency responsible for the administration of the federal securities laws. FINRA is a voluntary, self-regulatory body composed of members, such as our broker-dealer subsidiaries,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new registration category that includes placement agents that solicit investments from public pension funds on behalf of investments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(the “FSA”). We expect that the Financial Conduct Authority will assume the FSA’s regulatory oversight responsibilities relating to the U.K. subsidiaries in 2013, but we do not expect this transition alone to significantly impact the regulatory requirements applicable to the U.K. subsidiaries. We also have other subsidiaries that are registered as broker-dealers (or have similar non-U.S. registration in various jurisdictions).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for its banking activities conducted through its subsidiary, our Paris-based banking affiliate, Lazard Frères Banque SA (“LFB”). In addition, the investment services activities of the Paris group, exercised through LFB and other subsidiaries of CFLF, primarily LFG, are subject to regulation and supervision by the Autorité des Marchés Financiers.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of our Asset Management subsidiaries are registered as investment advisors with the SEC. As registered investment advisors, each is subject to the requirements of the Investment Advisers Act and the SEC’s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a result of certain recent changes effected by the Dodd-Frank Wall Street Reform and Consumer Protection Act (the “Dodd-Frank Act”) related to the regulation of over-the-counter swaps and other derivative instruments, LAM and certain of its subsidiaries have recently registered with the U.S. Commodity Futures Trading Commission (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and German banking authorities, among others, regulate various of our operating entities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process as such rules are proposed and adopted.</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Over the last several years,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2013,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54</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53</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1,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52</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50</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and Lazard Group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46</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Lazard Group files current, annual and quarterly reports,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Copies of these reports and other information can also be inspected at the offices of the New York Stock Exchange, Inc., 20 Broad Street,</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New York 10005, U.S.A.</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our website in the “Corporate Governance” 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90" w:lineRule="exact"/>
        <w:rPr>
          <w:sz w:val="20"/>
          <w:szCs w:val="20"/>
          <w:color w:val="auto"/>
        </w:rPr>
      </w:pPr>
    </w:p>
    <w:p>
      <w:pPr>
        <w:ind w:right="220" w:firstLine="456"/>
        <w:spacing w:after="0" w:line="338" w:lineRule="auto"/>
        <w:rPr>
          <w:sz w:val="20"/>
          <w:szCs w:val="20"/>
          <w:color w:val="auto"/>
        </w:rPr>
      </w:pPr>
      <w:r>
        <w:rPr>
          <w:rFonts w:ascii="Arial" w:cs="Arial" w:eastAsia="Arial" w:hAnsi="Arial"/>
          <w:sz w:val="16"/>
          <w:szCs w:val="16"/>
          <w:b w:val="1"/>
          <w:bCs w:val="1"/>
          <w:color w:val="auto"/>
        </w:rPr>
        <w:t>In recent years, the U.S. and global capital markets and the economy experienced periods of significant disruption and volatility, which has had negative repercussions on the global economy, and any continued disruption or volatility could present challenges for our business.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recent years, certain adverse financial developments have impacted the U.S. and global capital markets and the macroeconomic climate. These developments included a general slowing of economic growth both in the U.S. and globally, periods of volatility in equity securities markets and volatility and tightening of liquidity in credit markets. In addition, concerns over sovereign debt levels, high unemployment levels, business and consumer confidence levels, volatile energy costs, geopolitical issues and a weak real estate market in the U.S. and elsewhere have contributed to increased volatility and have affected expectations for the economy and the markets going forward. Furthermore, investor concerns about the financial health of certain European countries and financial institutions caused market disruptions in recent years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93"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4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(including the Dodd-Frank Act) effected in connection with, and as a result of, such extraordinary disruption and volatility is uncertain, both as to the financial capital markets and participants in general, and as to us in particular.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1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90"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retire, join an existing competitor, form a competing company or otherwise leave us, some of our clients could choose to use the services of that competitor or some other competitor instead of our services. In any such event, our investment banking fees, money management fees or AUM could decline.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Certain changes to our employee compensation arrangements may result in increased compensation and benefits expense. In addition, any changes to the mix of cash and deferred compensation granted to our employees may affect certain financial measures applicable to our business, including ratios of compensation and benefits expense to revenue, and may result in increased levels of Class A common stock issued to our employees upon vesting of RSUs or grants of restricted stock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15" w:lineRule="exact"/>
        <w:rPr>
          <w:sz w:val="20"/>
          <w:szCs w:val="20"/>
          <w:color w:val="auto"/>
        </w:rPr>
      </w:pPr>
    </w:p>
    <w:p>
      <w:pPr>
        <w:jc w:val="both"/>
        <w:ind w:right="30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18"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10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6"/>
          <w:szCs w:val="16"/>
          <w:i w:val="1"/>
          <w:iCs w:val="1"/>
          <w:color w:val="auto"/>
        </w:rPr>
        <w:t>e.g.</w:t>
      </w:r>
      <w:r>
        <w:rPr>
          <w:rFonts w:ascii="Arial" w:cs="Arial" w:eastAsia="Arial" w:hAnsi="Arial"/>
          <w:sz w:val="16"/>
          <w:szCs w:val="16"/>
          <w:color w:val="auto"/>
        </w:rPr>
        <w:t>, our emerging markets strategies), would be expected to cause our revenue and income to decline by causing:</w:t>
      </w:r>
    </w:p>
    <w:p>
      <w:pPr>
        <w:spacing w:after="0" w:line="3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historically have earned a majority of our revenue from advisory fees paid to us by our Financial Advisory clients, which usually are payable upon the successful completion of a particular transaction or restructuring. For example, for the year ended December 31, 2012, Financial Advisory services accounted for approximately 55%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10"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operating revenue could suffer.</w:t>
      </w:r>
    </w:p>
    <w:p>
      <w:pPr>
        <w:spacing w:after="0" w:line="12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2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average AUM as of the end of a quarter or month. As a result,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01"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our financial position could be adversely affected. Loss of key employees may occur due to perceived opportunity for promotion, compensation levels, work environment or other individual reasons, some of which may be beyond our control.</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0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comprising our AUM, may underperform other investment approaches, which may result in significant client or asset departures, or a reduction in AUM.</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advisors, consultants or third-party intermediaries.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8"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8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July 2009, the Company established a private equity business with Edgewater. We may expand our participation in alternative investment activities through investments in new and successor funds, including funds managed by affiliates of Lazard.</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or by LFCM Holdings, and continue to hold principal investments directly or through several funds managed by LFCM Holdings and certain affiliates of Lazard, including Edgewater and Lazard Australia.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will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revenue from our private equity business is derived primarily from management fees, which are calculated as a percentage of committed capital or invested capital depending on the stage of each respective fund. Transaction, advisory and incentive fees are earned if investments are profitable over a specified threshold.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invest capital in various types of equity and debt securities in order to seed LAM equity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10"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8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In particular, a number of factors increase the competitive risks of our Financial Advisory and Asset Management businesses: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number of our competitors have greater financial and other resources and more personnel than we do;</w:t>
      </w:r>
    </w:p>
    <w:p>
      <w:pPr>
        <w:spacing w:after="0" w:line="90" w:lineRule="exact"/>
        <w:rPr>
          <w:rFonts w:ascii="Arial" w:cs="Arial" w:eastAsia="Arial" w:hAnsi="Arial"/>
          <w:sz w:val="18"/>
          <w:szCs w:val="18"/>
          <w:color w:val="auto"/>
        </w:rPr>
      </w:pPr>
    </w:p>
    <w:p>
      <w:pPr>
        <w:jc w:val="both"/>
        <w:ind w:left="900" w:right="1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attract new or retain existing clients, make successful investments, retain our personnel or maintain AUM, any of which would adversely impact our revenue and earnings.</w:t>
      </w:r>
    </w:p>
    <w:p>
      <w:pPr>
        <w:spacing w:after="0" w:line="126"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As of December 31, 2012, Lazard Group and its subsidiaries had approximately $1.1 billion in debt (including capital lease obligations) outstanding, of which $529 million and $548 million relate to Lazard Group senior notes that mature in 2015 and 2017,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1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We may pursue acquisitions, joint ventures or cooperation agreements that may result in additional risks and uncertainties in our business and could present unforeseen integration obstacles or costs.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and during 2011, we acquired the assets of Alesco. During 2012, we integrated our Brazilian operations based in São Paulo. We expect to continue to explore acquisitions and partnership or strategic alliance opportunities that we believe to be attractive.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1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1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2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Our Financial Advisory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8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U.S. and global financial markets experienced periods of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 Regulation”), we are not able to predict the ultimate effect on us. In addition, several states and municipalities in the United States have recently adopted “pay-to-play” rules, which could limit our ability to charge fees in connection with certain of our Private Fund Advisory engagements, and could therefore affect the profitability of that portion of our business.</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controls and procedures may result in increased costs, additional operational personnel and increased regulatory risk. Failure to adhere to these policies, controls and procedures may result in regulatory sanctions or client litigation.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2012, our Asset Management business obtained research and other services through third-party soft dollar arrangements, the total cost of which we estimate to be approximately $20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2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12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are exposed to fluctuations in foreign currencies. Our financial statements are denominated in U.S. Dollars and, for the year ended December 31, 2012, we received approximately 39%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Fluctuations in foreign currency exchange rates also can impact the portfolios of our Asset Management clients. Client portfolios are invested in securities across the globe, although most portfolios are in a single base currency. Foreign currency exchange rate fluctuations can adversely impact investment performance for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client’s portfolio and also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some hedging activities may not be effective.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members’ equity from currency translation adjustments.</w:t>
      </w:r>
    </w:p>
    <w:p>
      <w:pPr>
        <w:spacing w:after="0" w:line="12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Group depends on its subsidiaries, which conduct the operations of its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Executive Branch has not yet submitted its 2014 budget proposals to Congress. The 2013 budget proposals submitted on February 13, 2012 included several potential revenue generating items, including proposals to (i) limit the deduction of certain related party interest and (ii) limit or defer the deduction of interest attributable to foreign source income of foreign subsidiaries. In addition, members of Congress may propose legislation that, if enacted, would reclassify certain types of foreign corporations as U.S. corporations for U.S. tax purposes if the management and control of such entities occurs primarily within the U.S.</w:t>
      </w:r>
    </w:p>
    <w:p>
      <w:pPr>
        <w:spacing w:after="0" w:line="9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 form proposed in the 2013 budget submission, however, some of these proposals may increase Lazard’s effective tax rate during future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2012.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1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3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or, as a result of the use of the Lazard name by subsidiaries of LFCM Holdings, for certain actions of LFCM Holdings or its subsidiaries.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Several employees of Lazard provide services to LFCM Holdings. Conflicts of interest may arise between LFCM Holdings and us in a number of areas relating to our past and ongoing relationships, including:</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intellectual property and real property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our managing directors provide services to LFCM Holdings,</w:t>
      </w:r>
    </w:p>
    <w:p>
      <w:pPr>
        <w:spacing w:after="0" w:line="59" w:lineRule="exact"/>
        <w:rPr>
          <w:rFonts w:ascii="Arial" w:cs="Arial" w:eastAsia="Arial" w:hAnsi="Arial"/>
          <w:sz w:val="18"/>
          <w:szCs w:val="18"/>
          <w:color w:val="auto"/>
        </w:rPr>
      </w:pPr>
    </w:p>
    <w:p>
      <w:pPr>
        <w:ind w:left="900" w:right="9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 different party.</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year relating to our periodic or current reports under the Exchange 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2012, including properties used by the separated businesses. As a general matter, one or both of our Financial Advisory and Asset Management segments (as well as our Corporate segment) uses the following properties. We sublease to affiliates of LFCM Holdings certain office space, including office space that is used by the separated businesses. This includes subleasing 55,424 square feet principally relating to our lease in New York City located at 30 Rockefeller Plaza to affiliates of LFCM Holdings. Additionally, our London and other offices sublease 55,676 and 9,248 square feet, respectively, to third parties. We remain fully liable for the subleased space to the extent that affiliates of LFCM Holdings, or the third parties, fail to perform their obligations under the subleases for any reason.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Square Footage</w:t>
            </w:r>
          </w:p>
        </w:tc>
        <w:tc>
          <w:tcPr>
            <w:tcW w:w="5920" w:type="dxa"/>
            <w:vAlign w:val="bottom"/>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448,764 square feet of</w:t>
            </w:r>
          </w:p>
        </w:tc>
        <w:tc>
          <w:tcPr>
            <w:tcW w:w="22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North America</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149,806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3"/>
              </w:rPr>
              <w:t>Boston, Charlotte, Chicago, Houston, Los Angeles, Minneapolis, Montreal, San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Francisco and Washington D.C.</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Paris</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168,923 square feet of owned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and 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London</w:t>
            </w:r>
          </w:p>
        </w:tc>
        <w:tc>
          <w:tcPr>
            <w:tcW w:w="2400" w:type="dxa"/>
            <w:vAlign w:val="bottom"/>
            <w:gridSpan w:val="2"/>
          </w:tcPr>
          <w:p>
            <w:pPr>
              <w:spacing w:after="0"/>
              <w:rPr>
                <w:sz w:val="20"/>
                <w:szCs w:val="20"/>
                <w:color w:val="auto"/>
              </w:rPr>
            </w:pPr>
            <w:r>
              <w:rPr>
                <w:rFonts w:ascii="Arial" w:cs="Arial" w:eastAsia="Arial" w:hAnsi="Arial"/>
                <w:sz w:val="18"/>
                <w:szCs w:val="18"/>
                <w:color w:val="auto"/>
              </w:rPr>
              <w:t>86,695 square feet of leased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Europe</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116,340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Asia, Australia and</w:t>
            </w: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31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88,555 square feet of leased</w:t>
            </w:r>
          </w:p>
        </w:tc>
        <w:tc>
          <w:tcPr>
            <w:tcW w:w="5920" w:type="dxa"/>
            <w:vAlign w:val="bottom"/>
            <w:vMerge w:val="restart"/>
          </w:tcPr>
          <w:p>
            <w:pPr>
              <w:spacing w:after="0"/>
              <w:rPr>
                <w:sz w:val="20"/>
                <w:szCs w:val="20"/>
                <w:color w:val="auto"/>
              </w:rPr>
            </w:pPr>
            <w:r>
              <w:rPr>
                <w:rFonts w:ascii="Arial" w:cs="Arial" w:eastAsia="Arial" w:hAnsi="Arial"/>
                <w:sz w:val="18"/>
                <w:szCs w:val="18"/>
                <w:color w:val="auto"/>
                <w:w w:val="94"/>
              </w:rPr>
              <w:t>Beijing, Dubai City, Hong Kong, Melbourne, Mumbai, Perth, Riyadh, So Paulo,</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Seoul, Singapore, Sydney and Tokyo</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2012, approximately 98.8% and 1.2% of our common membership interests are held by wholly-owned subsidiaries of Lazard Ltd and by LAZ-MD Holdings, respectively. Our co-managing member interests are held by two indirect wholly-owned subsidiaries of Lazard Ltd and our profit participation interests are held by various managing directors. There are no public trading markets for any of these interests.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Subsequent to the equity public offering, pursuant to provisions of its amended and restated Operating Agreement, Lazard Group distributions in respect of common membership interests are allocated to the holders of such interests on a pro rata basis. Such distributions represent amounts necessary to fund (i) dividends Lazard Ltd declares on its Class A common stock and (ii) tax distributions in respect of income taxes that Lazard Ltd’s subsidiaries and members of LAZ-MD Holdings incur as a result of holding Lazard Group common membership interests. During the years ended December 31, 2012, 2011 and 2010, Lazard Group distributed approximately $5.2 million, $4.4 million and $9.8 million, respectively, to LAZ-MD Holdings and approximately $135.1 million, $70.6 million and $50.6 million, respectively, to the subsidiaries of Lazard Ltd, which latter amounts were used by Lazard Ltd to pay dividends to holders of its Class A common stock. In addition, during the years ended December 31, 2011 and 2010, Lazard Group made tax distributions of approximately $17.5 million and $61.6 million, respectively, including $0.7 million and $9.5 million, respectively, paid to LAZ-MD Holdings, and approximately $16.8 million and $52.1 million, respectively, paid to subsidiaries of Lazard Ltd (no tax distributions were made during the year ended December 31, 2012).</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consolidated statements of financial condition and operations data as of and for each of the years in the five-year period ended December 31, 2012 have been derived from Lazard Group’s consolidated financial statements. The audited consolidated statements of financial condition as of December 31, 2012 and 2011 and audited consolidated statements of operations for each of the years in the three year period ended December 31, 2012 are included in this Form 10-K. The audited consolidated statements of financial condition as of December 31, 2010, 2009 and 2008, and the audited consolidated statements of operations for the years ended December 31, 2009 and 2008, are not included in this Form 10-K. Historical results are not necessarily indicative of results for any future period.</w:t>
      </w:r>
    </w:p>
    <w:p>
      <w:pPr>
        <w:spacing w:after="0" w:line="1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selected consolidated financial data should be read in conjunction with “Management’s Discussion and Analysis of Financial Condition and Results of Operations,” and the Company’s consolidated financial statements and related notes included in this Form 10-K.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5"/>
          </w:tcPr>
          <w:p>
            <w:pPr>
              <w:jc w:val="center"/>
              <w:ind w:right="9"/>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1,049,090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1,119,867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986,820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1,022,913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896,260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897,401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849,662</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601,652</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614,781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(37,220)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(55,947)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(65,024)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(58,509)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(82,725)</w:t>
            </w:r>
          </w:p>
        </w:tc>
        <w:tc>
          <w:tcPr>
            <w:tcW w:w="0" w:type="dxa"/>
            <w:vAlign w:val="bottom"/>
          </w:tcPr>
          <w:p>
            <w:pPr>
              <w:spacing w:after="0"/>
              <w:rPr>
                <w:sz w:val="1"/>
                <w:szCs w:val="1"/>
                <w:color w:val="auto"/>
              </w:rPr>
            </w:pPr>
          </w:p>
        </w:tc>
      </w:tr>
      <w:tr>
        <w:trPr>
          <w:trHeight w:val="163"/>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1,908,130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1,833,561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1,904,505</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1,529,963</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1,554,969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1,351,076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1,168,909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1,194,158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1,309,231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1,128,243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435,461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422,861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463,538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402,720</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384,697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1,786,537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1,591,770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1,657,696</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1,711,951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1,512,940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121,593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241,791</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246,809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(181,988)</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42,029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90,971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214,383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201,424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(213,715)</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12,338</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Group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gridSpan w:val="3"/>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87,609</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210,705</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194,544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(216,547)</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25,671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3,048,380</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3,037,453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3,336,284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3,115,048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2,885,582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1,094,713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1,096,934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1,249,753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1,261,478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1,264,575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Group Members’ Equity</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453,179</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614,344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369,565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155,371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Members’ Equity</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529,087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718,267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490,447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282,931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126,510</w:t>
            </w: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167,060,000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141,039,000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155,337,000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129,543,000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91,109,000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155,549,000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152,072,000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137,381,000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103,988,000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122,828,000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6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2,513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2,332</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2,294</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2,434</w:t>
            </w: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gridSpan w:val="2"/>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3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814,660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83,885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Strategic Advisory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866,331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794,364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825,992</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610,110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903,630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Restructuring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182,759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197,743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293,875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376,710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Advisory Net Revenue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1,049,090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1,119,867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986,820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1,022,913</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568,436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43,661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26,245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86,298</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74,795</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ind w:left="260"/>
              <w:spacing w:after="0" w:line="155" w:lineRule="exact"/>
              <w:rPr>
                <w:sz w:val="20"/>
                <w:szCs w:val="20"/>
                <w:color w:val="auto"/>
              </w:rPr>
            </w:pPr>
            <w:r>
              <w:rPr>
                <w:rFonts w:ascii="Arial" w:cs="Arial" w:eastAsia="Arial" w:hAnsi="Arial"/>
                <w:sz w:val="14"/>
                <w:szCs w:val="14"/>
                <w:color w:val="auto"/>
              </w:rPr>
              <w:t>Asset Management Net Revenue</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896,260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897,401</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849,662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601,652</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614,781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line="23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“Corporate” includes interest expense (net of interest income), investment income (losses) from certain investments and net revenue earned by LFB through its money market desk and commercial banking operations, as well as any gains or losses from the extinguishment of debt.</w:t>
      </w:r>
    </w:p>
    <w:p>
      <w:pPr>
        <w:ind w:left="340" w:right="4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 (ii) in 2010, charges of $24,860 relating to the acceleration of amortization expense pertaining to the amendment of Lazard’s retirement policy with respect to RSU awards; (iii) in 2009,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 and (iv) in 2008, $197,550 relating to the compensation portion of the LAM Merger charge.</w:t>
      </w:r>
    </w:p>
    <w:p>
      <w:pPr>
        <w:spacing w:after="0" w:line="1" w:lineRule="exact"/>
        <w:rPr>
          <w:rFonts w:ascii="Arial" w:cs="Arial" w:eastAsia="Arial" w:hAnsi="Arial"/>
          <w:sz w:val="12"/>
          <w:szCs w:val="12"/>
          <w:color w:val="auto"/>
        </w:rPr>
      </w:pPr>
    </w:p>
    <w:p>
      <w:pPr>
        <w:ind w:left="340" w:right="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in 2012, non-compensation costs of $2,905 recorded in the first quarter associated with staff reductions and $2,589 recorded in the fourth quarter relating to the cost saving initiatives announced by the Company in October 2012, (ii) in 2010, restructuring expense of $87,108 related to the restructuring plan announced in the first quarter of 2010 and (iii) in 2009, restructuring expense of $62,550 related to the restructuring plan announced in the first quarter of 2009.</w:t>
      </w: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3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12 of Notes to Consolidated Financial Statements), (ii) Lazard Australia Corporate Opportunities Fund 2 (“COF2”), a Lazard-managed Australian private equity fund targeting Australasian mid-market investments, (iii) a mezzanine fund, which invests in mezzanine debt of a diversified selection of small-to mid cap European companies and (iv) a private equity fund targeting significant non-controlling investments in established public and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Overall, equity market indices at December 31, 2012 increased in both the U.S., and outside the U.S., when compared to such indices at December 31, 2011, with periods of significant volatility during the year. On an industry-wide basis, during 2012 M&amp;A activity generally decreased as compared to 2011. Restructuring volume also declined in 2012, as compared to 2011, despite an increase in the number of corporate defaults.</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Entering 2013, interest rates remain low and corporate cash balances remain high. Global macroeconomic conditions appear to be improving but remain uncertain, especially with respect to Europe. The breadth of our businesses has mitigated the impact of the European financial crisis. Although completed European M&amp;A activity declined in 2012 and moderately affected our Financial Advisory business, we believe other advisory opportunities, including opportunities for our Sovereign Advisory and Capital Raising businesses, have offset the slowdown. In our Asset Management business, most of LAM’s European clients are invested with LAM primarily outside of Europe. Those who are invested in Europe are invested primarily in European fixed income, which has not had a significant impact on our Asset Management business. Nonetheless, the business situation in Europe remains challenging.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announced a number of cost saving initiatives (the “cost saving initiatives”) relating to our operations. See “Cost Saving Initiatives” below and Note 16 of Notes to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Europe, we believe our Sovereign Advisory, Restructuring and Capital Raising businesses have positive growth prospects.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the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60" w:hanging="345"/>
        <w:spacing w:after="0" w:line="287"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Despite turbulent markets, we have recently seen investor demand across regions and investment platforms. In the short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a new office in Zurich, and we are planning to open a new office in Singapore. We are continually developing and seeding new investment strategies that extend our existing platforms. Recent examples of growth initiatives include the following investment strategies: Emerging Market Debt, Core Emerging Markets, Real Estate, Managed Volatility Strategies, Asian Equities and Global Trend.</w:t>
      </w:r>
    </w:p>
    <w:p>
      <w:pPr>
        <w:spacing w:after="0" w:line="12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and earnings growth, the prudent management of our costs and expenses, the efficient use of our assets and the return of equity to our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reflected in the following table, which sets forth industry statistics for 2012 and 2011 regarding the value and number of completed and announced Global and Trans-Atlantic M&amp;A transactions, the value and number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completed transactions in 2012 decreased compared to 2011, and reflected transactions with lower average values. However, Global and Trans-Atlantic announced M&amp;A transactions increased in value during 2012 compared to 2011, but the number of transactions decreased in 2012 from 2011.</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1160" w:type="dxa"/>
            <w:vAlign w:val="bottom"/>
          </w:tcPr>
          <w:p>
            <w:pPr>
              <w:jc w:val="right"/>
              <w:ind w:right="754"/>
              <w:spacing w:after="0"/>
              <w:rPr>
                <w:sz w:val="20"/>
                <w:szCs w:val="20"/>
                <w:color w:val="auto"/>
              </w:rPr>
            </w:pPr>
            <w:r>
              <w:rPr>
                <w:rFonts w:ascii="Arial" w:cs="Arial" w:eastAsia="Arial" w:hAnsi="Arial"/>
                <w:sz w:val="14"/>
                <w:szCs w:val="14"/>
                <w:b w:val="1"/>
                <w:bCs w:val="1"/>
                <w:color w:val="auto"/>
                <w:w w:val="96"/>
              </w:rPr>
              <w:t>2011</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Global: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2,034</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2,360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28,861</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w w:val="83"/>
              </w:rPr>
              <w:t>31,705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158</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199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1,152</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1,329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2,544</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2,467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38,249</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3"/>
              </w:rPr>
              <w:t>41,782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209</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169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22"/>
        </w:trPr>
        <w:tc>
          <w:tcPr>
            <w:tcW w:w="4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1,378</w:t>
            </w:r>
          </w:p>
        </w:tc>
        <w:tc>
          <w:tcPr>
            <w:tcW w:w="700" w:type="dxa"/>
            <w:vAlign w:val="bottom"/>
          </w:tcPr>
          <w:p>
            <w:pPr>
              <w:spacing w:after="0"/>
              <w:rPr>
                <w:sz w:val="19"/>
                <w:szCs w:val="19"/>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1,558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January 11, 2013.</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Global restructuring activity during 2012, as measured by the value of debt defaults, decreased in 2012 from 2011. However, the number of issuers defaulting increased to 58 in 2012, according to Moody’s Investors Service, Inc., as compared to 38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shown in the table below, major equity market indices at December 31, 2012 increased when compared to such indices at December 31, 2011. Global market indices at December 31, 2011 were mixed in the U.S., but declined outside the U.S., versus the corresponding indices at December 31, 2010.</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3"/>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940" w:type="dxa"/>
            <w:vAlign w:val="bottom"/>
            <w:gridSpan w:val="2"/>
          </w:tcPr>
          <w:p>
            <w:pPr>
              <w:jc w:val="right"/>
              <w:ind w:right="1132"/>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74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shd w:val="clear" w:color="auto" w:fill="CCEEFF"/>
          </w:tcPr>
          <w:p>
            <w:pPr>
              <w:spacing w:after="0"/>
              <w:rPr>
                <w:sz w:val="18"/>
                <w:szCs w:val="18"/>
                <w:color w:val="auto"/>
              </w:rPr>
            </w:pP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CAC 40</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FTSE 100</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NASDAQ</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16%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and market movements reflected in the changes in Lazard’s AUM during the period generally correspond to the changes in global equity market indices. While our AUM at December 31, 2012 increased 18% versus AUM at December 31, 2011 (primarily reflecting market appreciation), our average AUM for 2012 increased 2% as compared to our average AUM in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October 25, 2012, we announced a number of cost saving initiatives to reduce our expenses.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 We expect these initiatives will result in improved profitability with minimal impact on revenue growth. A majority of these initiatives were implemented during the fourth quarter of 2012. Our objective is to realize approximately $125 million in annual savings from our existing cost base, with approximately $85 million relating to compensation and benefits expense, and approximately $40 million relating to non-compensation expense. We expect at least two-thirds of the expense savings to be realized in 2013, and we expect the full impact of the expense savings to be realized in 2014. We expect pre-tax implementation expenses to range between $110 million and $130 million and to primarily consist of compensation expense. We incurred $103 million of these expenses in the fourth quarter of 2012, and expect to incur the remainder of these expenses in the first half of 2013. Approximately 75% of the implementation expenses are expected to be paid in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Corporate segment net revenue consists primarily of investment gains and losses on the Company’s “seed investments” in LAM equity and fixed income funds, principal investments in equities and alternative investment funds and “equity method” investments, net hedging activities, as well as gains and losses on investments held in connection with Lazard Fund Interests and on the extinguishment of debt (to the extent applicable), interest income and interest expense.</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Corporate segment net revenue during 2012 represented (2)% of Lazard’s net revenue, total assets in the Corporate segment represented 55% of Lazard’s consolidated total assets as of December 31, 2012, which is attributable to investments in government bonds and money market funds, fixed income funds, alternative investment funds and other securities, private equity investments and cash.</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While we have begun to implement initiatives, including the cost saving initiatives announced in October 2012 (see “Cost Saving Initiatives” above and Note 16 of Notes to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2012, the relevant portion of the expense relating to the first quarter 2012 staff reductions and the implementation of the cost saving initiatives in the fourth quarter of 2012 and, in 2010, restructuring expense (see Note 16 of Notes to Consolidated Financial Statements”). Amortization of intangible assets relates primarily to the acquisition of Edgewater.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13 of Notes to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Selected financial data from the Company’s reported consolidated results of operations is set forth below, followed by a more detailed discussion of both consolidated and business segment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1,908,130</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1,833,561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1,904,505</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1,351,076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1,168,909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1,194,158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427,102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410,946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1,786,537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1,591,770</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1,657,696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121,593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241,791</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246,809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90,971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214,383</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201,424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87,609</w:t>
            </w: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210,705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194,544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0" w:type="dxa"/>
            <w:vAlign w:val="bottom"/>
            <w:vMerge w:val="restart"/>
          </w:tcPr>
          <w:p>
            <w:pPr>
              <w:jc w:val="right"/>
              <w:ind w:right="1692"/>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59"/>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$1,908,130</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$ 1,833,561</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$ 1,904,505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Other interest expense (a)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89,823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90,285</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(14,104)</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(16,696)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(16,277)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(18,171)</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Lazard Fund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Interests (d)</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1,976,292</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1,892,003</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1,982,200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revenues of our business.</w:t>
      </w:r>
    </w:p>
    <w:p>
      <w:pPr>
        <w:ind w:left="460" w:right="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Gain related to the repurchase of the Company’s subordinated promissory note is excluded because of the non-operating nature of such transaction.</w:t>
      </w:r>
    </w:p>
    <w:p>
      <w:pPr>
        <w:spacing w:after="0" w:line="32" w:lineRule="exact"/>
        <w:rPr>
          <w:rFonts w:ascii="Arial" w:cs="Arial" w:eastAsia="Arial" w:hAnsi="Arial"/>
          <w:sz w:val="16"/>
          <w:szCs w:val="16"/>
          <w:color w:val="auto"/>
        </w:rPr>
      </w:pPr>
    </w:p>
    <w:p>
      <w:pPr>
        <w:jc w:val="both"/>
        <w:ind w:left="460" w:right="660" w:hanging="452"/>
        <w:spacing w:after="0" w:line="361"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 expense, are excluded.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$1,351,076</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$1,168,909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Amendment of retirement policy (a)</w:t>
            </w:r>
          </w:p>
        </w:tc>
        <w:tc>
          <w:tcPr>
            <w:tcW w:w="25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(21,754)</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Cost saving initiatives (b)</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(99,987)</w:t>
            </w:r>
          </w:p>
        </w:tc>
        <w:tc>
          <w:tcPr>
            <w:tcW w:w="4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 (c)</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(4,040)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(3,740)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(Charges) credits pertaining to Lazard Fund Interests (d)</w:t>
            </w:r>
          </w:p>
        </w:tc>
        <w:tc>
          <w:tcPr>
            <w:tcW w:w="25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(7,557)</w:t>
            </w: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3,024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2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1,217,738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1,168,193</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1,166,200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Deduct – amortization of incentive compensation awards</w:t>
            </w:r>
          </w:p>
        </w:tc>
        <w:tc>
          <w:tcPr>
            <w:tcW w:w="25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(334,796)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(289,366)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2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882,942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878,827</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Add:</w:t>
            </w:r>
          </w:p>
        </w:tc>
        <w:tc>
          <w:tcPr>
            <w:tcW w:w="2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(f)</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272,391</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282,418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Sign-on and other special incentive awards (g)</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42,088</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39,941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(h)</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(27,360)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(28,045)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adjustments (i)</w:t>
            </w:r>
          </w:p>
        </w:tc>
        <w:tc>
          <w:tcPr>
            <w:tcW w:w="2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(4,620)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25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1,171,415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1,168,521</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1,221,117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2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20" w:type="dxa"/>
            <w:vAlign w:val="bottom"/>
            <w:gridSpan w:val="2"/>
            <w:vMerge w:val="continue"/>
          </w:tcPr>
          <w:p>
            <w:pPr>
              <w:spacing w:after="0"/>
              <w:rPr>
                <w:sz w:val="17"/>
                <w:szCs w:val="17"/>
                <w:color w:val="auto"/>
              </w:rPr>
            </w:pPr>
          </w:p>
        </w:tc>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as a % of Operating Revenue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61.6%</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61.7%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2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60" w:type="dxa"/>
            <w:vAlign w:val="bottom"/>
            <w:vMerge w:val="restart"/>
          </w:tcPr>
          <w:p>
            <w:pPr>
              <w:jc w:val="right"/>
              <w:ind w:right="1692"/>
              <w:spacing w:after="0"/>
              <w:rPr>
                <w:sz w:val="20"/>
                <w:szCs w:val="20"/>
                <w:color w:val="auto"/>
              </w:rPr>
            </w:pPr>
            <w:r>
              <w:rPr>
                <w:rFonts w:ascii="Arial" w:cs="Arial" w:eastAsia="Arial" w:hAnsi="Arial"/>
                <w:sz w:val="18"/>
                <w:szCs w:val="18"/>
                <w:color w:val="auto"/>
              </w:rPr>
              <w:t>42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acceleration of amortization expense in connection with the vesting of share-based incentive compensation awards related to the amendment of the Company’s retirement policy.</w:t>
      </w: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expenses related to the first quarter 2012 staff reductions and the fourth quarter 2012 cost saving initiatives for (i) severance costs and benefit payments and (ii) the acceleration of unrecognized amortization expense of deferred incentive compensation previously granted to individuals whose employment is being terminated.</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base salaries and benefits of $515,769, $506,454 and $452,883 for 2012, 2011 and 2010, respectively, and cash incentive compensation of $367,173, $372,373 and $472,784 for the respective years.</w:t>
      </w:r>
    </w:p>
    <w:p>
      <w:pPr>
        <w:ind w:left="460" w:right="40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Grant date fair value of 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 end incentive compensation awards.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8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7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Non-Compensation Expense</w:t>
            </w: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$427,102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$410,946</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$368,563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(2,558)</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(2,008)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(2,589)</w:t>
            </w: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relating to U.K. lease (c)</w:t>
            </w: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(5,539)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Provision relating to LAI option (c)</w:t>
            </w: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(5,500)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419,050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397,899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366,559</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3"/>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20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fourth quarter 2012 cost saving initiatives are excluded to enhance comparability of adjusted non-compensation expense between present, historical and future periods.</w:t>
      </w:r>
    </w:p>
    <w:p>
      <w:pPr>
        <w:ind w:left="460" w:right="320" w:hanging="452"/>
        <w:spacing w:after="0" w:line="32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charges are excluded due to the non-recurring nature of such items and to enhance comparability of adjusted non-compensation expense between present, historical and future periods (see Notes 12 and 18 of Notes to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center"/>
              <w:ind w:left="39"/>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From Operations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w w:val="94"/>
              </w:rPr>
              <w:t>1,976,292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1,892,003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1,982,200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(1,217,738)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(1,168,193)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w w:val="89"/>
              </w:rPr>
              <w:t>(1,166,200)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(419,050)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(397,899)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(366,559)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rPr>
              <w:t>339,504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325,911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449,441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5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11"/>
          </w:tcPr>
          <w:p>
            <w:pPr>
              <w:jc w:val="right"/>
              <w:ind w:right="9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of Notes to Consolidated Financial Statements for additional financial information on a geographic basis.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2012(a)</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6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1,108</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1,092</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1,165</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1,197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1,131</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2,511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2,332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full impact of recent headcount reductions will not be reflected until some time during 2013, which impact could be offset in part by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2012 of $88 million, as compared to net income of $211 million in 2011. The changes in the Company’s operating results during these years are described below.</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Net revenue in 2012 increased $75 million, or 4%, with operating revenue increasing $84 million, or 4%, respectively, as compared to 2011. Fee revenue from investment banking and other advisory activities increased $69 million, or 7%, primarily due to an increase in M&amp;A and Other Advisory fees, partially offset by a decrease in Restructuring fees. The increase in M&amp;A and Other Advisory fee revenue was primarily driven by the strong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performance of Lazard Middle Market and the overall breadth and volume of our global M&amp;A and Sovereign Advisory businesses. Higher fees were earned from our top 10 clients during 2012, reflecting the closing of several significant M&amp;A and Sovereign Advisory transactions. The decrease in Restructuring fee revenue was generally in line with the industry-wide low level of corporate restructuring activity. Money management fees decreased $1 million during 2012. In the aggregate, interest income, other revenue and interest expense reflected an increase in net revenue of $7 million as compared to 2011. Such increase was principally due to increases in investment income (including a gain relating to the increase in market value of investments underlying Lazard Fund Interests, which are equally offset by a corresponding increase in compensation and benefits expense), that was partially offset by decreases in other revenue due to the $18 million gain on the repurchase of the Company’s subordinated promissory note in 2011, as well as decreases in referral fees from LFCM Holdings and commissions.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Compensation and benefits expense in 2012 increased $182 million, or 16%, compared to 2011, which, in part, reflected a $22 million first quarter 2012 charge associated with staff reductions and a fourth quarter 2012 charge of $100 million related to the cost saving initiatives. Such charges primarily relate to severance costs and benefit payments, with $8 million and $22 million of the respective charges relating to the acceleration of unrecognized amortization expense of deferred incentive compensation previously granted to individuals being terminated. Amortization expense of previously granted deferred incentive compensation awards related to 2008 deferred compensation (the “2008 grant”), which had a comparatively longer, four year vesting period, also contributed to the increase.</w:t>
      </w:r>
    </w:p>
    <w:p>
      <w:pPr>
        <w:spacing w:after="0" w:line="14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Adjusted compensation and benefits expense (which excludes certain items which we believe allows for improved comparability between years, as described above), was $1.218 billion in 2012, an increase of $50 million, or 4%, when compared to $1.168 billion in 2011. The ratio of adjusted compensation and benefits expense to operating revenue was reduced to 61.6% for 2012 as compared to 61.7% for 2011, despite the 4% increase in operating revenue during the same period. In 2012, amortization expense relating to the 2008 Grant represented approximately 2.0% of operating revenue. As described above, when analyzing compensation and benefits expense on a full year basis, we believe that awarded compensation and benefits expense provides the most meaningful basis for comparison of compensation and benefits expense between present, historical and future years. Awarded compensation and benefits expense in 2012 of $1.171 billion remained substantially unchanged when compared to $1.169 billion for 2011, despite the 4% increase in operating revenue during the same period. The ratio of awarded compensation and benefits expense to operating revenue was reduced to 59.3% in 2012 as compared to 61.8% for 2011. The grant date fair value of year-end deferred incentive compensation awards for 2012 was $272 million, representing a $10 million, or 4%, decrease compared to 2011.</w:t>
      </w:r>
    </w:p>
    <w:p>
      <w:pPr>
        <w:spacing w:after="0" w:line="10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Amortization of deferred incentive compensation awards, excluding the above-mentioned charges of $8 million and $22 million relating to the first quarter 2012 staff reductions and fourth quarter 2012 cost saving initiatives, respectively, was $335 million in 2012, as compared to $289 million in 2011. Amortization expense during 2012 included approximately $40 million related to the 2008 grant, which had a four year vesting period, and is the only outstanding grant with a vesting period in excess of three years. For the full year of 2013, we currently expect that amortization expense will approximate $300 million, a decrease of $35 million as compared to 2012. The expected reduction is primarily related to the full vesting of the 2008 grant in early 2013.</w:t>
      </w:r>
    </w:p>
    <w:p>
      <w:pPr>
        <w:spacing w:after="0" w:line="1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Non-compensation expense in 2012 increased $16 million, or 4%, as compared to 2011. Non-compensation expense in 2012 included a first quarter charge of $3 million associated with the staff reductions and a fourth quarter charge of an additional $3 million related to the cost saving initiatives, while the fourth quarter of 2011 included aggregate charges of $11 million related to the Company’s leased facilities in the U.K. and the write-off of the capitalized costs related to the Company’s option to acquire the fund management activities of Lazard Alternative Investment Holdings LLC (“LAI”). When excluding such charges, as well as non-compensation costs relating to noncontrolling interests, adjusted non-compensation expense in 2012 increased $21 million, or 5%, primarily attributable to</w:t>
      </w:r>
    </w:p>
    <w:p>
      <w:pPr>
        <w:spacing w:after="0" w:line="2" w:lineRule="exact"/>
        <w:rPr>
          <w:sz w:val="20"/>
          <w:szCs w:val="20"/>
          <w:color w:val="auto"/>
        </w:rPr>
      </w:pPr>
    </w:p>
    <w:p>
      <w:pPr>
        <w:ind w:right="600" w:firstLine="8"/>
        <w:spacing w:after="0" w:line="261"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occupancy costs in 2012 as a result of our amended lease and associated build-out costs of our Rockefeller Center facility, (ii) deal-related costs specifically related to transactions that closed in 2012 and (iii)</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investments in technology, with such increased costs partially offset by decreased professional fees, mutual fund servicing fees, travel and other expenses. The ratio of adjusted non-compensation expense to operating revenue was 21.2% in 2012 versus 21.0% for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or 30%, as compared to 2011.</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income in 2012 (including the charges that are described above relating to staff reductions and cost saving initiatives aggregating $25 million and $103 million, respectively) decreased $120 million, or 50%, as compared to operating income in 2011. Operating income, as a percentage of net revenue, was 6.4%, as compared to 13.2%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Earnings from operations increased $14 million, or 4%, when compared to 2011, and, as a percentage of operating revenue, was 17.2% in both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provision for income taxes increased $3 million, or 12%, when compared to 2011, and reflected an effective tax rate of 25.2% as compared to 11.3% for 2011. The increase in the effective tax rate is primarily reflective of the geographic mix of earnings.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was substantially unchanged compared to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$211 million in 2011 as compared to $195 million in 2010. The changes in the Company’s operating results during these years are described below.</w:t>
      </w:r>
    </w:p>
    <w:p>
      <w:pPr>
        <w:spacing w:after="0" w:line="132"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Net revenue decreased by $71 million, or 4%, with operating revenue decreasing by $90 million, or 5%, as compared to 2010. Fees from investment banking and other advisory activities decreased $135 million, or 12%, reflecting the continued cyclical decline in restructuring activity and the number of corporate debt defaults, as well as a slowdown in overall M&amp;A activity. Money management fees, including incentive fees, increased $47 million, or 6%, principally reflecting a $15 billion, or 11%, increase in average AUM for 2011, partially offset by a $60 million, or 70%, decline in incentive fees earned. In the aggregate, interest income, other revenue and interest expense reflected an increase in net revenue of $17 million as compared to 2010. The increase was primarily due to a gain of $18 million related to the repurchase of the Company’s subordinated promissory note in 2011, as well as decreases in interest expense reflecting the repurchase of the subordinated promissory note. Such increases were partially offset by decreases in referral fees from LFCM Holdings, foreign exchange gains, commission revenue and net investment losses in 2011 (including a loss related to the decline in market value of investments underlying Lazard Fund Interests, which was equally offset by a corresponding reduction in compensation and benefits expense), as compared to net investment gains in 2010.</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Compensation and benefits expense in 2011 was $1.169 billion, as compared to $1.194 billion in 2010. The decrease of $25 million in 2011 was principally due to the costs associated with the acceleration of amortization expense recognized in the first quarter of 2010 in connection with the vesting of share-based incentive compensation awards related to the amendment of the Company’s retirement policy. Adjusted compensation and benefits expense (which excludes certain items, and which we believe allows for improved comparability between years as described above) was $1.168 billion in 2011, substantially unchanged when compared to $1.166 billion in 2010. The resulting ratios of adjusted compensation and benefits expense to operating revenue were 61.7% and 58.8% for 2011 and 2010, respectively. The increase in the 2011 ratio reflects increases in base salaries of $54 million, or 12%, and amortization expense for deferred incentive compensation of $49 million, or 20%, which in the aggregate were offset by a decrease in cash incentive compensation of $100 million, or 21%.</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described above, when analyzing compensation and benefits expense on a full year basis, we believe that awarded compensation and benefits expense provides the most meaningful basis for comparison of compensation and benefits expense between present, historical and future years. Awarded compensation and benefits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2011 of $1.169 billion decreased $53 million, or 4%, when compared to $1.221 billion for 2010, roughly in line with the 5% decline in operating revenue, despite significant investments in new hires in both of our businesses. The resulting ratio of awarded compensation and benefits expense to operating revenue was substantially unchanged when comparing 2011 to 2010 at 61.8% and 61.6%, respectively. The grant date fair value of year-end deferred incentive compensation awards for 2011 was $282 million, representing a $10 million, or 4%, decrease compared to 2010.</w:t>
      </w:r>
    </w:p>
    <w:p>
      <w:pPr>
        <w:spacing w:after="0" w:line="11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5"/>
          <w:szCs w:val="15"/>
          <w:color w:val="auto"/>
        </w:rPr>
        <w:t>Non-compensation expense in 2011 was $411 million, an increase of $42 million, or 12%, as compared to $369 million in 2010. Non-compensation expense in the fourth quarter of 2011 included aggregate charges of $11 million relating to the Company’s leased facilities in the U.K. and the write-off of the capitalized costs related to the Company’s option to acquire the fund management activities of LAI (see Notes 12 and 18 of Notes to Consolidated Financial Statements). When excluding such charges, as well as non-compensation costs relating to noncontrolling interests, non-compensation expense increased by</w:t>
      </w:r>
    </w:p>
    <w:p>
      <w:pPr>
        <w:spacing w:after="0" w:line="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$31 million, or 9%, primarily reflecting (i) higher costs associated with investments in the business, including technology and related consulting, recruitment fees and, to a lesser extent, occupancy-related costs related to new and amended leases and (ii) increased costs related to a higher level of business activity, including transactional and AUM-based costs within our Asset Management business and travel expenditures in both our Financial Advisory and Asset Management businesses. The ratio of adjusted non-compensation expense to operating revenue was 21.0% in 2011 versus 18.5% for 2010.</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in 2011 increased by $4 million, primarily due to increased amortization relating to the Edgewater acquisition.</w:t>
      </w:r>
    </w:p>
    <w:p>
      <w:pPr>
        <w:spacing w:after="0" w:line="19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Operating income in 2011 was $242 million, a decrease of $5 million, or 2%, as compared to operating income of $247 million in 2010 and, as a percentage of net revenue, was 13.2% and 13.0% in 2011 and 2010, respectively.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Earnings from operations decreased $124 million, or 27%, when compared to 2010, and, as a percentage of operating revenue, was 17.2% as compared to 22.7% in 2010.</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provision for income taxes was $27 million and $45 million in 2011 and 2010, respectively, representing effective tax rates of 11.3% and 18.4% in 2011 and 2010, respectively. The decrease in the effective tax rate is primarily reflective of the geographic mix of earnings.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income attributable to noncontrolling interests was $4 million and $7 million in 2011 and 2010, respectively reflecting a decrease in the noncontrolling interest in 2011 relating to Edgewater.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792,928</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$700,539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93,825</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866,331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794,364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182,759</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197,743</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1,049,090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1,119,867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1,057,620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929,688</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$ 62,419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168,899</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in 2012, $77,532 associated with the implementation of the cost saving initiatives and, in 2010, $19,571 associated with the amendment of the Company’s retirement policy. All years include indirect support costs (including compensation and benefits expense and other operating expenses related thereto).</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volume of completed industry-wide M&amp;A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While the industry statistics for global completed M&amp;A transactions described above reflect a 14% decrease in M&amp;A activity in 2012 as compared to 2011, our M&amp;A and Other Advisory revenue (which includes Sovereign and Government Advisory revenue) increased 13% in 2012 as compared to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2012, 2011 or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Thomson Reuters as of January 11, 2013.</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$72 million, or 9%, and Restructuring revenue decreased $15 million, or 8%, as compared to 2011.</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M&amp;A and Other Advisory revenue increased $92 million, or 13%, as compared to 2011. Capital Raising revenue decreased $20 million, or 22%. The increase in M&amp;A and Other Advisory revenue was primarily due to the strong performance of Lazard Middle Market and a higher level of fees earned from our top 10 clients, reflecting the closing of several significant M&amp;A and Sovereign Advisory transactions. Our major clients, which in the aggregate represented 25% of our M&amp;A and Other Advisory revenue for the year, included Aeroporti di Roma, Azur Pharm, BTA Bank JSC, Caisse des Dépôts, Delphi Financial Group, GlaxoSmithKline, Google, Government of Greece, Medco Health Solutions, Pireaus Bank and Progress Energy. The decrease in Capital Raising revenue in 2012 was primarily attributable to a decrease in referral fees from LFCM Holdings and a decrease in private placement activity.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2012 was generally in line with the industry-wide low level of corporate restructuring activity. Notable assignments completed in 2012 included assignments for Cemex, Eastman Kodak, Lehman Brothers, NewPage Corporation and Tribune Company.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Operating expenses increased $128 million, or 14%, as compared to 2011. The primary contributors to the increase were a fourth quarter 2012 charge aggregating $78 million related to the cost saving initiatives, as well as higher levels of compensation and benefits expense (see the discussion regarding compensation and benefits expense described above under “Operating Results–Year Ended December 31, 2012 versus December 31, 2011”), transaction-related third party fees specifically related to transactions that closed in 2012 and occupancy costs as a result of our amended lease and associated buildout costs of our Rockefeller Center facility.</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Financial Advisory operating loss in 2012 was $9 million (with such amount including the impact of the $78 million charge related to the cost saving initiatives), a decrease of $71 million as compared to operating income of $62 million in 2011 and, as a percentage of net revenue, was (0.8)% as compared to 6.3% in 2011. Excluding the impact of such charge in 2012, operating income in 2012 was $69 million, an increase of $7 million, or 11%, as compared to operating income of $62 million in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Strategic Advisory net revenue in 2011, representing fees from M&amp;A and Other Advisory and Capital Raising businesses, decreased $32 million, or 4%, and Restructuring revenue declined $96 million, or 33%, as compared to 2010.</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M&amp;A and Other Advisory revenue in 2011 decreased $14 million, or 2%. Capital Raising revenue in 2011 decreased $18 million, or 16%. The decrease in M&amp;A and Other Advisory revenue in 2011 was principally due to a general slowdown in activity and resulted in lower average fees per M&amp;A and Other Advisory transaction. Our major clients, which in the aggregate represented 25% of our M&amp;A and Other Advisory revenue for the year, included Atria Senior Living Group, Clayton Dubilier &amp; Rice, IBM, Landis + Gyr, Parmalat Spa, Progress Energy, Qwest Communications International, Royalty Pharmaceuticals, Smurfit Stone Container and Weather Investments. The decrease in Capital Raising revenue in 2011 was primarily attributable to a lower level of closings by our Private Fund Advisory group.</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decline in Restructuring revenue was driven by a cyclical decline in global restructuring activity, resulting in a lower number of active assignments in 2011, as compared to the prior year, and a corresponding decrease in completion fees. Notable assignments completed in 2011 included Energy Alloys, Nortel Networks, Station Casinos and Westgate Resorts.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expenses decreased $21 million, or 2%, as compared to 2010, primarily due to a $20 million charge relating to the acceleration of amortization expense recognized in the first quarter of 2010 in connection with the vesting of share-based incentive compensation awards related to the amendment of the Company’s retirement policy. Excluding such item, operating expenses were substantially unchanged when compared to 2010. Declines in compensation and benefits expense in 2011 were offset by higher costs principally related to travel and recruiting expenses.</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Financial Advisory operating income in 2011 was $62 million, a decrease of $107 million, as compared to operating income of $169 million in 2010 (with such latter amount including the impact of the $20 million charge described above) and, as a percentage of net revenue, was 6.3% as compared to 15.1% in 2010. Excluding the impact of such charge in 2010, operating income in 2011 decreased $126 million, as compared to operating income of $188 million in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4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35,919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27,599</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32,037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Equities</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4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138,171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116,362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12,293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Fixed Income</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4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Cash Management</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167,060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141,039</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155,337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260" w:type="dxa"/>
            <w:vAlign w:val="bottom"/>
            <w:vMerge w:val="restart"/>
          </w:tcPr>
          <w:p>
            <w:pPr>
              <w:jc w:val="right"/>
              <w:ind w:right="2652"/>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Average AUM for the years ended December 31, 2012, 2011 and 2010 is set forth below. Average AUM is generally based on an average of quarterly ending balances for the respective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left="6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$ 155,549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$ 152,072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$ 137,381</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Total AUM at December 31, 2012 increased $26 billion, or 18%, as compared to total AUM of $141 billion at December 31, 2011, primarily due to market appreciation. Average AUM for the year ended December 31, 2012 was 2% higher than that for 2011. International, Global and U.S. equities represented 22%, 49% and 12% of total AUM at December 31, 2012, substantially unchanged from the respective percentages at December 31, 2011.</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Total AUM at December 31, 2011 decreased $14 billion, or 9%, as compared to total AUM of $155 billion at December 31, 2010, primarily due to market depreciation and, to a lesser extent, the negative impact of the stronger U.S. Dollar versus foreign currencies. However, average AUM for the year ended December 31, 2011 was 11% higher than that for 2010. International, Global and U.S. equities represented 20%, 49% and 14% of total AUM at December 31, 2011, substantially unchanged from the respective percentages at December 31, 2010.</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As of December 31, 2012, approximately 91% of our AUM was managed on behalf of institutional clients, including corporations, labor unions, public pension funds, insurance companies and banks, and through sub-advisory relationships, mutual fund sponsors, broker-dealers and registered advisors, and approximately 9% of our AUM was managed on behalf of individual client relationships, which are principally with family offices and individuals, with such percentages substantially unchanged from the corresponding percentages at December 31, 2011.</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2012, AUM denominated in foreign currencies represented approximately 62% of our total AUM, as compared to 61% at December 31, 2011. Foreign denominated AUM generally declines in value with the strengthening of the U.S. Dollar and increases in value as the U.S. Dollar weakens.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gridSpan w:val="2"/>
          </w:tcPr>
          <w:p>
            <w:pPr>
              <w:jc w:val="center"/>
              <w:ind w:left="364"/>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$141,039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$129,543</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tcPr>
          <w:p>
            <w:pPr>
              <w:jc w:val="right"/>
              <w:spacing w:after="0"/>
              <w:rPr>
                <w:sz w:val="20"/>
                <w:szCs w:val="20"/>
                <w:color w:val="auto"/>
              </w:rPr>
            </w:pPr>
            <w:r>
              <w:rPr>
                <w:rFonts w:ascii="Arial" w:cs="Arial" w:eastAsia="Arial" w:hAnsi="Arial"/>
                <w:sz w:val="18"/>
                <w:szCs w:val="18"/>
                <w:color w:val="auto"/>
              </w:rPr>
              <w:t>2,741</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(1,048)</w:t>
            </w:r>
          </w:p>
        </w:tc>
        <w:tc>
          <w:tcPr>
            <w:tcW w:w="660" w:type="dxa"/>
            <w:vAlign w:val="bottom"/>
          </w:tcPr>
          <w:p>
            <w:pPr>
              <w:jc w:val="right"/>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w:t>
            </w:r>
          </w:p>
        </w:tc>
        <w:tc>
          <w:tcPr>
            <w:tcW w:w="100" w:type="dxa"/>
            <w:vAlign w:val="bottom"/>
            <w:shd w:val="clear" w:color="auto" w:fill="CCEEFF"/>
          </w:tcPr>
          <w:p>
            <w:pPr>
              <w:spacing w:after="0"/>
              <w:rPr>
                <w:sz w:val="18"/>
                <w:szCs w:val="18"/>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AUM—End of Year</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141,039</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155,337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inflows of $27,343, $24,114 and $34,161 and outflows of $24,602, $25,162 and $24,815 for the years ended December 31, 2012, 2011 and 2010, respectively.</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year ended December 31, 2012, most of the inflows were attributable to International Equities and Emerging Markets Debt products, primarily due to increased investments in existing accounts, as well as new accounts. Most of the outflows in 2012 were attributable to Emerging Markets, U.S. and Global Thematic Equity products, due to withdrawals from existing accounts.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 ended December 31, 2011, most of the inflows were attributable to Global Equities and resulted from increased investments in existing accounts, as well as new accounts gained. Most of the outflows in 2011 were attributable to Global and International Equities and, to a lesser extent, International and U.S. Fixed Income products.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February 17, 2013, AUM was $172.6 billion, a $5.5 billion increase since December 31, 2012. The increase in AUM was due to market and foreign exchange appreciation of $6.0 billion, partially offset by net outflows of $0.5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421"/>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$806,044</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$818,038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$715,885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43,661</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26,245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46,555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53,118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896,260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897,401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659,502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w w:val="98"/>
              </w:rPr>
              <w:t>628,945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584,348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236,758</w:t>
            </w:r>
          </w:p>
        </w:tc>
        <w:tc>
          <w:tcPr>
            <w:tcW w:w="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268,456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265,314</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vMerge w:val="continue"/>
          </w:tcPr>
          <w:p>
            <w:pPr>
              <w:spacing w:after="0"/>
              <w:rPr>
                <w:sz w:val="18"/>
                <w:szCs w:val="18"/>
                <w:color w:val="auto"/>
              </w:rPr>
            </w:pPr>
          </w:p>
        </w:tc>
        <w:tc>
          <w:tcPr>
            <w:tcW w:w="2940" w:type="dxa"/>
            <w:vAlign w:val="bottom"/>
            <w:gridSpan w:val="3"/>
          </w:tcPr>
          <w:p>
            <w:pPr>
              <w:jc w:val="right"/>
              <w:ind w:right="80"/>
              <w:spacing w:after="0"/>
              <w:rPr>
                <w:sz w:val="20"/>
                <w:szCs w:val="20"/>
                <w:color w:val="auto"/>
              </w:rPr>
            </w:pPr>
            <w:r>
              <w:rPr>
                <w:rFonts w:ascii="Arial" w:cs="Arial" w:eastAsia="Arial" w:hAnsi="Arial"/>
                <w:sz w:val="18"/>
                <w:szCs w:val="18"/>
                <w:color w:val="auto"/>
              </w:rPr>
              <w:t>26.4%</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29.9%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2012, includes $12,789 associated with the implementation of the cost saving initiatives and, in 2010, $2,902 associated with the amendment of the Company’s retirement policy. All years include indirect support costs (including compensation and benefits expense and other operating expenses related thereto).</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23%, 22% and 22% of our total AUM at December 31, 2012, 2011 and 2010, respectively, and no individual client constituted more than 10% of our Asset Management segment net revenue during any of the respective years.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Asset Management net revenue decreased $1 million as compared to 2011. Management fees decreased $12 million, or 1%, as compared to 2011, primarily driven by a change in the product mix of average AUM, partially offset by a 2% increase in average AUM. Incentive fees increased $17 million, or 66%, as compared to 2011, primarily due to fees related to alternative investment products. Other revenue decreased $7 million, or 12%, as compared to 2011, primarily due to a decline in commissions from an unusually strong 2011.</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Operating expenses increased $31 million, or 5%, as compared to 2011, due to a fourth quarter 2012 charge aggregating $13 million related to the cost saving initiatives, as well as an increase in compensation and benefits expense (see the discussion regarding compensation and benefits expense described above under “Operating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Results—Year Ended December 31, 2012 versus December 31, 2011”) and higher occupancy costs in 2012 associated with our amended lease and build-out costs of our Rockefeller Center facility. These increases were partially offset by lower professional fees and fees for fund administration.</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Asset Management operating income in 2012 was $237 million (including the impact of the $13 million charge related to the cost saving initiatives), a decrease of $31 million, or 12%, as compared to operating income of $268 million in 2011 and, as a percentage of net revenue, was 26.4% as compared to 29.9% in 2011. Excluding the impact of such charge in 2012, operating income in 2012 was $250 million, a decrease of $18 million, or 7%, as compared to operating income of $268 million in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Asset Management net revenue in 2011 increased $48 million, or 6%, as compared to 2010. Management fees increased $102 million, or 14%, as compared to 2010, driven primarily by an 11% increase in average AUM, as well as a favorable change in the mix of average AUM into higher margin equity products. Incentive fees, consisting of traditional long-only and alternative investment strategies, decreased $60 million, or 70%, as compared to 2010, principally due to difficult market conditions. Other income increased $6 million, or 12%, as compared to 2010, primarily due to increased interest, commission and custody fee income.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Operating expenses in 2011 increased $45 million, or 8%, as compared to 2010. The principal contributors to the increase were higher fees for fund administration and outsourced services and increased business development expenses for travel and market related data due to the increased level of business activity, transactions and average AUM and higher compensation expense.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Asset Management operating income in 2011 was $268 million, an increase of $3 million, as compared to operating income of $265 million in 2010 (with such latter amount including a $3 million charge related to the acceleration of amortization expense recognized in the first quarter of 2010 in connection with the vesting of share-based incentive compensation awards related to the amendment of the Company’s retirement policy) and, as a percentage of net revenue, was 29.9%, as compared to 31.2% in 2010. Excluding the impact of the $3 million charge described above, operating income in 2011 was substantially unchanged from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(91,309)</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(92,066)</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(76,213)</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(78,140)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3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(37,220)</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(55,947)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3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(106,635)</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(187,404)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80" w:type="dxa"/>
            <w:vAlign w:val="bottom"/>
            <w:vMerge w:val="restart"/>
          </w:tcPr>
          <w:p>
            <w:pPr>
              <w:jc w:val="right"/>
              <w:ind w:right="1852"/>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2%, as compared to 2011.</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Other revenue increased $17 million, primarily due to increased net investment gains in 2012, including an increase in the gain in the value of investments held in connection with Lazard Fund Interests of $11 million, partially offset by an $18 million gain in 2011 on the repurchase of the Company’s subordinated promissory note.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expenses in 2012 (including the above-mentioned $25 million charge in the first quarter of 2012 relating to staff reductions and a fourth quarter 2012 charge aggregating $12 million related to the cost saving initiatives) increased $36 million. Excluding the impact of such charges, as well as aggregate charges of $11 million in 2011 relating to the Company’s leased facilities in the U.K. and the write-off of the capitalized costs relating to the Company’s option to acquire the fund management activities of LAI, operating expenses in 2012 increased $10 million, or 47%, as compared to 2011, primarily relating to (i) occupancy costs, as a result of our amended lease and associated build-out costs of our Rockefeller Center facility, (ii) compensation and benefits expense, including an increase in expense associated with Lazard Fund Interests and (iii) technology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$3 million, or 3%, as compared to 2010.</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revenue in 2011 increased $6 million, or 40%, and includes a pre-tax gain of $18 million related to the Company’s repurchase of its subordinated promissory note, partially offset by investment losses of $12 million.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expenses in 2011 decreased $89 million, primarily related to the net adverse impact of an aggregate $89 million of charges in 2010 regarding (i) the acceleration of amortization expense of $2 million in 2010 in connection with the vesting of share-based incentive compensation awards related to the amendment of the Company’s retirement policy and (ii) an $87 million restructuring charge in 2010. When excluding such 2010 charges, operating expenses in 2011 were essentially unchanged as compared to 2010. Increased expenses in the fourth quarter of 2011 related to the U.K. lease write-off and the write-off of the capitalized costs related to our option to acquire the fund management activities of LAI were primarily offset by decreased expenses in 2011 for compensation and lower expenses related to secondary offerings as compared to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and, in 2011, repurchases of debt.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fourth quarter of 2012, the Company (i) made cash payments, including severance payments, associated with the cost saving initiatives announced in October 2012 (see “Cost Saving Initiatives” above and Note 16 of Notes to Consolidated Financial Statements), with additional cash payments expected to be paid during the first half of 2013, (ii) distributed additional amounts to members, which Lazard Ltd utilized to pay a special dividend and accelerated the payment of its fourth quarter dividend and (iii) made certain incentive compensation payments with respect to the 2012 operating results.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403.8</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140" w:type="dxa"/>
            <w:vAlign w:val="bottom"/>
            <w:vMerge w:val="restart"/>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561.4</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(464.6)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8"/>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821.0</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9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w w:val="97"/>
              </w:rPr>
              <w:t>Amortization of deferred expenses, share based incentive compensation and interest rate hedge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360.0</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on sale of intercompany receivable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Gains on extinguishment of debt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8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including, in 2011, outflows of approximately $90 million associated with the obligation under the 2008 LAM Merger transaction and approximately $57 million in aggregate for LAM seed and private equity investments.</w:t>
      </w:r>
    </w:p>
    <w:p>
      <w:pPr>
        <w:jc w:val="both"/>
        <w:ind w:left="460" w:right="52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 awards (“RSUs”), distributions to members and noncontrolling interest holders, and activity relating to borrowings, including, in 2011, the repurchase of the Company’s 3.25% subordinated promissory note.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advances during the year on behalf of our managing directors, which serve to reduce their respective incentive compensation payments. We expect this seasonal pattern of cash flow to continue. We expect liquidity also to be impacted by cash payments, including severance payments, associated with the cost saving initiatives announced in October 2012 (see “Cost Saving Initiatives” above and Note 16 of Notes to Consolidated Financial Statements), the remaining portion of which we expect will be paid during the first half of 2013.</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December 31, 2012, Lazard Group had approximately $846 million of cash, with such amount including approximately $392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2012, Lazard had approximately $301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$92 million (at December 31, 2012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corporate indebtedness as of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20" w:type="dxa"/>
            <w:vAlign w:val="bottom"/>
          </w:tcPr>
          <w:p>
            <w:pPr>
              <w:spacing w:after="0"/>
              <w:rPr>
                <w:sz w:val="14"/>
                <w:szCs w:val="14"/>
                <w:color w:val="auto"/>
              </w:rPr>
            </w:pPr>
          </w:p>
        </w:tc>
        <w:tc>
          <w:tcPr>
            <w:tcW w:w="24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18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2012</w:t>
            </w:r>
          </w:p>
        </w:tc>
        <w:tc>
          <w:tcPr>
            <w:tcW w:w="13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 in millions)</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  528.5</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  528.5</w:t>
            </w:r>
          </w:p>
        </w:tc>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1,076.9</w:t>
            </w:r>
          </w:p>
        </w:tc>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2012, Lazard Group was in compliance with such ratios, with its Consolidated Leverage Ratio being 1.90 to 1.00 and its Consolidated Interest Coverage Ratio being 8.04 to 1.00. In any event, no amounts were outstanding under the Credit Facility as of December 31, 2012.</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and subordinated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At December 31, 2012, total members’ equity was $529 million, as compared to $718 million and $490 million at December 31, 2011 and 2010, respectively, including $453 million, $614 million and $370 million attributable to Lazard Group on the respective dates. The net activity in members’ equity during the years ended December 31, 2012 and 2011 is reflected in the table below (in millions of dollars):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2012</w:t>
            </w:r>
          </w:p>
        </w:tc>
        <w:tc>
          <w:tcPr>
            <w:tcW w:w="9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Members’ Equity—Beginning of Year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Delivery of Class A common stock in connection with business acquisitions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w w:val="97"/>
              </w:rPr>
              <w:t>Delivery of Class A common stock in connection with share-based incentive compensation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Modification of equity incentive compensation award</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Deconsolidation of investment companies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AOCI (including noncontrolling interests’ portion thereof)(*)</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Members’ Equity—End of Year</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5160"/>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respectively. During the year ended December 31, 2012 Lazard Group and subsidiaries of Lazard Ltd repurchased 12,817,196 shares of Class A common stock, at an aggregate cost of $354 million (no Lazard Group common membership interests were purchased during the year). Furthermore, in order to help offset the dilutive effect of our share-based incentive compensation plans, during a given year Lazard intends to repurchase at least as many shares as it expects to ultimately issue pursuant to such plans in respect of year-end incentive compensation attributable to the prior year</w:t>
      </w:r>
      <w:r>
        <w:rPr>
          <w:rFonts w:ascii="Arial" w:cs="Arial" w:eastAsia="Arial" w:hAnsi="Arial"/>
          <w:sz w:val="15"/>
          <w:szCs w:val="15"/>
          <w:i w:val="1"/>
          <w:iCs w:val="1"/>
          <w:color w:val="auto"/>
        </w:rPr>
        <w:t>.</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2012, after giving effect to the forward purchase agreements described in more detail in Note 14 of Notes to Consolidated Financial Statements, $154 million of the current share repurchase amount authorized as of such date remained available under the share repurchase program, all of which expires on December 31, 2014.</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Under the terms of the 2005 Plan and the 2008 Plan, upon the vesting of RSUs and delivery of restricted Class A common stock, shares of Class A common stock may be withheld by the Company to meet the minimum statutory tax withholding requirements. In that regard, during the year ended December 31, 2012, the Company withheld $45 million to satisfy its withholding tax obligations for certain employees on vested RSUs and delivery of restricted Class A common stock in lieu of issuing 1,499,943 shares of Class A common stock.</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2012, the Company had in place trading plans under Rule 10b5-1 of the Securities Exchange Act of 1934, pursuant to which it effected stock repurchases through the open market.</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 13 and 14 of Notes to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this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$ 1,340,018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$ 660,107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$ 604,693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Operating Leases (exclusive of $163,302 of sublease income) (b)</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1,058,309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74,036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148,333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136,418</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699,522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21,091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1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31,482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31,482</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$ 2,450,900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$ 184,373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$ 814,351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$ 752,654</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$ 699,522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12 of Notes to Consolidated Financial Statements.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6 of Notes to Consolidated Financial Statements. These amounts are generally due on demand and therefore are presented in the “less than 1 year” category.</w:t>
      </w:r>
    </w:p>
    <w:p>
      <w:pPr>
        <w:ind w:left="460" w:right="6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12, 14, 15 and 17 of Notes to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December 31, 2012 and 2011, the Company had receivables past due of approximately $26 million and $23 million, respectively, and its allowance for doubtful accounts was $23 million and $19 million at such respective dates.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2012, the Company recorded gross deferred tax assets of approximately $208 million, with such amount partially offset by a valuation allowance of approximately $103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17 of Notes to Consolidated Financial Statements for additional information regarding income tax matters.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w w:val="87"/>
              </w:rPr>
              <w:t>December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5"/>
              </w:rPr>
              <w:t>2012(a)</w:t>
            </w:r>
          </w:p>
        </w:tc>
        <w:tc>
          <w:tcPr>
            <w:tcW w:w="3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2011(a)</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6980" w:type="dxa"/>
            <w:vAlign w:val="bottom"/>
            <w:gridSpan w:val="2"/>
          </w:tcPr>
          <w:p>
            <w:pPr>
              <w:spacing w:after="0"/>
              <w:rPr>
                <w:sz w:val="20"/>
                <w:szCs w:val="20"/>
                <w:color w:val="auto"/>
              </w:rPr>
            </w:pPr>
            <w:r>
              <w:rPr>
                <w:rFonts w:ascii="Arial" w:cs="Arial" w:eastAsia="Arial" w:hAnsi="Arial"/>
                <w:sz w:val="18"/>
                <w:szCs w:val="18"/>
                <w:color w:val="auto"/>
                <w:w w:val="92"/>
              </w:rPr>
              <w:t>Equity securities (net of $3 and $4 of securities sold, not yet purchased, at December 31, 2012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and 2011, respectively) (c)</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32"/>
              <w:spacing w:after="0"/>
              <w:rPr>
                <w:sz w:val="20"/>
                <w:szCs w:val="20"/>
                <w:color w:val="auto"/>
              </w:rPr>
            </w:pPr>
            <w:r>
              <w:rPr>
                <w:rFonts w:ascii="Arial" w:cs="Arial" w:eastAsia="Arial" w:hAnsi="Arial"/>
                <w:sz w:val="18"/>
                <w:szCs w:val="18"/>
                <w:color w:val="auto"/>
              </w:rPr>
              <w:t>42</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460" w:type="dxa"/>
            <w:vAlign w:val="bottom"/>
            <w:gridSpan w:val="3"/>
          </w:tcPr>
          <w:p>
            <w:pPr>
              <w:jc w:val="right"/>
              <w:ind w:right="632"/>
              <w:spacing w:after="0"/>
              <w:rPr>
                <w:sz w:val="20"/>
                <w:szCs w:val="20"/>
                <w:color w:val="auto"/>
              </w:rPr>
            </w:pPr>
            <w:r>
              <w:rPr>
                <w:rFonts w:ascii="Arial" w:cs="Arial" w:eastAsia="Arial" w:hAnsi="Arial"/>
                <w:sz w:val="18"/>
                <w:szCs w:val="18"/>
                <w:color w:val="auto"/>
              </w:rPr>
              <w:t>40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60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32"/>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460" w:type="dxa"/>
            <w:vAlign w:val="bottom"/>
            <w:gridSpan w:val="3"/>
          </w:tcPr>
          <w:p>
            <w:pPr>
              <w:jc w:val="right"/>
              <w:ind w:right="632"/>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89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32"/>
              <w:spacing w:after="0"/>
              <w:rPr>
                <w:sz w:val="20"/>
                <w:szCs w:val="20"/>
                <w:color w:val="auto"/>
              </w:rPr>
            </w:pPr>
            <w:r>
              <w:rPr>
                <w:rFonts w:ascii="Arial" w:cs="Arial" w:eastAsia="Arial" w:hAnsi="Arial"/>
                <w:sz w:val="18"/>
                <w:szCs w:val="18"/>
                <w:color w:val="auto"/>
              </w:rPr>
              <w:t>101</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1460" w:type="dxa"/>
            <w:vAlign w:val="bottom"/>
            <w:gridSpan w:val="3"/>
          </w:tcPr>
          <w:p>
            <w:pPr>
              <w:jc w:val="right"/>
              <w:ind w:right="632"/>
              <w:spacing w:after="0"/>
              <w:rPr>
                <w:sz w:val="20"/>
                <w:szCs w:val="20"/>
                <w:color w:val="auto"/>
              </w:rPr>
            </w:pPr>
            <w:r>
              <w:rPr>
                <w:rFonts w:ascii="Arial" w:cs="Arial" w:eastAsia="Arial" w:hAnsi="Arial"/>
                <w:sz w:val="18"/>
                <w:szCs w:val="18"/>
                <w:color w:val="auto"/>
              </w:rPr>
              <w:t>104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30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32"/>
              <w:spacing w:after="0"/>
              <w:rPr>
                <w:sz w:val="20"/>
                <w:szCs w:val="20"/>
                <w:color w:val="auto"/>
              </w:rPr>
            </w:pPr>
            <w:r>
              <w:rPr>
                <w:rFonts w:ascii="Arial" w:cs="Arial" w:eastAsia="Arial" w:hAnsi="Arial"/>
                <w:sz w:val="18"/>
                <w:szCs w:val="18"/>
                <w:color w:val="auto"/>
              </w:rPr>
              <w:t>400</w:t>
            </w: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100%</w:t>
            </w:r>
          </w:p>
        </w:tc>
        <w:tc>
          <w:tcPr>
            <w:tcW w:w="1460" w:type="dxa"/>
            <w:vAlign w:val="bottom"/>
            <w:gridSpan w:val="3"/>
          </w:tcPr>
          <w:p>
            <w:pPr>
              <w:jc w:val="right"/>
              <w:ind w:right="632"/>
              <w:spacing w:after="0"/>
              <w:rPr>
                <w:sz w:val="20"/>
                <w:szCs w:val="20"/>
                <w:color w:val="auto"/>
              </w:rPr>
            </w:pPr>
            <w:r>
              <w:rPr>
                <w:rFonts w:ascii="Arial" w:cs="Arial" w:eastAsia="Arial" w:hAnsi="Arial"/>
                <w:sz w:val="18"/>
                <w:szCs w:val="18"/>
                <w:color w:val="auto"/>
              </w:rPr>
              <w:t>$351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right"/>
              <w:ind w:right="472"/>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5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$101 million and $27 million at December 31, 2012 and 2011,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 December 31, 2012 and 2011, investments in marketable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380" w:type="dxa"/>
            <w:vAlign w:val="bottom"/>
            <w:gridSpan w:val="2"/>
          </w:tcPr>
          <w:p>
            <w:pPr>
              <w:jc w:val="right"/>
              <w:ind w:right="772"/>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private equity fund targeting significant noncontrolling investments in established public and private companies; (iii) Edgewater Growth Capital Partners III, L.P. a private equity fund primarily making growth equity and buyout investments in high-quality, lower middle market companies (iv) COF 2, a Lazard-managed Australian private equity fund targeting Australasian mid-market investments and (v) at December 31, 2011, Lazard Senior Housing Partners LP, which targets controlling interests in companies and assets in senior housing, extended stay and shopping center sectors.</w:t>
      </w:r>
    </w:p>
    <w:p>
      <w:pPr>
        <w:spacing w:after="0" w:line="66"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December 31, 2012 and 2011, $116 million and $133 million, respectively, of our total investments at a fair value of $400 million and $351 million, respectively, or 29% and 38%, respectively, were classified as Level 3 assets. Substantially all of our Level 3 investments at both dates are priced based on a NAV or its equivalent. During the years ended December 31, 2012 and 2011, gains of approximately $16 million and losses of $3 million, respectively, were recognized in “revenue-other” on the consolidated statement of operations pertaining to Level 3 investments.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Item 1A, “Risk Factors—Other Business Risks—Our results of operations may be affected by fluctuations in the fair value of positions held in our investment portfolios”.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or a variable interest entity (“VIE”) under U.S. GAAP.</w:t>
      </w:r>
    </w:p>
    <w:p>
      <w:pPr>
        <w:spacing w:after="0" w:line="4" w:lineRule="exact"/>
        <w:rPr>
          <w:sz w:val="20"/>
          <w:szCs w:val="20"/>
          <w:color w:val="auto"/>
        </w:rPr>
      </w:pPr>
    </w:p>
    <w:p>
      <w:pPr>
        <w:ind w:left="1480" w:hanging="446"/>
        <w:spacing w:after="0" w:line="256"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December 31, 2012, total receivables amounted to $583 million, net of an allowance for doubtful accounts of $23 million. As of that date, Financial Advisory and Asset Management fees, and customer and related party receivables comprised 69%, 9% and 22% of total receivables, respectively. At December 31, 2011, total receivables amounted to $691 million, net of an allowance for doubtful accounts of $19 million. As of that date, Financial Advisory and Asset Management fees, and customer and related party receivables comprised 58%, 12% and 30% of total receivables, respectively. At December 31, 2012 and 2011, the Company had receivables past due of approximately $26 million and $23 million, respectively. See also “Critical Accounting Policies and Estimates—Revenue Recognition” above and Note 4 of Notes to Consolidated Financial Statements for additional information regarding receivables.</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2012 and 2011, customer receivables included $14 million and $29 million of LFB loans, respectively. Such loans are closely monitored for counterparty creditworthiness to help minimize exposure. In addition, as of December 31, 2012, LFB had commitments to lend totaling $23 million, which are fully collateralized and generally contain requirements for the counterparty to maintain a minimum collateral level.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December 31, 2012, excluding inter-bank counterparties, LFB had no exposure to an individual counterparty that exceeded $23 million, with such amount being fully collateralized. With respect to activities outside LFB, as of December 31, 2012 the Company’s largest individual counterparty exposure was a Financial Advisory fee receivable of $17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$1 million and $7 million at December 31, 2012 and 2011, respectively, and derivative liabilities, excluding the derivative liability arising from the Company’s obligation pertaining to Lazard Fund Interests and other similar deferred compensation arrangements, amounted to $5 million and $1 million at such respective dates.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$98 million and $30 million at December 31, 2012 and 2011, respectively.</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December 31, 2012, the impact of potential significant movements in either the currency or interest rate markets on LFB’s positions would not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December 31, 2012, Lazard estimates that its annual operating income relating to cash and short-term investments and corporate indebtedness would increase by approximately $9 million in the event interest rates were to increase by 1% and decrease by approximately $1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2012, the Company’s cash and cash equivalents totaled approximately $846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8"/>
          </w:tcPr>
          <w:p>
            <w:pPr>
              <w:spacing w:after="0" w:line="136" w:lineRule="exact"/>
              <w:rPr>
                <w:rFonts w:ascii="Arial" w:cs="Arial" w:eastAsia="Arial" w:hAnsi="Arial"/>
                <w:sz w:val="15"/>
                <w:szCs w:val="15"/>
                <w:color w:val="0000EE"/>
              </w:rPr>
            </w:pPr>
            <w:hyperlink w:anchor="page70">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Reports of Independent Registered Public Accounting Firm</w:t>
              </w:r>
            </w:hyperlink>
          </w:p>
        </w:tc>
        <w:tc>
          <w:tcPr>
            <w:tcW w:w="556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69-70</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Financial Condition as of December 31,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Consolidated Statements of Operations for the years ended December 31, 2012, 2011 and 2010</w:t>
              </w:r>
            </w:hyperlink>
          </w:p>
        </w:tc>
        <w:tc>
          <w:tcPr>
            <w:tcW w:w="3700" w:type="dxa"/>
            <w:vAlign w:val="bottom"/>
            <w:gridSpan w:val="6"/>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Comprehensive Income for the years ended December 31, 2012,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2012, 2011 and 2010</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304"/>
        </w:trPr>
        <w:tc>
          <w:tcPr>
            <w:tcW w:w="440" w:type="dxa"/>
            <w:vAlign w:val="bottom"/>
          </w:tcPr>
          <w:p>
            <w:pPr>
              <w:spacing w:after="0"/>
              <w:rPr>
                <w:sz w:val="24"/>
                <w:szCs w:val="24"/>
                <w:color w:val="auto"/>
              </w:rPr>
            </w:pPr>
          </w:p>
        </w:tc>
        <w:tc>
          <w:tcPr>
            <w:tcW w:w="80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Changes in Members’ Equity for the years ended December 31, 2012, 2011 and 2010</w:t>
              </w:r>
            </w:hyperlink>
          </w:p>
        </w:tc>
        <w:tc>
          <w:tcPr>
            <w:tcW w:w="23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Notes to Consolidated Financial Statements</w:t>
              </w:r>
            </w:hyperlink>
          </w:p>
        </w:tc>
        <w:tc>
          <w:tcPr>
            <w:tcW w:w="7300" w:type="dxa"/>
            <w:vAlign w:val="bottom"/>
            <w:gridSpan w:val="1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64"/>
        </w:trPr>
        <w:tc>
          <w:tcPr>
            <w:tcW w:w="10820" w:type="dxa"/>
            <w:vAlign w:val="bottom"/>
            <w:gridSpan w:val="19"/>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5"/>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302"/>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Condensed Statements of Financial Condition as of December 31, 2012 and 2011</w:t>
              </w:r>
            </w:hyperlink>
          </w:p>
        </w:tc>
        <w:tc>
          <w:tcPr>
            <w:tcW w:w="4660" w:type="dxa"/>
            <w:vAlign w:val="bottom"/>
            <w:gridSpan w:val="10"/>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64">
              <w:r>
                <w:rPr>
                  <w:rFonts w:ascii="Arial" w:cs="Arial" w:eastAsia="Arial" w:hAnsi="Arial"/>
                  <w:sz w:val="18"/>
                  <w:szCs w:val="18"/>
                  <w:color w:val="0000EE"/>
                  <w:w w:val="86"/>
                </w:rPr>
                <w:t>Condensed Statements of Operations for the years ended December 31, 2012, 2011 and 2010</w:t>
              </w:r>
            </w:hyperlink>
          </w:p>
        </w:tc>
        <w:tc>
          <w:tcPr>
            <w:tcW w:w="3840" w:type="dxa"/>
            <w:vAlign w:val="bottom"/>
            <w:gridSpan w:val="8"/>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Condensed Statements of Comprehensive Income for the years ended December 31, 2012, 2011 and 2010</w:t>
              </w:r>
            </w:hyperlink>
          </w:p>
        </w:tc>
        <w:tc>
          <w:tcPr>
            <w:tcW w:w="2940" w:type="dxa"/>
            <w:vAlign w:val="bottom"/>
            <w:gridSpan w:val="4"/>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Condensed Statements of Cash Flows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Condensed Statements of Changes in Members’ Equity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04"/>
        </w:trPr>
        <w:tc>
          <w:tcPr>
            <w:tcW w:w="440" w:type="dxa"/>
            <w:vAlign w:val="bottom"/>
          </w:tcPr>
          <w:p>
            <w:pPr>
              <w:spacing w:after="0"/>
              <w:rPr>
                <w:sz w:val="24"/>
                <w:szCs w:val="24"/>
                <w:color w:val="auto"/>
              </w:rPr>
            </w:pPr>
          </w:p>
        </w:tc>
        <w:tc>
          <w:tcPr>
            <w:tcW w:w="7860" w:type="dxa"/>
            <w:vAlign w:val="bottom"/>
            <w:tcBorders>
              <w:top w:val="single" w:sz="8" w:color="0000EE"/>
            </w:tcBorders>
            <w:gridSpan w:val="16"/>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Notes to Condensed Financial Statements</w:t>
              </w:r>
            </w:hyperlink>
          </w:p>
        </w:tc>
        <w:tc>
          <w:tcPr>
            <w:tcW w:w="2520" w:type="dxa"/>
            <w:vAlign w:val="bottom"/>
            <w:gridSpan w:val="2"/>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F-9</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2012.</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2012,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spacing w:after="0" w:line="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2012 of the Company, and our report dated February 28, 2013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Group LLC and subsidiaries (the “Company”) as of December 31, 2012 and 2011, and the related consolidated statements of operations, comprehensive income, cash flows, and changes in members’ equity for each of the three years in the period ended December 31, 2012.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Group LLC and subsidiaries at December 31, 2012 and 2011, and the results of their operations and their cash flows for each of the three years in the period ended December 31, 2012,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28, 2013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845,503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65,232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75,506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0"/>
              </w:rPr>
              <w:t>Receivables (net of allowance for doubtful accounts of $23,017 and $19,450 at December 31, 2012 and 2011, respectively):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400,529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582,630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402,514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355,510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$225,861 and $266,673 at December 31, 2012 and 2011,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225,032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168,429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$35,281 and $26,922 at December 31, 2012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392,822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3,048,380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3,037,453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269,763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209,072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2,519,293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2,319,186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0"/>
              </w:rPr>
              <w:t>Members’ equity (net of 10,230,729 and 2,174,573 shares of Lazard Ltd Class A common stock, at a cost of $295,442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and $72,410 at December 31, 2012 and 2011, 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545,572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3,048,380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3,037,453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1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2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1,039,188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$1,105,168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858,834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859,996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84,077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75,394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1,999,489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1,927,772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91,359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94,211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102,249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1,908,130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1,833,561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1,904,505</w:t>
            </w: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1,351,076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113,136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95,573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86,892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83,212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51,389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52,793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1,786,537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1,591,770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1,657,696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30,622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27,408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201,424</w:t>
            </w:r>
          </w:p>
        </w:tc>
        <w:tc>
          <w:tcPr>
            <w:tcW w:w="0" w:type="dxa"/>
            <w:vAlign w:val="bottom"/>
          </w:tcPr>
          <w:p>
            <w:pPr>
              <w:spacing w:after="0"/>
              <w:rPr>
                <w:sz w:val="1"/>
                <w:szCs w:val="1"/>
                <w:color w:val="auto"/>
              </w:rPr>
            </w:pPr>
          </w:p>
        </w:tc>
      </w:tr>
      <w:tr>
        <w:trPr>
          <w:trHeight w:val="310"/>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00" w:type="dxa"/>
            <w:vAlign w:val="bottom"/>
          </w:tcPr>
          <w:p>
            <w:pPr>
              <w:ind w:left="420"/>
              <w:spacing w:after="0"/>
              <w:rPr>
                <w:sz w:val="20"/>
                <w:szCs w:val="20"/>
                <w:color w:val="auto"/>
              </w:rPr>
            </w:pPr>
            <w:r>
              <w:rPr>
                <w:rFonts w:ascii="Arial" w:cs="Arial" w:eastAsia="Arial" w:hAnsi="Arial"/>
                <w:sz w:val="18"/>
                <w:szCs w:val="18"/>
                <w:b w:val="1"/>
                <w:bCs w:val="1"/>
                <w:color w:val="auto"/>
              </w:rPr>
              <w:t>NONCONTROLLING INTERESTS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87,609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7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214,383</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21,699</w:t>
            </w: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(9,476)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(9,456)</w:t>
            </w: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4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Unrealized gain (net of tax expense of $1,645)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for items reclassified to earnings (net of tax expense of $4,989)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Actuarial gain (loss) (net of tax expense (benefit) of $(12,950), $(12,526) and $6,555 for the years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ended December 31, 2012, 2011 and 2010, respectively)</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(40,298)</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(38,248)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r>
      <w:tr>
        <w:trPr>
          <w:trHeight w:val="208"/>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w w:val="95"/>
              </w:rPr>
              <w:t>Adjustments for items reclassified to earnings (net of tax expense of $1,145, $1,031 and $975 for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the years ended December 31, 2012, 2011 and 2010, respectively)</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(13,145)</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(44,464)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23,821</w:t>
            </w:r>
          </w:p>
        </w:tc>
      </w:tr>
      <w:tr>
        <w:trPr>
          <w:trHeight w:val="22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169,919</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225,245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6,932</w:t>
            </w:r>
          </w:p>
        </w:tc>
      </w:tr>
      <w:tr>
        <w:trPr>
          <w:trHeight w:val="209"/>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w:t>
            </w: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b w:val="1"/>
                <w:bCs w:val="1"/>
                <w:color w:val="auto"/>
              </w:rPr>
              <w:t>LAZARD GROUP LLC</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$ 74,468</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166,476</w:t>
            </w:r>
          </w:p>
        </w:tc>
        <w:tc>
          <w:tcPr>
            <w:tcW w:w="4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218,313</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90,971</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214,383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 (loss):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30,855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24,580</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359,983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299,654</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315,617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8,359</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11,915</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8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(1,127)</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(9,431)</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 losses (including other-than-temporary impairment losses)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Loss on sale of intercompany receivable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5,638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(Gains) loss on extinguishment of debt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(18,171)</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(806)</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63,639</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(221,072)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11,613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16,408</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112,809</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52,956</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(199,048)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95"/>
              </w:rPr>
              <w:t>(37,941)</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25,282</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5"/>
              </w:rPr>
              <w:t>(60,973)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(70,214)</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5"/>
              </w:rPr>
              <w:t>(30,927)</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(62,399)</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72,992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(159,584)</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561,446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389,018</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Distributions relating to equity method investments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8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95"/>
              </w:rPr>
              <w:t>(89,300)</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(46,438)</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1,161</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held-to-maturity securities</w:t>
            </w:r>
          </w:p>
        </w:tc>
        <w:tc>
          <w:tcPr>
            <w:tcW w:w="80" w:type="dxa"/>
            <w:vAlign w:val="bottom"/>
          </w:tcPr>
          <w:p>
            <w:pPr>
              <w:spacing w:after="0"/>
              <w:rPr>
                <w:sz w:val="12"/>
                <w:szCs w:val="12"/>
                <w:color w:val="auto"/>
              </w:rPr>
            </w:pPr>
          </w:p>
        </w:tc>
        <w:tc>
          <w:tcPr>
            <w:tcW w:w="90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132,209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241,029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w w:val="95"/>
              </w:rPr>
              <w:t>(84,932)</w:t>
            </w:r>
          </w:p>
        </w:tc>
        <w:tc>
          <w:tcPr>
            <w:tcW w:w="60" w:type="dxa"/>
            <w:vAlign w:val="bottom"/>
          </w:tcPr>
          <w:p>
            <w:pPr>
              <w:spacing w:after="0"/>
              <w:rPr>
                <w:sz w:val="14"/>
                <w:szCs w:val="14"/>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(45,277)</w:t>
            </w:r>
          </w:p>
        </w:tc>
        <w:tc>
          <w:tcPr>
            <w:tcW w:w="26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411,725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13,328</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80" w:type="dxa"/>
            <w:vAlign w:val="bottom"/>
          </w:tcPr>
          <w:p>
            <w:pPr>
              <w:spacing w:after="0"/>
              <w:rPr>
                <w:sz w:val="12"/>
                <w:szCs w:val="12"/>
                <w:color w:val="auto"/>
              </w:rPr>
            </w:pPr>
          </w:p>
        </w:tc>
        <w:tc>
          <w:tcPr>
            <w:tcW w:w="90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1,386</w:t>
            </w:r>
          </w:p>
        </w:tc>
        <w:tc>
          <w:tcPr>
            <w:tcW w:w="2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Sale of intercompany receivable</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81,105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tcPr>
          <w:p>
            <w:pPr>
              <w:spacing w:after="0"/>
              <w:rPr>
                <w:sz w:val="12"/>
                <w:szCs w:val="12"/>
                <w:color w:val="auto"/>
              </w:rPr>
            </w:pPr>
          </w:p>
        </w:tc>
        <w:tc>
          <w:tcPr>
            <w:tcW w:w="90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Senior and subordinated debt</w:t>
            </w:r>
          </w:p>
        </w:tc>
        <w:tc>
          <w:tcPr>
            <w:tcW w:w="80" w:type="dxa"/>
            <w:vAlign w:val="bottom"/>
          </w:tcPr>
          <w:p>
            <w:pPr>
              <w:spacing w:after="0"/>
              <w:rPr>
                <w:sz w:val="12"/>
                <w:szCs w:val="12"/>
                <w:color w:val="auto"/>
              </w:rPr>
            </w:pPr>
          </w:p>
        </w:tc>
        <w:tc>
          <w:tcPr>
            <w:tcW w:w="90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(131,829)</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(2,519)</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(2,322)</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95"/>
              </w:rPr>
              <w:t>(22,507)</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(28,642)</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(794)</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8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83"/>
              </w:rPr>
              <w:t>(332,095)</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(172,864)</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(149,981)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members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83"/>
              </w:rPr>
              <w:t>(140,278)</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(92,454)</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(122,000)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8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95"/>
              </w:rPr>
              <w:t>(44,883)</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(93,750)</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(5,203)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(33,538)</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w w:val="83"/>
              </w:rPr>
              <w:t>(464,639)</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(541,479)</w:t>
            </w:r>
          </w:p>
        </w:tc>
        <w:tc>
          <w:tcPr>
            <w:tcW w:w="26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(330,022)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(6,070)</w:t>
            </w:r>
          </w:p>
        </w:tc>
        <w:tc>
          <w:tcPr>
            <w:tcW w:w="2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(10,271)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24,519</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(203,808)</w:t>
            </w:r>
          </w:p>
        </w:tc>
        <w:tc>
          <w:tcPr>
            <w:tcW w:w="2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125,059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820,984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3"/>
              </w:rPr>
              <w:t>1,024,792</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899,733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EQUIVALENTS-December 31</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845,503</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820,984</w:t>
            </w:r>
          </w:p>
        </w:tc>
        <w:tc>
          <w:tcPr>
            <w:tcW w:w="2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1,024,792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88,235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92,702</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420"/>
              <w:spacing w:after="0"/>
              <w:rPr>
                <w:sz w:val="20"/>
                <w:szCs w:val="20"/>
                <w:color w:val="auto"/>
              </w:rPr>
            </w:pPr>
            <w:r>
              <w:rPr>
                <w:rFonts w:ascii="Arial" w:cs="Arial" w:eastAsia="Arial" w:hAnsi="Arial"/>
                <w:sz w:val="14"/>
                <w:szCs w:val="14"/>
                <w:color w:val="auto"/>
              </w:rPr>
              <w:t>Income taxes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34,387</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54,511</w:t>
            </w:r>
          </w:p>
        </w:tc>
        <w:tc>
          <w:tcPr>
            <w:tcW w:w="2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66,732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7"/>
              </w:rPr>
              <w:t>Members’</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Members’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2010</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$ 214,163</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127,560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$ 282,931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194,544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194,544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Other comprehensive income (loss)-net of tax:</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rPr>
              <w:t>Net unrealized gain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3,129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Adjustments for items reclassified to</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earnings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9,501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Employee benefit plans: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actuarial gain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17,841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rPr>
              <w:t>Adjustments for items reclassified to</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Pr>
          <w:p>
            <w:pPr>
              <w:ind w:left="150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218,313</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305,303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305,303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305,303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(122,000)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(149,981)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(149,981)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(149,981)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Delivery of Lazard Ltd Class A common stock in connection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share-based incentive compensation</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(57,576)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(57,576)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(57,576)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Repurchase of common membership interests from LAZ-MD</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Holdings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(7,248)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Common membership interests issued</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20,804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20,804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20,804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Lazard Ltd Class A common stock issued / issuable</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(including related amortization)</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6,701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6,701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$ 404,588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(35,023)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369,565</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$ 490,447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7"/>
              </w:rPr>
              <w:t>Members’</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Members’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2011</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$ 404,588</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$ 490,447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210,705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210,705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(38,248)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(38,248)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Adjustments for items reclassified to</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earnings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166,476</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275,142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275,142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(92,454)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(92,454)</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(20,402)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(172,864)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(172,864)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Delivery of Lazard Ltd Class A common stock in connection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w w:val="96"/>
              </w:rPr>
              <w:t>with share-based incentive compensation and related tax</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benefit of $972</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(92,778)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(92,778)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5"/>
              </w:rPr>
              <w:t>Repurchase of common membership interests from LAZ-MD</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Delivery of Lazard Ltd Class A common stock</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103,567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103,567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Common membership interests issued</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53,486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53,486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Lazard Ltd Class A common stock issuable (including</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related amortization)</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5,201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$ 693,596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(79,252)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614,344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103,923</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$ 718,267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right="478"/>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618"/>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center"/>
              <w:ind w:right="49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Non</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Members’</w:t>
            </w:r>
          </w:p>
        </w:tc>
        <w:tc>
          <w:tcPr>
            <w:tcW w:w="260" w:type="dxa"/>
            <w:vAlign w:val="bottom"/>
          </w:tcPr>
          <w:p>
            <w:pPr>
              <w:spacing w:after="0"/>
              <w:rPr>
                <w:sz w:val="12"/>
                <w:szCs w:val="12"/>
                <w:color w:val="auto"/>
              </w:rPr>
            </w:pPr>
          </w:p>
        </w:tc>
        <w:tc>
          <w:tcPr>
            <w:tcW w:w="1480" w:type="dxa"/>
            <w:vAlign w:val="bottom"/>
            <w:gridSpan w:val="3"/>
          </w:tcPr>
          <w:p>
            <w:pPr>
              <w:jc w:val="center"/>
              <w:ind w:right="478"/>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26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98"/>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2012</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$ 693,596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(79,252</w:t>
            </w:r>
          </w:p>
        </w:tc>
        <w:tc>
          <w:tcPr>
            <w:tcW w:w="58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614,344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103,923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87,609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38"/>
              <w:spacing w:after="0"/>
              <w:rPr>
                <w:sz w:val="20"/>
                <w:szCs w:val="20"/>
                <w:color w:val="auto"/>
              </w:rPr>
            </w:pPr>
            <w:r>
              <w:rPr>
                <w:rFonts w:ascii="Arial" w:cs="Arial" w:eastAsia="Arial" w:hAnsi="Arial"/>
                <w:sz w:val="18"/>
                <w:szCs w:val="18"/>
                <w:color w:val="auto"/>
              </w:rPr>
              <w:t>(40,298)</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(40,298)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6"/>
              </w:rPr>
              <w:t>Adjustments for items reclassified to earnings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4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74,468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3,358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77,826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310,348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(140,278)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(140,278)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(20,766)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investment companies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(10,607)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(332,095)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(332,095)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(332,095)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 connection</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share-based incentive compensation and related tax</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of $972</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(45,855)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(45,855)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Modification of equity incentive compensation award</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(26,922)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(26,922)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Delivery of Lazard Ltd Class A common stock</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Lazard Ltd Class A common stock issuable (including</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related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(5,195)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(5,195)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2012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$ 545,572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(92,393)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453,179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75,908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$ 529,087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38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127,350,561, 129,766,090 and 129,766,090 common membership interests at December 31, 2010, 2011 and 2012, respectively. Also includes profit participation interests and two managing member interests at each such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6920" w:firstLine="8"/>
        <w:spacing w:after="0" w:line="344" w:lineRule="auto"/>
        <w:tabs>
          <w:tab w:leader="none" w:pos="446"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indirectly held approximately 98.8% and 94.8% of all outstanding Lazard Group common membership interests as of December 31, 2012 and 2011, respectively. Lazard Ltd, through its control of the managing members of Lazard Group, controls Lazard Group. LAZ-MD Holdings LLC (“LAZ-MD Holdings”), an entity owned by Lazard Group’s current and former managing directors, held approximately 1.2% and 5.2% of the outstanding Lazard Group common membership interests as of December 31, 2012 and 2011, respectively. Additionally, LAZ-MD Holdings was the sole owner of the one issued and outstanding share of Lazard Ltd’s Class B common stock (the “Class B common stock”) which provided LAZ-MD Holdings with approximately 1.2% and 5.2% of the voting power but no economic rights in Lazard Ltd as of December 31, 2012 and 2011,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4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3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00"/>
          </w:cols>
          <w:pgMar w:left="24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26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$(673), $1,387 and $(1,606), respectively, for the years ended December 31, 2012, 2011 and 2010, and are included in “revenue-other” on the respective consolidated statements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90" w:lineRule="exact"/>
        <w:rPr>
          <w:sz w:val="20"/>
          <w:szCs w:val="20"/>
          <w:color w:val="auto"/>
        </w:rPr>
      </w:pPr>
    </w:p>
    <w:p>
      <w:pPr>
        <w:ind w:left="900" w:right="6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share-based and other deferred compensation plan forfeitures,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65"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i w:val="1"/>
          <w:iCs w:val="1"/>
          <w:color w:val="auto"/>
        </w:rPr>
        <w:t>Investments</w:t>
      </w:r>
      <w:r>
        <w:rPr>
          <w:rFonts w:ascii="Arial" w:cs="Arial" w:eastAsia="Arial" w:hAnsi="Arial"/>
          <w:sz w:val="16"/>
          <w:szCs w:val="16"/>
          <w:b w:val="1"/>
          <w:bCs w:val="1"/>
          <w:color w:val="auto"/>
        </w:rPr>
        <w:t>—</w:t>
      </w:r>
      <w:r>
        <w:rPr>
          <w:rFonts w:ascii="Arial" w:cs="Arial" w:eastAsia="Arial" w:hAnsi="Arial"/>
          <w:sz w:val="16"/>
          <w:szCs w:val="16"/>
          <w:color w:val="auto"/>
        </w:rPr>
        <w:t>Investments in debt and marketable equity securities held either directly, or indirectly through asset management funds, at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0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Investments in debt and marketable equity securities held at the Company’s non broker-dealer subsidiaries may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the gains and losses are realized and reclassified to earnings. Investments in debt securities considered “held-to-maturity” securities are accounted for at amortized cost. Declines in the fair value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“available-for-sale” and “held-to-maturity” securities that are determined to be other-than-temporary are charged to earnings, which, for periods beginning after April 1, 2009, may only include the credit loss component of such declines. At December 31, 2010 and subsequent thereto, the Company had no “available-for-sale” or “held-to-maturity” debt or marketable equity securities.</w:t>
      </w:r>
    </w:p>
    <w:p>
      <w:pPr>
        <w:spacing w:after="0" w:line="14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$30,855, $24,580 and $22,712 for the years ended December 31, 2012, 2011 and 2010,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b w:val="1"/>
          <w:bCs w:val="1"/>
          <w:i w:val="1"/>
          <w:iCs w:val="1"/>
          <w:color w:val="auto"/>
        </w:rPr>
        <w:t>Goodwill and Other Intangible Assets—</w:t>
      </w:r>
      <w:r>
        <w:rPr>
          <w:rFonts w:ascii="Arial" w:cs="Arial" w:eastAsia="Arial" w:hAnsi="Arial"/>
          <w:sz w:val="18"/>
          <w:szCs w:val="18"/>
          <w:color w:val="auto"/>
        </w:rPr>
        <w:t>As goodwill has an indefinite life, it is required to be tested for impairment annually or more frequently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impairment may have occurred. For years prior to 2011, the Company assessed whether any goodwill recorded by its applicable reporting units was impaired by comparing the fair value of each reporting unit with its respective carrying amount. In this process, Lazard used its best judgment and information available to it at the time to perform this review and utilized various valuation techniques in order to determine the applicable fair values. Commencing in 2011, as permitted under an amendment issued by the Financial Accounting Standards Board (the “FASB”), the Company elected to perform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Consolidated Financial Statements with respect to goodwill and other intangible assets.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contracts not designated as hedging instruments are included in “interest income” and “interest expense”, respectively, or “revenue-other”, depending on the nature of the underlying item, in the consolidated statements of operations.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above, the Company recognized derivative liabilities relating to its obligations pertaining to Lazard Fund Interests awards (“Lazard Fund Interests”) and other similar deferred compensation arrangements, the fair value of which is based on the value of the underlying investments, as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and other similar deferred compensation arrangements, and are reported in “revenue-other” in the consolidated statements of operations. For information regarding Lazard Fund Interests and other similar deferred compensation arrangements, see Notes 5, 7 and 14 of Notes to Consolidated Financial Statements.</w:t>
      </w:r>
    </w:p>
    <w:p>
      <w:pPr>
        <w:spacing w:after="0" w:line="112" w:lineRule="exact"/>
        <w:rPr>
          <w:sz w:val="20"/>
          <w:szCs w:val="20"/>
          <w:color w:val="auto"/>
        </w:rPr>
      </w:pPr>
    </w:p>
    <w:p>
      <w:pPr>
        <w:jc w:val="both"/>
        <w:ind w:right="220" w:firstLine="456"/>
        <w:spacing w:after="0" w:line="339" w:lineRule="auto"/>
        <w:rPr>
          <w:sz w:val="20"/>
          <w:szCs w:val="20"/>
          <w:color w:val="auto"/>
        </w:rPr>
      </w:pPr>
      <w:r>
        <w:rPr>
          <w:rFonts w:ascii="Arial" w:cs="Arial" w:eastAsia="Arial" w:hAnsi="Arial"/>
          <w:sz w:val="15"/>
          <w:szCs w:val="15"/>
          <w:b w:val="1"/>
          <w:bCs w:val="1"/>
          <w:i w:val="1"/>
          <w:iCs w:val="1"/>
          <w:color w:val="auto"/>
        </w:rPr>
        <w:t>Deposits and Other Customer Payables</w:t>
      </w:r>
      <w:r>
        <w:rPr>
          <w:rFonts w:ascii="Arial" w:cs="Arial" w:eastAsia="Arial" w:hAnsi="Arial"/>
          <w:sz w:val="15"/>
          <w:szCs w:val="15"/>
          <w:b w:val="1"/>
          <w:bCs w:val="1"/>
          <w:color w:val="auto"/>
        </w:rPr>
        <w:t>—</w:t>
      </w:r>
      <w:r>
        <w:rPr>
          <w:rFonts w:ascii="Arial" w:cs="Arial" w:eastAsia="Arial" w:hAnsi="Arial"/>
          <w:sz w:val="15"/>
          <w:szCs w:val="15"/>
          <w:color w:val="auto"/>
        </w:rPr>
        <w:t>Principally relates to LFB customer-related demand and time deposits, both interest-bearing and non-interest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bearing, short-term inter-bank borrowings and amounts due on short-term collateralized borrowing activities. Collateralized borrowing activities amounted to $13,854 and $8,928 at December 31, 2012 and 2011, respectively, and were fully collateralized with pledged assets of equal or greater value at each such date.</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deposits with banks,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Other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2012, 2011 and 2010 are $24,762, $18,942 and $20,216, respectively.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Revenue is 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Equity-Based Incentive Compensation Awards—</w:t>
      </w:r>
      <w:r>
        <w:rPr>
          <w:rFonts w:ascii="Arial" w:cs="Arial" w:eastAsia="Arial" w:hAnsi="Arial"/>
          <w:sz w:val="18"/>
          <w:szCs w:val="18"/>
          <w:color w:val="auto"/>
        </w:rPr>
        <w:t>Equity-based incentive compensation awards that do not require future service are expensed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Equity-based compensation awards that require future service are amortized over the applicable vesting period, or requisite service period, based on the fair value of the Company’s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Class A common stock on the date of grant. Equity-based incentive compensation is recognized in “compensation and benefits” expense (and, as applicable, in “restructuring” expense, with respect to the expense associated with the acceleration of unrecognized expense pertaining to awards granted previously to individuals who were terminated by the Company in the 2010 restructuring program described in Note 16 of Notes to Consolidated Financial Statements).</w:t>
      </w:r>
    </w:p>
    <w:p>
      <w:pPr>
        <w:spacing w:after="0" w:line="18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Costs-Saving and Restructuring Plans</w:t>
      </w:r>
      <w:r>
        <w:rPr>
          <w:rFonts w:ascii="Arial" w:cs="Arial" w:eastAsia="Arial" w:hAnsi="Arial"/>
          <w:sz w:val="16"/>
          <w:szCs w:val="16"/>
          <w:b w:val="1"/>
          <w:bCs w:val="1"/>
          <w:color w:val="auto"/>
        </w:rPr>
        <w:t>—</w:t>
      </w:r>
      <w:r>
        <w:rPr>
          <w:rFonts w:ascii="Arial" w:cs="Arial" w:eastAsia="Arial" w:hAnsi="Arial"/>
          <w:sz w:val="16"/>
          <w:szCs w:val="16"/>
          <w:color w:val="auto"/>
        </w:rPr>
        <w:t>The Company records charges associated with management-approved restructuring or cost-saving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reorganize one or more of the Company’s business segments. Such plans can include 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14"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Substantially all of Lazard’s operations outside the U.S. are conducted in “pass-through” entities for U.S. income tax purposes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provides for U.S. income taxes on a current basis for substantially all of those earnings. The repatriation of prior year earnings attributable to “non-pass-through” entities would not result in the recognition of a material amount of additional U.S. income taxes.</w:t>
      </w:r>
    </w:p>
    <w:p>
      <w:pPr>
        <w:spacing w:after="0" w:line="10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 A deferred tax asset is recognized if it is more likely than not (defined as a likelihood of greater than 50%) that a tax benefit will be accepted by a taxing authority.</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nature, frequency, and magnitude of any recent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“income tax expense”. See Note 17 of Notes to Consolidated Financial Statements for additional information relating to income taxes.</w:t>
      </w:r>
    </w:p>
    <w:p>
      <w:pPr>
        <w:spacing w:after="0" w:line="25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FASB,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2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 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6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Receivables are stated net of an estimated allowance for doubtful accounts of $23,017 and $19,450 at December 31, 2012 and 2011, respectively, for past due amounts and for specific accounts deemed uncollectible, which may include situations where a fee is in dispute. The Company recorded bad debt expense of $6,579, $7,952 and $8,392 for the years ended December 31, 2012, 2011 and 2010, respectively. In addition, the Company recorded charge-offs, foreign currency translation and other adjustments, which resulted in a net decrease to the allowance for doubtful accounts of $3,012, $3,519 and $4,950 for the years ended December 31, 2012, 2011 and 2010, respectively. At December 31, 2012 and 2011, the Company had receivables deemed past due or uncollectible of $25,604 and $22,785, respectively.</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connection with short-term collateralized lending activities of LFB, the Company typically receives a pledge of specifically identified securities of equal or greater value than the amount of the cash loaned and that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permitted to be sold or repledged. Collateralized customer loan receivables, which amounted to $5,952 at December 31, 2011 were collateralized by securities of equal or greater value, none of which were sold or repledged (no such collateralized customer loan receivables existed at December 31, 2012).</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Of the Company’s total receivables at December 31, 2012 and 2011, $76,481 and $103,354, respectively, represented interest-bearing financing receivables. There was no allowance for doubtful accounts required at those dates related to such receivables as there were no past due or uncollectible amounts, primarily based upon our historical loss experience and the credit quality of the counterparties.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carrying amount of our non-interest bearing trade receivables of $506,149 and $587,340 at December 31, 2012 and 2011, respectively, approximates fair value.</w:t>
      </w:r>
    </w:p>
    <w:p>
      <w:pPr>
        <w:spacing w:after="0" w:line="25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$578 and $2,834, respectively)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44,992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44,436</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59,622</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154,310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89,657</w:t>
            </w:r>
          </w:p>
        </w:tc>
      </w:tr>
      <w:tr>
        <w:trPr>
          <w:trHeight w:val="229"/>
        </w:trPr>
        <w:tc>
          <w:tcPr>
            <w:tcW w:w="20" w:type="dxa"/>
            <w:vAlign w:val="bottom"/>
          </w:tcPr>
          <w:p>
            <w:pPr>
              <w:spacing w:after="0"/>
              <w:rPr>
                <w:sz w:val="19"/>
                <w:szCs w:val="19"/>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122,718</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344,562</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275,953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402,514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355,510</w:t>
            </w: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394,924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341,623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$5,054, $18,615 and $76,907, respectively, at December 31, 2012 and $5,367, $2,101 and $19,857, respectively, at December 31, 2011, held in order to satisfy the Company’s liability upon vesting of previously granted Lazard Fund Interests and other similar deferred compensation arrangements. Lazard Fund Interests represent grants by the Company to eligible employees of actual or notional interests in a number of Lazard-managed funds (see Notes 7 and 14 of Notes to Consolidated Financial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private equity fund targeting significant noncontrolling-stake investments in established public and private companies, (iii) Edgewater Growth Capital Partners III, L.P. (“EGCP III”), a private equity fund primarily making equity and buyout investments in middle market companies, (iv) Lazard Australia Corporate Opportunities Fund (“COF2”), a Lazard-managed Australian private equity fund targeting Australian mid-market investments and (v) at December 31, 2011, Lazard Senior Housing Partners LP, which targets controlling interests in companies and assets in the senior housing, extended-stay hotel and shopping center sectors.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aggregated $11,490 and $18,502 at December 31, 2012 and 2011, respectively (see Note 12 of Notes to Consolidated Financial Statements).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years ended December 31, 2012, 2011 and 2010, the Company reported in revenue-other on its consolidated statements of operations gross unrealized investment gains and losses pertaining to “trading” securities as follows (including, for the years ended December 31, 2011 and 2010, restated amounts pertaining to certain non-broker dealer subsidiaries):</w:t>
      </w:r>
    </w:p>
    <w:p>
      <w:pPr>
        <w:spacing w:after="0" w:line="17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0</wp:posOffset>
            </wp:positionV>
            <wp:extent cx="16033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960"/>
        <w:spacing w:after="0"/>
        <w:tabs>
          <w:tab w:leader="none" w:pos="9960" w:val="left"/>
          <w:tab w:leader="none" w:pos="109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20,511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 ended December 31, 2010 the Company reclassified to earnings realized gains of $1,755 and realized losses of $16,245 related to the sale of the “available-for-sale” portfolio. With respect to the items reclassified to earnings, the average cost basis was utilized for purposes of calculating realized investment gains and losses.</w:t>
      </w:r>
    </w:p>
    <w:p>
      <w:pPr>
        <w:spacing w:after="0" w:line="26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8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fair value of equities is principally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fair value of investments in debt funds are considered Level 1 assets when the fair values are primarily based on the reported closing price for the fund or Level 2 assets when the fair values are primarily based on NAV or its equivalent and are redeemable within the near term.</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Level 3 represents funds valued based on NAV or its equivalent that are not redeemable within the near term.</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7 of Notes to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external fund administrators or pricing services, the Company reviews such information to ascertain at which level within the fair value hierarchy to classify the investment.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54,433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145,231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211,390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395,857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102,492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102,551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44,064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44,436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49,451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59,622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85,052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89,657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122,718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150,179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133,100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348,754</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2012 and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2012, 2011 and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Included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Other (a)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(35,796)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133,100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16,118</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8,599</w:t>
            </w:r>
          </w:p>
        </w:tc>
        <w:tc>
          <w:tcPr>
            <w:tcW w:w="1320" w:type="dxa"/>
            <w:vAlign w:val="bottom"/>
            <w:gridSpan w:val="4"/>
          </w:tcPr>
          <w:p>
            <w:pPr>
              <w:jc w:val="right"/>
              <w:ind w:right="360"/>
              <w:spacing w:after="0"/>
              <w:rPr>
                <w:sz w:val="20"/>
                <w:szCs w:val="20"/>
                <w:color w:val="auto"/>
              </w:rPr>
            </w:pPr>
            <w:r>
              <w:rPr>
                <w:rFonts w:ascii="Arial" w:cs="Arial" w:eastAsia="Arial" w:hAnsi="Arial"/>
                <w:sz w:val="18"/>
                <w:szCs w:val="18"/>
                <w:color w:val="auto"/>
              </w:rPr>
              <w:t>$ (42,670)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954</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Included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Other (a)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(3,319)</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(69,218)(b)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43,482</w:t>
            </w:r>
          </w:p>
        </w:tc>
        <w:tc>
          <w:tcPr>
            <w:tcW w:w="13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(69,413)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2010</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Included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Other (a)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Disposition</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34,288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(11,985)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8,652</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34,302</w:t>
            </w:r>
          </w:p>
        </w:tc>
        <w:tc>
          <w:tcPr>
            <w:tcW w:w="1320" w:type="dxa"/>
            <w:vAlign w:val="bottom"/>
            <w:gridSpan w:val="4"/>
          </w:tcPr>
          <w:p>
            <w:pPr>
              <w:jc w:val="right"/>
              <w:ind w:right="360"/>
              <w:spacing w:after="0"/>
              <w:rPr>
                <w:sz w:val="20"/>
                <w:szCs w:val="20"/>
                <w:color w:val="auto"/>
              </w:rPr>
            </w:pPr>
            <w:r>
              <w:rPr>
                <w:rFonts w:ascii="Arial" w:cs="Arial" w:eastAsia="Arial" w:hAnsi="Arial"/>
                <w:sz w:val="18"/>
                <w:szCs w:val="18"/>
                <w:color w:val="auto"/>
              </w:rPr>
              <w:t>$ (11,985)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(3,390)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Earnings for the years ended December 31, 2012, 2011 and 2010 include net unrealized gains (losses) of $12,910, $(3,268) and $8,299, respectively.</w:t>
      </w:r>
    </w:p>
    <w:p>
      <w:pPr>
        <w:spacing w:after="0" w:line="23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Sales/dispositions of private equity fund investments for the year ended December 31, 2011 include $49,500 in connection with a reduction of interests in a fund which ceased to be consolidated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2012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7"/>
              </w:rPr>
              <w:t>Fair Value Measurements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Quoted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Prices in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Active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Identical</w:t>
            </w:r>
          </w:p>
        </w:tc>
        <w:tc>
          <w:tcPr>
            <w:tcW w:w="56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8"/>
              </w:rPr>
              <w:t>Assets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845,503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845,503</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$845,503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292,494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292,494</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292,494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65,232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65,232</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65,232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Interest-bearing deposits (included within investments)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578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269,763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269,763</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$269,763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1,076,850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1,207,227</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1,207,227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 Money market funds are valued through the use of quoted market prices, or $1.00, which generally is the NAV of the fund.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carrying value of deposits with banks, and cash deposited with clearing organizations and other segregated cash, approximates fair value because of the relatively short period of time between their origination and expected maturity.</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Fair Value of Certain Investments Based on NAV</w:t>
      </w:r>
      <w:r>
        <w:rPr>
          <w:rFonts w:ascii="Arial" w:cs="Arial" w:eastAsia="Arial" w:hAnsi="Arial"/>
          <w:sz w:val="15"/>
          <w:szCs w:val="15"/>
          <w:color w:val="auto"/>
        </w:rPr>
        <w:t>—The Company’s Level 2 and Level 3 investments at December 31, 2012 and 2011 include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that are valued using an NAV or its equivalent as a practical expedient in determining fair value. Information with respect thereto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8"/>
              </w:rPr>
              <w:t>December 31, 2011</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5"/>
          </w:tcPr>
          <w:p>
            <w:pPr>
              <w:ind w:left="200"/>
              <w:spacing w:after="0" w:line="129" w:lineRule="exact"/>
              <w:rPr>
                <w:sz w:val="20"/>
                <w:szCs w:val="20"/>
                <w:color w:val="auto"/>
              </w:rPr>
            </w:pPr>
            <w:r>
              <w:rPr>
                <w:rFonts w:ascii="Arial" w:cs="Arial" w:eastAsia="Arial" w:hAnsi="Arial"/>
                <w:sz w:val="14"/>
                <w:szCs w:val="14"/>
                <w:b w:val="1"/>
                <w:bCs w:val="1"/>
                <w:color w:val="auto"/>
                <w:w w:val="96"/>
              </w:rPr>
              <w:t>Estimated Liquidation Period of</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9"/>
              </w:rPr>
              <w:t>Investments Not Redeemable</w:t>
            </w:r>
          </w:p>
        </w:tc>
        <w:tc>
          <w:tcPr>
            <w:tcW w:w="200" w:type="dxa"/>
            <w:vAlign w:val="bottom"/>
          </w:tcPr>
          <w:p>
            <w:pPr>
              <w:spacing w:after="0"/>
              <w:rPr>
                <w:sz w:val="14"/>
                <w:szCs w:val="14"/>
                <w:color w:val="auto"/>
              </w:rPr>
            </w:pPr>
          </w:p>
        </w:tc>
        <w:tc>
          <w:tcPr>
            <w:tcW w:w="2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Unfunded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Redemption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 funds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Fair value</w:t>
            </w:r>
          </w:p>
        </w:tc>
        <w:tc>
          <w:tcPr>
            <w:tcW w:w="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Redeemable</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Frequency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Notice Period</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&lt; 30-120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&lt; 30 days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8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8"/>
                <w:szCs w:val="18"/>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1060" w:type="dxa"/>
            <w:vAlign w:val="bottom"/>
          </w:tcPr>
          <w:p>
            <w:pPr>
              <w:spacing w:after="0"/>
              <w:rPr>
                <w:sz w:val="20"/>
                <w:szCs w:val="20"/>
                <w:color w:val="auto"/>
              </w:rPr>
            </w:pPr>
            <w:r>
              <w:rPr>
                <w:rFonts w:ascii="Arial" w:cs="Arial" w:eastAsia="Arial" w:hAnsi="Arial"/>
                <w:sz w:val="18"/>
                <w:szCs w:val="18"/>
                <w:color w:val="auto"/>
              </w:rPr>
              <w:t>&lt; 30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122,718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186,949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52,197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(17%), weekly (8%), monthly (37%) and quarterly (38%)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(95%)</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See Note 5 of Notes to Consolidated Financial Statements for discussion of significant investment strategies for investments with value based on NAV.</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2012, the maximum unfunded commitments by the Company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(i) CP II, amounting to $1,940 for potential “follow-on investments” and/or for fund expenses through the earlier of February 25, 2017 or the liquidation of the fund, (ii) EGCP III, amounting to $21,435, through the earlier of October 12,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expenses (with a portion of the undrawn amount of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commitment as of that date remaining committed until October 12, 2023 in respect of “follow-on investments” and/or fund expenses) or the liquidation of the fund and (iii) COF2, amounting to $8,107, through the earlier of November 11,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commitment regarding EGCP III described above reflects a March 1, 2012 reduction of $17,400 from the Company’s original commitment of $50,000 that an investor group, owned by current and former managing directors, including certain of our executive officers, assumed from the Company. In connection with their assumption of this assumed commitment, each investor received a right to collect a portion of the Company’s carried interest arising from EGCP III, to the extent any such carried interest is actually received by the Company, equal to 20% of the profit earned by such investor on his or her investment.</w:t>
      </w:r>
    </w:p>
    <w:p>
      <w:pPr>
        <w:spacing w:after="0" w:line="23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tables below represent the fair values of the Company’s derivative instruments reported within “other assets” and “other liabilities” and the fair value of the Company’s derivative liabilities relating to its obligation pertaining to Lazard Fund Interests and other similar deferred compensation arrangements reported within “accrued compensation and benefits” (see Note 14 of Notes to Consolidated Financial Statements) on the accompanying consolidated statements of financial condition as of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r>
      <w:tr>
        <w:trPr>
          <w:trHeight w:val="222"/>
        </w:trPr>
        <w:tc>
          <w:tcPr>
            <w:tcW w:w="9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29,900</w:t>
            </w:r>
          </w:p>
        </w:tc>
        <w:tc>
          <w:tcPr>
            <w:tcW w:w="100" w:type="dxa"/>
            <w:vAlign w:val="bottom"/>
            <w:shd w:val="clear" w:color="auto" w:fill="CCEEFF"/>
          </w:tcPr>
          <w:p>
            <w:pPr>
              <w:spacing w:after="0"/>
              <w:rPr>
                <w:sz w:val="18"/>
                <w:szCs w:val="18"/>
                <w:color w:val="auto"/>
              </w:rPr>
            </w:pPr>
          </w:p>
        </w:tc>
      </w:tr>
      <w:tr>
        <w:trPr>
          <w:trHeight w:val="222"/>
        </w:trPr>
        <w:tc>
          <w:tcPr>
            <w:tcW w:w="9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102,492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30,572</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consolidated statements of operations for the years ended December 31, 2012, 2011 and 2010,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currency exchange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2760"/>
        <w:spacing w:after="0" w:line="284" w:lineRule="auto"/>
        <w:rPr>
          <w:sz w:val="20"/>
          <w:szCs w:val="20"/>
          <w:color w:val="auto"/>
        </w:rPr>
      </w:pPr>
      <w:r>
        <w:rPr>
          <w:rFonts w:ascii="Arial" w:cs="Arial" w:eastAsia="Arial" w:hAnsi="Arial"/>
          <w:sz w:val="18"/>
          <w:szCs w:val="18"/>
          <w:color w:val="auto"/>
        </w:rPr>
        <w:t>Lazard Fund Interests and other similar deferred compensation arrangements Equity and fixed income swaps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15347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ind w:left="180"/>
        <w:spacing w:after="0"/>
        <w:tabs>
          <w:tab w:leader="none" w:pos="1100" w:val="left"/>
          <w:tab w:leader="none" w:pos="19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(1,844)</w:t>
            </w:r>
          </w:p>
        </w:tc>
        <w:tc>
          <w:tcPr>
            <w:tcW w:w="2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2,422</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w w:val="89"/>
              </w:rPr>
              <w:t>$ 2,291</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3,024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(16,514)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5,045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(6,709)</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(25,915)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10,491</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(4,418)</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180" w:space="720"/>
            <w:col w:w="2520"/>
          </w:cols>
          <w:pgMar w:left="240" w:top="459"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Derivatives designated as hedging instruments related to interest rate swaps that hedged “available-for-sale” securities and had been accounted for as fair value hedges. For the year ended December 31, 2010, the Company recognized pre-tax losses pertaining to interest rate swaps of $2,844. These losses were substantially offset by gains recognized on the hedged risk portion of such “available-for-sale” securities.</w:t>
      </w:r>
    </w:p>
    <w:p>
      <w:pPr>
        <w:spacing w:after="0" w:line="22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2012 and 2011 property-net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$166,560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$164,168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143,408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159,191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122,124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18,801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450,893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225,861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2012 and 2011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392,822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2012 and 2011, goodwill of $299,787 and $292,116,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2012, 2011 and 2010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$ 261,703</w:t>
            </w:r>
          </w:p>
        </w:tc>
        <w:tc>
          <w:tcPr>
            <w:tcW w:w="18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4"/>
              </w:rPr>
              <w:t>Business acquisitions, including, in the 2011 and 2010 periods, additional contingent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consideration earned relating to prior year 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41,174</w:t>
            </w:r>
          </w:p>
        </w:tc>
        <w:tc>
          <w:tcPr>
            <w:tcW w:w="18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180" w:type="dxa"/>
            <w:vAlign w:val="bottom"/>
            <w:shd w:val="clear" w:color="auto" w:fill="CCEEFF"/>
          </w:tcPr>
          <w:p>
            <w:pPr>
              <w:spacing w:after="0"/>
              <w:rPr>
                <w:sz w:val="18"/>
                <w:szCs w:val="18"/>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364,328</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$ 313,229</w:t>
            </w:r>
          </w:p>
        </w:tc>
        <w:tc>
          <w:tcPr>
            <w:tcW w:w="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evaluates goodwill for impairment annually or more frequently if circumstances indicate that impairment may have occurred. The Company has selected December 31 as the date to perform its annual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impairment evaluation. Pursuant to the Company’s goodwill impairment review for the years ended December 31, 2012, 2011 and 2010, the Company determined that no impairment existed.</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2012 and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2012, 2011 and 2010 was $8,359, $11,915 and $7,867,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4060" w:type="dxa"/>
            <w:vAlign w:val="bottom"/>
            <w:gridSpan w:val="4"/>
          </w:tcPr>
          <w:p>
            <w:pPr>
              <w:ind w:left="31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5300" w:type="dxa"/>
            <w:vAlign w:val="bottom"/>
            <w:gridSpan w:val="4"/>
            <w:vMerge w:val="continue"/>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74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2012 and 2011:</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111,150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$104,740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47,445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45,259</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242,153</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040"/>
              <w:spacing w:after="0"/>
              <w:rPr>
                <w:sz w:val="20"/>
                <w:szCs w:val="20"/>
                <w:color w:val="auto"/>
              </w:rPr>
            </w:pPr>
            <w:r>
              <w:rPr>
                <w:rFonts w:ascii="Arial" w:cs="Arial" w:eastAsia="Arial" w:hAnsi="Arial"/>
                <w:sz w:val="18"/>
                <w:szCs w:val="18"/>
                <w:color w:val="auto"/>
              </w:rPr>
              <w:t>96</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2012 and 2011:</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$146,921</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100,643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93,344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74,880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32,148</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478,167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420,152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 (a)</w:t>
            </w: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Lazard Group 6.85% Senior Notes</w:t>
            </w:r>
          </w:p>
        </w:tc>
        <w:tc>
          <w:tcPr>
            <w:tcW w:w="286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the year ended December 31, 2010, the Company repurchased $10,000 principal amount of the 7.125% Senior Notes, at a cost, excluding accrued interest, of $10,375, and, after the write-off of applicable unamortized debt issuance costs of $49, the Company recognized a pre-tax loss of $424. In connection with the issuance of the 7.125% Senior Notes, on April 1, 2005, Lazard Group entered into an interest rate forward agreement. On May 9, 2005, Lazard Group settled the interest rate forward agreement, of which $11,003 was deemed to be the effective portion of the hedge and recorded within AOCI and is being amortized as a charge to interest expense over the ten-year term of the 7.125% Senior Notes.</w:t>
      </w:r>
    </w:p>
    <w:p>
      <w:pPr>
        <w:spacing w:after="0" w:line="3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December 31, 2012, the annual interest rate for a loan accruing interest (based on the Federal Funds overnight rate), including the applicable margin, was 0.92%. At December 31, 2012 and 2011, no amounts were outstanding under the Credit Facility or the prior revolving credit facility, respectively.</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December 31, 2012, the Company was in compliance with all of these provisions. All of the Company’s senior debt obligations are unsecured.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2012 for each of the five years in the period ending December 31, 2017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2013-2014</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528,500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20"/>
                <w:szCs w:val="20"/>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1,076,850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senior debt at December 31, 2012 and 2011 is recorded at historical amounts. See Note 6 of Notes to Consolidated Financial Statements for information regarding the fair value and fair value hierarchy category of the Company’s senior debt.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2012, the Company had approximately $301,000 in unused lines of credit available to it, including the Credit Facility, and unused lines of credit available to LFB of approximately $92,000 (at December 31, 2012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On July 22, 2011, the Company repurchased its then outstanding $150,000 subordinated promissory note, at a cost, excluding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of $131,829. Such repurchase resulted in a pre-tax gain of $18,171, which was recognized by the Company in the third quarter of 2011 and included in “revenue-other” on the accompanying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2012, 2011 and 2010, aggregate rental expense relating to operating leases amounted to $80,861, $76,701 and $66,342,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2033. Sublease income from such agreements was $9,613, $10,967 and $10,478 for the years ended December 31, 2012, 2011 and 2010, respectively.</w:t>
      </w:r>
    </w:p>
    <w:p>
      <w:pPr>
        <w:spacing w:after="0" w:line="1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2017 at a weighted average interest rate of approximately 6.3%. Such obligations are collateralized primarily by certain buildings with a net book value of approximately $21,932 and $22,491 at December 31, 2012 and 2011, respectively. The net book value of all assets recorded under capital leases aggregated $23,486 and $24,589 at December 31, 2012 and 2011,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2012,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3,637</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74,036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3,119</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163,302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abandoned leased facilities in the U.K., at December 31, 2012 and 2011, the Company has recognized liabilities of $7,516 and $10,632,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which are included in “other liabilities” on the consolidated statements of financial condition. Payments toward the liabilities continue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term of the leases. Such liabilities are based on the discounted future commitment, net of expected sublease income.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the Company recorded a charge of $5,539 related to such abandoned lease facilities, which is included within “occupancy and equipment”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operations.</w:t>
      </w:r>
    </w:p>
    <w:p>
      <w:pPr>
        <w:spacing w:after="0" w:line="16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2012, LFB had $5,028 of such indemnifications and held $3,890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Certain Business Transactions</w:t>
      </w:r>
      <w:r>
        <w:rPr>
          <w:rFonts w:ascii="Arial" w:cs="Arial" w:eastAsia="Arial" w:hAnsi="Arial"/>
          <w:sz w:val="16"/>
          <w:szCs w:val="16"/>
          <w:color w:val="auto"/>
        </w:rPr>
        <w:t>—On September 25, 2008, the Company, LAM and LAZ Sub I, LLC, a then newly-formed subsidiary of LFNY, completed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1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consisted of (i) cash payments made from the closing of the LAM Merger through January 2, 2009 of approximately $60,000, (ii) a cash payment made on October 31, 2011 of approximately $90,000, (iii) the delivery on October 31, 2011 of 2,210,520 shares of Class A common stock and (iv) the satisfaction of Lazard’s minimum statutory tax withholding requirements for certain employees in lieu of delivering 68,384 shares of Class A common stock on October 31, 2011. In addition, with respect to certain former employees of LAM and its subsidiaries, as of December 31, 2012, additional cash payments of $961 and additional issuances of 24,537 shares of Class A common stock are subject to delayed payment/issuance until the eighth anniversary of the closing of the LAM Merger because the applicable employees were no longer employed by Lazard or its affiliates on October 31, 2011, subject to certain exceptions.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December 31, 2012 and 2011, 1,209,154 and 514,850 shares, respectively, have been earned because applicable performance thresholds have been satisfied. Such shares are no longer subject to any contingencies. As of the respective dates, 686,004 and 343,002 of such shares have been settled.</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2011, the Company is obligated to pay earnout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if certain performance thresholds are achieved. The maximum potential earnout consideration payable by the Company cannot exceed $7,000. For the years ended December 31, 2012 and 2011, no cash payments relating to the earnout consideration were required.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certain other business acquisitions, at December 31, 2012, 121,076 shares of Class A common stock were issuable on a contingent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16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December 31, 2012 aggregated approximately $23,000.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See Notes 6 and 15 of Notes to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December 31, 2012, LFB had no such underwriting commitments.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—The Company is involved from time to time in judicial, regulatory and arbitration proceedings and inquiries concerning matters arising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Issuance of Class A Common Shares</w:t>
      </w:r>
      <w:r>
        <w:rPr>
          <w:rFonts w:ascii="Arial" w:cs="Arial" w:eastAsia="Arial" w:hAnsi="Arial"/>
          <w:sz w:val="15"/>
          <w:szCs w:val="15"/>
          <w:color w:val="auto"/>
        </w:rPr>
        <w:t>—During the year ended December 31, 2010, 3,000,000 shares of Class A common stock were newly issued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the years ended December 31, 2011 and 2010, the Company issued an aggregate of 2,434,561 and 888,605 shares of Class A common stock, respectively, and during the year ended December 31, 2011, delivered 3,515,362 shares from Class A common stock held by its subsidiaries in connection with the LAM Merger (as described in Note 12 of Notes to Consolidated Financial Statements) and certain prior year business acquisitions.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the applicable Prospectus Supplements during 2010, certain selling shareholders of Lazard Ltd (which included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former managing directors of Lazard (and, from time to time, certain of our directors, executive officers or former executive officers) and their permitted transferees (collectively, the “Selling Shareholders”), who held LAZ-MD Holdings exchangeable interests and/or Class A common stock) offered to sell shares of Class A common stock pursuant to applicable underwriting and pricing agreements. Secondary offerings during the year ended December 31, 2010 are described below (no such secondary offerings occurred during the years ended December 31, 2012 and 2011).</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$30.32 per share (the “August 2010 Secondary Offering”).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4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November 2010, certain Selling Shareholders (the “November 2010 Selling Shareholders”) sold 3,000,000 shares of Class A common stock at a price of $35.77 per share (the “November 2010 Secondary Offering”, and together with the March 2010 Secondary Offering and the August 2010 Secondary Offering, the “2010 Secondary Offerings”). Separately, in connection with the November 2010 Secondary Offering, Lazard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Group agreed to purchase from the November 2010 Selling Shareholders 1,220,714 shares of Class A common stock for an aggregate cost of $43,665 ($35.77 per share), with such purchase being part of the share repurchase program in effect during 2010. In the aggregate, the November 2010 Selling Shareholders sold a total of 4,220,714 shares of Class A common stock (including 1,543,245 shares of Class A common stock previously received upon the exchange of a like number of LAZ-MD Holdings exchangeable interests and 2,677,469 shares of Class A common stock received upon a simultaneous exchange of a like number of LAZ-MD Holdings exchangeable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2010 Secondary Offerings.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2011 and 2010,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52,135</w:t>
            </w:r>
          </w:p>
        </w:tc>
        <w:tc>
          <w:tcPr>
            <w:tcW w:w="100" w:type="dxa"/>
            <w:vAlign w:val="bottom"/>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17,499</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61,615</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135,108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70,572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50,581</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140,278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74,955</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60,385</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Offerings discussed above, during the years ended December 31, 2012, 2011 and 2010, Lazard Ltd issued 5,207,112, 876,614 and 12,081,618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9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In February 2011, October 2011, April 2012 and October 2012 the Board of Directors of Lazard Ltd authorized,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basis, the repurchase of up to $250,000, $125,000, $125,000 and $200,000, respectively, in aggregate cost of Class A common stock and Lazard Group common membership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2005 Plan and the Lazard Ltd 2008 Incentive Compensation Plan (the “2008 Plan”). Pursuant to such authorizations, purchases have been made in the open market or through privately negotiated transactions, and since inception of the program in February 2006 through December 31, 2012, aggregate purchases with respect to such program by Lazard Group and subsidiaries of Lazard Ltd are set forth in the table below (including, during the year ended December 31, 2012, purchases of 12,817,196 Class A common shares, at an aggregate cost of $354,464 (no Lazard Group common membership interests were purchased during the year):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210"/>
        </w:trPr>
        <w:tc>
          <w:tcPr>
            <w:tcW w:w="8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35,726,044</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1,400,089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the delivery of shares of Class A common stock through December 31, 2012 relating to (i) the settlement of vested RSUs and deferred stock unit grants (“DSUs”), (ii) the incentive plan share awards of shares of restricted Class A common stock, (iii) the delivery of shares of restricted Class A common stock in exchange for RSUs and (iv) the delivery of shares of Class A common stock in connection with business acquisitions and the LAM Merger, there were 10,230,729 and 2,174,573 shares of Class A common stock held by Lazard Group at December 31, 2012 and 2011, respectively. Such Class A common shares are reported, at cost, as a reduction of members’ equity within the accompanying consolidated statements of financial condition.</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December 31, 2012, after giving effect to the forward purchase agreement as described below, $154,066 of the current share repurchase amount authorized as of such date remained available under the share repurchase program, all of which expires December 31, 2014. In addition, under the terms of the 2005 Plan and the 2008 Plan, upon the vesting of RSUs and delivery of restricted Class A common stock, shares of Class A common stock may be withheld by the Company to cover its minimum statutory tax withholding requirements (see Note 14 of Notes to Consolidated Financial Statements).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2012, the Company had in place trading plans under Rule 10b5-1 of the Securities Exchange Act of 1934, pursuant to which it effected stock repurchases through the open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December 31, 2012 and 2011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38,657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rate hedge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(128,536)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(92,637)</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(92,381)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(79,236)</w:t>
            </w: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Amount attributable to noncontrolling interests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Lazard Group AOCI</w:t>
            </w: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(92,393)</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(79,252)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940" w:type="dxa"/>
            <w:vAlign w:val="bottom"/>
            <w:vMerge w:val="restart"/>
          </w:tcPr>
          <w:p>
            <w:pPr>
              <w:jc w:val="right"/>
              <w:ind w:right="3452"/>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2012, 2011 and 2010 and noncontrolling interests as of December 31, 2012 and 2011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Net Income (Loss)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1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Interests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center"/>
              <w:ind w:left="382"/>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9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$4,130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$6,690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1160" w:type="dxa"/>
            <w:vAlign w:val="bottom"/>
            <w:gridSpan w:val="5"/>
          </w:tcPr>
          <w:p>
            <w:pPr>
              <w:jc w:val="right"/>
              <w:ind w:right="20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6"/>
              </w:rPr>
              <w:t>Noncontrolling Interests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87"/>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$ 75,262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12,210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$ 75,908</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103,923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2012, 2011 and 2010,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and restricted stock awards) and “professional services” expense (with respect to DSUs) within the Company’s accompanying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RSUs (a)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$ 298,809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$ 264,110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$ 303,094</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(b)</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DSUs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$ 309,580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$ 274,509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$ 304,688</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hanging="452"/>
        <w:spacing w:after="0" w:line="284"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Includes, during the year ended December 31, 2010, $24,860 relating to the amendment of the Company’s retirement policy (described below) and $46,880 relating to the 2010 Restructuring Plan, and, during the year ended December 31, 2012, an aggregate of $26,158 relating to staff reductions and the Cost Saving Initiatives (see Note 16 of Notes to Consolidated Financial Statements recorded in the first and fourth quarters of 2012, respectively).</w:t>
      </w:r>
    </w:p>
    <w:p>
      <w:pPr>
        <w:spacing w:after="0" w:line="1" w:lineRule="exact"/>
        <w:rPr>
          <w:rFonts w:ascii="Arial" w:cs="Arial" w:eastAsia="Arial" w:hAnsi="Arial"/>
          <w:sz w:val="16"/>
          <w:szCs w:val="16"/>
          <w:color w:val="auto"/>
        </w:rPr>
      </w:pPr>
    </w:p>
    <w:p>
      <w:pPr>
        <w:ind w:left="460" w:right="1420" w:hanging="452"/>
        <w:spacing w:after="0" w:line="449" w:lineRule="auto"/>
        <w:tabs>
          <w:tab w:leader="none" w:pos="4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during the year ended December 31, 2012, $713 relating to the Cost Savings Initiatives recorded in the fourth quarter of 2012. The Company’s incentive plans are described below.</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is adjusted for actual forfeitures over such period.</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2012, 2011 and 2010, dividend participation rights required the issuance of 920,791, 389,846 and 318,025 RSU’s, respectively.</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we accelerated the recognition of compensation expense for the affected RSU awards. Accordingly, the Company recorded a non-cash charge to “compensation and benefits” expense of $24,860 in the first quarter of 2010 relating to prior years’ awards.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53,239, 26,859 and 31,588 DSUs granted during the years ended December 31, 2012, 2011 and 2010,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years ended December 31, 2012, 2011 and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2012, 2011 and 2010, 10,597, 8,184 and 7,438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23,367,813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103,146</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318,025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7,890,127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39,026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(859,756)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Vested/Exchanged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(8,289,549)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(20,435)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22,108,635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389,846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7,002,736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(8,054,387)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20,751,829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920,791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8,594,744</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63,836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(581,411)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Vested/Exchanged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(7,284,031)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34.71</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21,481,131</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204,496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During the years ended December 31, 2012, 2011 and 2010, 7,284,031 RSUs, 8,054,387 RSUs and 8,248,654 RSUs vested or were exchanged, respectively, (including in 2012, 1,523,642 RSUs that were exchanged for shares of restricted Class A common stock and 958,213 RSUs that were modified through forward purchase agreements into a liability award of $28,612) and, in 2010, 40,895 RSUs that were exchanged for 40,895 shares of restricted Class A common stock. As of the modification date in 2012, the Company recorded a liability in “accrued compensation and benefits” of $26,922 related to such liability award and an offsetting reduction to “members’ equity”. As of December 31, 2102, unrecognized compensation expense related to such liability award was $1,690 and will be amortized over the two-month period ending February 28, 2013. No additional compensation expense was recorded as a result of the modification. In connection with the vested RSUs, the Company satisfied its minimum statutory tax withholding requirements in lieu of issuing 1,471,814, 2,353,561 and 1,674,261 shares of Class A common stock in the years ended December 31, 2012, 2011 and 2010, respectively. Accordingly, 3,330,362, 5,700,826 and 6,574,393 shares of Class A common stock held by Lazard Group were delivered during the years ended December 31, 2012, 2011 and 2010, respectively.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unrecognized RSU compensation expense, adjusted for estimated forfeitures, was approximately $194,000, with such unrecognized compensation expense expected to be recognized over a weighted average period of approximately 1.1 years subsequent to December 31,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Granted/Exchanged (a)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327,238</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(327,238)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1"/>
        </w:trPr>
        <w:tc>
          <w:tcPr>
            <w:tcW w:w="824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 (a)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2,100,965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(21,178)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(202,510)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r>
      <w:tr>
        <w:trPr>
          <w:trHeight w:val="222"/>
        </w:trPr>
        <w:tc>
          <w:tcPr>
            <w:tcW w:w="824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1,972,609</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9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during the years ended December 31, 2012 and 2010, as described above, 1,523,642 and 40,895 shares of restricted Class A common stock, respectively, issued in exchange for 1,523,642 and 40,895 previously granted RSUs, respectively, at grant date fair values of $35.95 and $36.10 per share, respectively. The vesting terms of such restricted Class A common stock issued are substantially the same as those of the original awards exchanged. There was no incremental compensation cost incurred as a result of the exchanges.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As mentioned above, during 2012, the Company exchanged 1,523,642 RSUs for shares of restricted Class A common stock.</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2012 and 2011, the Company satisfied its minimum statutory tax withholding requirements in lieu of delivering 28,129 and 68,866 shares of Class A common stock during such respective years. Accordingly, 174,381 and 258,372 shares of Class A common stock held by the Company were delivered during the years ended December 31, 2012 and 2011, respectively.</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December 31, 2012, unrecognized restricted stock expense was approximately $10,000, with such expense to be recognized over a weighted average period of approximately 0.4 years subsequent to December 31,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Lazard Fund Interests and other similar deferred compensation arrangements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7"/>
              </w:rPr>
              <w:t>Prepaid</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Compensation</w:t>
            </w:r>
          </w:p>
        </w:tc>
      </w:tr>
      <w:tr>
        <w:trPr>
          <w:trHeight w:val="161"/>
        </w:trPr>
        <w:tc>
          <w:tcPr>
            <w:tcW w:w="790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64,679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64,679</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(10,646)</w:t>
            </w: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(33,476)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underlying investments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w:t>
            </w: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47,445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97,593</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1.6 years subsequent to December 31, 2012.</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consolidated statements of operations for the years ended December 31, 2012 and 2011:</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2012</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forfeitures(a)</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41,209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7,557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48,766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during the year ended December 31, 2012, $3,495 relating to the cost savings initiatives recorded in the fourth quarter of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2013</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February 2013, the Company granted approximately $272,000 of deferred incentive awards to eligible employees. These grants included approximately 4.3 million RSUs or shares of restricted Class A common stock that, in accordance with U.S. GAAP, were measured at the grant date fair value of $37.45 per RSU 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459"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 of restricted Class A common stock, or an aggregate of approximately $161,000. In addition, eligible employees will have the choice of receiving a portion of their deferred incentive awards in a combination of (i) Lazard Fund Interests, and (ii) additional shares of restricted Class A common stock, with the aggregate fair value on the date of grant of these awards being approximately $99,000. The remaining deferred incentive awards include deferred cash awards and a portion of fund managers’ year-end incentive compensation that is reinvested in certain asset management funds, with such aggregate fair value on the date of grant of these awards being approximately $12,000.</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RSUs, restricted Class A stock and Lazard Fund Interests granted each provide for one-third vesting on March 2, 2015 and the remaining two-thirds vesting on March 1, 2016. Compensation expense with respect to such incentive awards will generally be recognized over the vesting period, with such compensation expense to be recognized over a weighted average period of approximately 2.7 years.</w:t>
      </w:r>
    </w:p>
    <w:p>
      <w:pPr>
        <w:spacing w:after="0" w:line="26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made a contribution to the U.S. pension plans during the year ended December 31, 2012 of approximately $1,095. The Company does not expect to make a contribution to the U.S. pension plans during the year ending December 31, 2013.</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will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amounts in the account security arrangement at December 31, 2012 and 2011 of approximately $16,500 and $15,800 have been recorded in “cash deposited with clearing organizations and other segregated cash” on the accompanying consolidated statements of financial condition. Income on the account security arrangement accretes to the Company and is recorded in interest income.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During the year ended December 31, 2012, the Company contributed 1.7 million British pounds to these U.K. pension plans and expects to contribute a similar amount during the year ending December 31, 2013. Additionally, during the year ended December 31, 2012, contributions were made to other non-U.S. pension plans of approximately $4,500. The Company expects to contribute a similar amount to these other non-U.S. pension plans during the year ending December 31, 2013.</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575,031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519,779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5,362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(26,420)</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(21,718)</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656,025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575,031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568,911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554,988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(26,420)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(21,718)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568,911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Funded (deficit)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2012 and 2011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(50,979)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(37,577)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(5,668)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(5,362)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$25,989 and $14,183 at December 31, 2012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 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143,133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93,186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154,475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107,082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5580"/>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$25,231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$24,295</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$582,474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$544,616</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$607,705</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$ 568,911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Arial" w:cs="Arial" w:eastAsia="Arial" w:hAnsi="Arial"/>
                <w:sz w:val="18"/>
                <w:szCs w:val="18"/>
                <w:color w:val="auto"/>
                <w:w w:val="92"/>
              </w:rPr>
              <w:t>$35,276</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$33,493</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$620,749</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$541,538</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$656,025</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$575,031</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Arial" w:cs="Arial" w:eastAsia="Arial" w:hAnsi="Arial"/>
                <w:sz w:val="18"/>
                <w:szCs w:val="18"/>
                <w:color w:val="auto"/>
                <w:w w:val="92"/>
              </w:rPr>
              <w:t>$35,276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$33,493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$620,749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$541,538</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$656,025</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$575,031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table summarizes the components of benefit cost (credit), the return on plan assets, benefits paid, contributions and other amounts recognized in AOCI for the years ended December 31, 2012,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9"/>
              </w:rPr>
              <w:t>Pension Plans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Medical Plan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right"/>
              <w:ind w:right="20"/>
              <w:spacing w:after="0" w:line="149" w:lineRule="exact"/>
              <w:rPr>
                <w:sz w:val="20"/>
                <w:szCs w:val="20"/>
                <w:color w:val="auto"/>
              </w:rPr>
            </w:pPr>
            <w:r>
              <w:rPr>
                <w:rFonts w:ascii="Arial" w:cs="Arial" w:eastAsia="Arial" w:hAnsi="Arial"/>
                <w:sz w:val="14"/>
                <w:szCs w:val="14"/>
                <w:b w:val="1"/>
                <w:bCs w:val="1"/>
                <w:color w:val="auto"/>
              </w:rPr>
              <w:t>For The Years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2010</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2012</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27,734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(30,490)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(29,347)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Settlement loss (a)</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 (credit)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0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33,882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29,870</w:t>
            </w:r>
          </w:p>
        </w:tc>
        <w:tc>
          <w:tcPr>
            <w:tcW w:w="2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61,452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Benefits paid</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26,420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21,718</w:t>
            </w:r>
          </w:p>
        </w:tc>
        <w:tc>
          <w:tcPr>
            <w:tcW w:w="2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21,826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changes in plan assets and benefit obligations recognized in AOCI</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(excluding tax charge (benefit) of $(11,805), $(11,495) and $7,530 during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the years ended December 31, 2012, 2011 and 2010,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Net actuarial (gain) loss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50,209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51,703</w:t>
            </w:r>
          </w:p>
        </w:tc>
        <w:tc>
          <w:tcPr>
            <w:tcW w:w="2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(21,026)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in AOCI</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47,394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47,975</w:t>
            </w:r>
          </w:p>
        </w:tc>
        <w:tc>
          <w:tcPr>
            <w:tcW w:w="2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(28,647)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54,587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49,639</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(26,021)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80" w:hanging="452"/>
        <w:spacing w:after="0" w:line="298"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During the year ended December 31,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$2,167 recorded in “other comprehensive income (loss), net of tax” (“OCI”), which, after recording a settlement loss of $1,135 recognized in “compensation and benefits” expense, resulted in a net charge to OCI of $1,032.</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2012 that are expected to be recognized as components of net periodic benefit cost (credit) for the year ending December 31, 2013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Pension</w:t>
            </w: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3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Net actuarial loss</w:t>
            </w:r>
          </w:p>
        </w:tc>
        <w:tc>
          <w:tcPr>
            <w:tcW w:w="4780" w:type="dxa"/>
            <w:vAlign w:val="bottom"/>
            <w:gridSpan w:val="3"/>
          </w:tcPr>
          <w:p>
            <w:pPr>
              <w:jc w:val="center"/>
              <w:ind w:left="3312"/>
              <w:spacing w:after="0"/>
              <w:rPr>
                <w:sz w:val="20"/>
                <w:szCs w:val="20"/>
                <w:color w:val="auto"/>
              </w:rPr>
            </w:pPr>
            <w:r>
              <w:rPr>
                <w:rFonts w:ascii="Arial" w:cs="Arial" w:eastAsia="Arial" w:hAnsi="Arial"/>
                <w:sz w:val="18"/>
                <w:szCs w:val="18"/>
                <w:color w:val="auto"/>
                <w:w w:val="90"/>
              </w:rPr>
              <w:t>$2,455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$2,455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3"/>
              </w:rPr>
              <w:t>Pension Plans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640" w:type="dxa"/>
            <w:vAlign w:val="bottom"/>
            <w:gridSpan w:val="2"/>
          </w:tcPr>
          <w:p>
            <w:pPr>
              <w:jc w:val="center"/>
              <w:ind w:left="142"/>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2016</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929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(649)</w:t>
            </w:r>
          </w:p>
        </w:tc>
      </w:tr>
      <w:tr>
        <w:trPr>
          <w:trHeight w:val="356"/>
        </w:trPr>
        <w:tc>
          <w:tcPr>
            <w:tcW w:w="2880" w:type="dxa"/>
            <w:vAlign w:val="bottom"/>
          </w:tcPr>
          <w:p>
            <w:pPr>
              <w:spacing w:after="0"/>
              <w:rPr>
                <w:sz w:val="24"/>
                <w:szCs w:val="24"/>
                <w:color w:val="auto"/>
              </w:rPr>
            </w:pPr>
          </w:p>
        </w:tc>
        <w:tc>
          <w:tcPr>
            <w:tcW w:w="4100" w:type="dxa"/>
            <w:vAlign w:val="bottom"/>
          </w:tcPr>
          <w:p>
            <w:pPr>
              <w:jc w:val="right"/>
              <w:ind w:right="1632"/>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4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$ 22,312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2014</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23,287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25,729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2018-2022</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150,681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2012 and 2011,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in accordance with fair value measurement disclosure requirements: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2012</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29,337</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40,334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322,149</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257,652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347,625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88"/>
              </w:rPr>
              <w:t>As of December 31, 2011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25,186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34,753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34,753</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302,384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317,302</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134,393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136,465</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227,925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339,209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568,911</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Activity in the fair value of the pension plans’ Level 3 debt and alternative investment funds for the years ended December 31, 2012 and 2011 consisted of purchases of $131 and $1,837 and net unrealized/realized gains of $443, and $3, respectively, partially offset by favorable (unfavorable) foreign currency translation adjustments of $77 and ($63), respectively.</w:t>
      </w:r>
    </w:p>
    <w:p>
      <w:pPr>
        <w:spacing w:after="0" w:line="140"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Included in Level 1 equity funds are $106,873 and $95,658 as of December 31, 2012, and 2011, respectively, that are invested in funds managed by LAM. 113</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Consistent with the plans’ investment strategies, at December 31, 2012 and 2011, the Company’s U.S. pension plan had 51% and 46%, respectively, of the plans’ assets invested in Level 1 equity funds and 49% and 54%, respectively, invested in Level 1 debt funds. The Company’s non-U.S. pension plans at December 31, 2012 and 2011, had 30% and 27%, respectively, of the plans’ assets invested in equities and equity funds that are primarily Level 1 assets; 61% and 65%, respectively of the plans’ assets invested in debt and debt funds that are primarily Level 2 assets, and 9% and 8%, respectively, of the plans’ assets invested in cash, which is a Level 1 asset or in alternative investment funds that are primarily Level 2 assets.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assets classified as Level 2 assets are primarily valued based on inputs other than quoted prices that are directly observable or derived principally from, corroborated by market data. The fair value of plan investments classified as Level 3 assets are primarily based on NAV determined based on information provided by external fund administrators.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$13,070, $10,944 and $9,684 for the years ended December 31, 2012, 2011 and 2010,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 AND 2010 RESTRUCTURING PLAN</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b w:val="1"/>
          <w:bCs w:val="1"/>
          <w:i w:val="1"/>
          <w:iCs w:val="1"/>
          <w:color w:val="auto"/>
        </w:rPr>
        <w:t>Cost Saving Initiatives</w:t>
      </w:r>
      <w:r>
        <w:rPr>
          <w:rFonts w:ascii="Arial" w:cs="Arial" w:eastAsia="Arial" w:hAnsi="Arial"/>
          <w:sz w:val="15"/>
          <w:szCs w:val="15"/>
          <w:color w:val="auto"/>
        </w:rPr>
        <w:t>—In October 2012, the Company announced a number of cost saving initiatives (the “Cost Saving Initiatives”) relating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Company’s operations.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 The Company expects associated aggregate pre-tax implementation expenses to range between $110,000 and $130,000, primarily consisting of compensation-related expense, including the acceleration of unrecognized expenses pertaining to previously granted RSUs, severance and benefit payments and other non-compensation-related costs. Approximately 75% of the aggregate implementation expense is expected to be paid in cash. As reflected in the table below, the Company incurred $102,576 of the pre-tax implementation expense in the fourth quarter of 2012, with the remainder expected to be recorded in the first half of 2013.</w:t>
      </w:r>
    </w:p>
    <w:p>
      <w:pPr>
        <w:spacing w:after="0" w:line="1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consolidated statement of operations for the quarter and year ended December 31, 2012 includes pre-tax implementation expense, by segment, as reflected in the table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Advisory</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w:t>
            </w:r>
          </w:p>
        </w:tc>
        <w:tc>
          <w:tcPr>
            <w:tcW w:w="2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$76,133</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$ 11,798</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77,532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12,789</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$ 12,255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80" w:type="dxa"/>
            <w:vAlign w:val="bottom"/>
            <w:vMerge w:val="restart"/>
          </w:tcPr>
          <w:p>
            <w:pPr>
              <w:jc w:val="right"/>
              <w:ind w:right="532"/>
              <w:spacing w:after="0"/>
              <w:rPr>
                <w:sz w:val="20"/>
                <w:szCs w:val="20"/>
                <w:color w:val="auto"/>
              </w:rPr>
            </w:pPr>
            <w:r>
              <w:rPr>
                <w:rFonts w:ascii="Arial" w:cs="Arial" w:eastAsia="Arial" w:hAnsi="Arial"/>
                <w:sz w:val="18"/>
                <w:szCs w:val="18"/>
                <w:color w:val="auto"/>
              </w:rPr>
              <w:t>114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 pursuant to the Cost Saving Initiatives during 2012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89"/>
              </w:rPr>
              <w:t>Accrued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88"/>
              </w:rPr>
              <w:t>and Benefits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October 1, 2012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New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99,987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2,589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102,576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(22,360)</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(22,360)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(31,499)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(32,374)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Balance, December 31, 2012</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46,128</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1,714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47,842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2010 Restructuring Plan—</w:t>
      </w:r>
      <w:r>
        <w:rPr>
          <w:rFonts w:ascii="Arial" w:cs="Arial" w:eastAsia="Arial" w:hAnsi="Arial"/>
          <w:sz w:val="16"/>
          <w:szCs w:val="16"/>
          <w:color w:val="auto"/>
        </w:rPr>
        <w:t>In the first quarter of 2010, the Company announced a restructuring plan which included certain staff reductions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certain other costs. As of December 31, 2011, the remaining liability associated with the 2010 Restructuring Plan was $9,456, and is reported within “accrued compensation and benefits” and “other liabilities” on the accompanying consolidated statement of financial condition (there was no remaining liability as of December 31, 2012). During the years ended December 31, 2012, 2011 and 2010, the Company made cash payments of $8,546, $10,625 and $18,847, respectively, for the 2010 Restructuring Plan, and during the years ended December 31, 2012 and 2011, we reduced our provision for the 2010 Restructuring Charge by $910 and $1,300, respectively.</w:t>
      </w:r>
    </w:p>
    <w:p>
      <w:pPr>
        <w:spacing w:after="0" w:line="24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2012, 2011 and 2010, and a reconciliation of the U.S. federal statutory income tax rate to the Company’s effective tax rates for such years, are shown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1,947</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26,676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35,452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31,749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36,839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39,277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Deferred:</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(2,832)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(6,121)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(9,431)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30,622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27,408</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45,385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360" w:type="dxa"/>
            <w:vAlign w:val="bottom"/>
          </w:tcPr>
          <w:p>
            <w:pPr>
              <w:ind w:left="440"/>
              <w:spacing w:after="0"/>
              <w:rPr>
                <w:sz w:val="20"/>
                <w:szCs w:val="20"/>
                <w:color w:val="auto"/>
              </w:rPr>
            </w:pPr>
            <w:r>
              <w:rPr>
                <w:rFonts w:ascii="Arial" w:cs="Arial" w:eastAsia="Arial" w:hAnsi="Arial"/>
                <w:sz w:val="18"/>
                <w:szCs w:val="18"/>
                <w:color w:val="auto"/>
                <w:w w:val="92"/>
              </w:rPr>
              <w:t>Basis adjustments (primarily as a result of the separation and recapitalization transactions that occurred during 2005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660"/>
              <w:spacing w:after="0"/>
              <w:rPr>
                <w:sz w:val="20"/>
                <w:szCs w:val="20"/>
                <w:color w:val="auto"/>
              </w:rPr>
            </w:pPr>
            <w:r>
              <w:rPr>
                <w:rFonts w:ascii="Arial" w:cs="Arial" w:eastAsia="Arial" w:hAnsi="Arial"/>
                <w:sz w:val="18"/>
                <w:szCs w:val="18"/>
                <w:color w:val="auto"/>
              </w:rPr>
              <w:t>from secondary offerings)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40,391</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45,950</w:t>
            </w: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71,724</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62,021</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208,461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188,814</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(102,820)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(89,208)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105,641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99,606</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55,593</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have been profitable on a consolidated basis in the last three years, certain of our tax-paying entities have individually experienced losses on a cumulative three-year basis and losses in 2012. In addition, one of our tax-paying entities has recorded a valuation allowance on substantially all of its deferred tax assets due to the combined effect of operating losses in certain subsidiaries of that entity as well as foreign taxes paid that together substantially offset any residual U.S. tax liability. Considering the recent operating results of such entities, we have recorded valuation allowances on our deferred tax assets of $102,820 and $89,208 as of December 31, 2012 and December 31, 2011, respectively. If these entities achieve sustainable levels of profitability in the future, we believe that the valuation allowance recorded against our deferred tax assets at such entities could be reduced significantly. The valuation allowance at December 31, 2012 reflects a net increase of $13,612 from the balance of $89,208 at December 31, 2011.</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Company had net operating loss and tax credit carryforwards for which related deferred tax assets were recorded at December 31, 2012, primarily relating to indefinite-lived carryforwards (subject to various limitations) of approximately $54,442, principally in the U.K. and Italy.</w:t>
      </w:r>
    </w:p>
    <w:p>
      <w:pPr>
        <w:spacing w:after="0" w:line="8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both December 31, 2012 and 2011 of $1,161 are not included in the table above. The impact of such excess tax deductions will be recorded in members’ equity if and when such deferred tax assets are ultimately realized.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2008.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2012, 2011 and 2010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Balance, January 1 (excluding interest and penalties of $6,999, $5,742 and $7,059,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$40,562</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$37,376</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$ 42,069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12,484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11,327</w:t>
            </w:r>
          </w:p>
        </w:tc>
        <w:tc>
          <w:tcPr>
            <w:tcW w:w="4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(4,631)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(3,584)</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(2,343)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(9,862)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(5,638)</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December 31 (excluding interest and penalties of $10,745, $6,999 and $5,742,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36,494</w:t>
            </w:r>
          </w:p>
        </w:tc>
        <w:tc>
          <w:tcPr>
            <w:tcW w:w="6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40,562</w:t>
            </w:r>
          </w:p>
        </w:tc>
        <w:tc>
          <w:tcPr>
            <w:tcW w:w="4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$ 37,376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Unrecognized tax benefits at the end of the year that, if recognized, would favorably affect the</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$10,745, $6,999 and $5,742,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$38,602</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$41,355</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$36,124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8,637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6,206</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$ 6,994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8"/>
              </w:rPr>
              <w:t>Interest and penalties recognized in current income tax expense (after giving effect to the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$3,169, $1,583 and $2,430, respectively)</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3,746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1,257</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7"/>
              </w:rPr>
              <w:t>$ (1,317)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anticipates that it is reasonably possible that approximately $8,500 of unrecognized tax benefits recorded at December 31, 2012 may be recognized within 12 months as a result of the lapse of the statute of limitations in various tax jurisdictions.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00"/>
          </w:cols>
          <w:pgMar w:left="24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18.</w:t>
        <w:tab/>
        <w:t>RELATED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9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LFCM Holdings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20,529</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Payables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205,424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209,072</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discussed below.</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administrative services agreement, dated as of May 10, 2005, by and among LAZ-MD Holdings, LFCM Holdings and Lazard Group,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 earlier if there is a change of control of either party or the business alliance provided in the business alliance agreement entered into on May 10, 2005, by and among LAZ-MD Holdings, LFCM Holdings and Lazard Group (described below) expires or is terminated. The party receiving a service may also terminate a service earlier upon 180 days’ notice as long as the receiving party pays the service provider an additional three months of service fee for the terminated service.</w:t>
      </w:r>
    </w:p>
    <w:p>
      <w:pPr>
        <w:spacing w:after="0" w:line="144"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LFCM Holdings elects to terminate the agreement in connection with any such renewal or elects to terminate on account of a change of control of either party.</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years ended December 31, 2012, 2011 and 2010, amounts recorded by Lazard Group relating to the administrative services agreement amounted to $7,637, $10,277 and $12,110, respectively, and net referral fees for underwriting, private placement, M&amp;A and restructuring transactions under the business alliance agreement amounted to $5,947, $18,862 and $11,506,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December 31, 2012 and 2011 include $14,299 and $11,862, respectively, related to administrative and support services and other receivables which include sublease income and reimbursement of expenses incurred on behalf of LFCM Holdings, and $6,230 and $2,928, respectively, related to referral fees for underwriting and private placement transactions. Payables to LFCM Holdings and its subsidiaries at December 31, 2012 and 2011 include $2,943 and $2,060, respectively, primarily relating to certain advances and referral fees for Financial Advisory transactions.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Lazard Group’s receivables from subsidiaries of Lazard Ltd at December 31, 2012 and December 31, 2011 include interest-bearing loans of $101,833 and $186,078, respectively, including accrued interest thereon. Interest income relating to interest-bearing loans with subsidiaries of Lazard Ltd amounted to $11,382, $7,680 and $3,680 for the years ended December 31, 2012, 2011 and 2010, respectively.</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of December 31, 2012 and 2011, Lazard Group’s payables to subsidiaries of Lazard Ltd includes $3,410 and $3,695, respectively, in connection with Lazard Group’s prior year business acquisitions. In addition, as of December 31, 2012 and 2011, Lazard Group’s payables to subsidiaries of Lazard Ltd include interest-bearing loans, plus accrued interest thereon, of approximately $202,000 and $123,000, respectively. Such amount 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December 31, 2012 includes approximately $86,000 resulting from the sale in the first quarter of 2012 of an interest-bearing intercompany receivable due from a Lazard Group subsidiary to a Lazard Ltd subsidiary, which was sold at a discount to reflect arm’s-length terms, resulting in a loss to Lazard Group of $5,638. Interest expense relating to interest-bearing loans with subsidiaries of Lazard Ltd amounted to $9,843, $4,086 and $4,591 for the years ended December 31, 2012, 2011 and 2010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the years ended December 31, 2012 and 2011, amounts recorded by Lazard Group relating to referral fees for restructuring transactions and fee sharing with MBA Lazard Holdings S.A. and its affiliates (“MBA”), an Argentina-based group in which the Company has a 50% ownership interest, amounted to $1,506 and $1,866, respectively, and are reported in advisory fee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receivables at December 31, 2012 and 2011 primarily relate to referral fees for restructuring and M&amp;A transactions with MBA and a related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2012, 2011 and 2010, such charges amounted to $1,000, $750 and $750,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Through February 2009, the Company had prepaid $5,500 of the option exercise price related to the North American business of LAI. The remaining option to purchase the North American fund management activities is currently exercisable at any time prior to May 10, 2014, for a purchase price of $2,500.</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Accordingly, during such period the Company wrote-off the $5,500 previously capitalized cost associated with the prepayment of the option which is included within “other” operating expenses on the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December 31, 2012, LFNY’s regulatory net capital was $107,838, which exceeded the minimum requirement by $101,393.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U.K. subsidiaries of the Company, including LCL, Lazard Fund Managers Limited and Lazard Asset Management Limited (the “U.K.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authorized and regulated by the Financial Services Authority. At December 31, 2012, the aggregate regulatory net capital of the U.K.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 was $119,704, which exceeded the minimum requirement by $100,929.</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2012, the consolidated regulatory net capital of CFLF was $177,475, which exceeded the minimum requirement set for regulatory capital levels by $80,927.</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2012, for those subsidiaries with regulatory capital requirements, their aggregate net capital was $130,278, which exceeded the minimum required capital by $103,774.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each of these subsidiaries individually was in compliance with its regulatory capital requirements.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Lazard Ltd had been subject to supervision by the United States Securities and Exchange Commission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process as such rules are proposed and adopted.</w:t>
      </w:r>
    </w:p>
    <w:p>
      <w:pPr>
        <w:spacing w:after="0" w:line="24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2012, 2011 and 2010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76"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years ended December 31, 2012, 2011 and 2010, no individual client constituted more than 10% of the net revenue of any of the Company’s business segments.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tbl>
      <w:tblPr>
        <w:tblLayout w:type="fixed"/>
        <w:tblInd w:w="0" w:type="dxa"/>
        <w:tblCellMar>
          <w:top w:w="0" w:type="dxa"/>
          <w:left w:w="0" w:type="dxa"/>
          <w:bottom w:w="0" w:type="dxa"/>
          <w:right w:w="0" w:type="dxa"/>
        </w:tblCellMar>
      </w:tblPr>
      <w:tr>
        <w:trPr>
          <w:trHeight w:val="15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gridSpan w:val="8"/>
          </w:tcPr>
          <w:p>
            <w:pPr>
              <w:jc w:val="right"/>
              <w:ind w:right="640"/>
              <w:spacing w:after="0" w:line="151" w:lineRule="exact"/>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2012(b)</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30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1,049,090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1,119,867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Operating Expenses (a)</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1,057,620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929,688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793,007</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767,699</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Operating Expenses (a)</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659,502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268,456</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566,677</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583,524</w:t>
            </w: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(55,947)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Operating Expenses (a)</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33,137</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(89,084)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(187,404)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1,688,696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1,686,230</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1,849,871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1,908,130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1,833,561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1,904,505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00" w:type="dxa"/>
            <w:vAlign w:val="bottom"/>
          </w:tcPr>
          <w:p>
            <w:pPr>
              <w:ind w:left="1060"/>
              <w:spacing w:after="0"/>
              <w:rPr>
                <w:sz w:val="20"/>
                <w:szCs w:val="20"/>
                <w:color w:val="auto"/>
              </w:rPr>
            </w:pPr>
            <w:r>
              <w:rPr>
                <w:rFonts w:ascii="Arial" w:cs="Arial" w:eastAsia="Arial" w:hAnsi="Arial"/>
                <w:sz w:val="18"/>
                <w:szCs w:val="18"/>
                <w:color w:val="auto"/>
              </w:rPr>
              <w:t>Operating Expenses (a)</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1,786,537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1,591,770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1,657,696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241,791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00" w:type="dxa"/>
            <w:vAlign w:val="bottom"/>
            <w:vMerge w:val="restart"/>
          </w:tcPr>
          <w:p>
            <w:pPr>
              <w:ind w:left="10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3,048,380</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3,037,453</w:t>
            </w: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3,336,284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Asset Management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21,895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14,339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30,855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24,580</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80" w:type="dxa"/>
            <w:vAlign w:val="bottom"/>
            <w:vMerge w:val="restart"/>
          </w:tcPr>
          <w:p>
            <w:pPr>
              <w:jc w:val="right"/>
              <w:ind w:right="1852"/>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Savings Initiatives announced by the Company in the fourth quarter of 2012, and the impact on each of the Company’s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1,168,199</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1,087,507</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1,160,171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265,523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234,441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1,908,130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1,833,561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1,904,505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215,528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(37,329)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(18,074)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121,593</w:t>
            </w:r>
          </w:p>
        </w:tc>
        <w:tc>
          <w:tcPr>
            <w:tcW w:w="2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241,791</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1,568,818</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1,586,064</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1,735,744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808,655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773,196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3,048,380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3,037,453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3,336,284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2012 and 2011.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2012 Fiscal Quarter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6"/>
              </w:rPr>
              <w:t>Second</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Fourth(a)</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480,528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436,937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429,311</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561,354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447,950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391,483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381,811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565,293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1,786,537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47,500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34,919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36,731</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net income (loss) attributable to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33,272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38,296</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See Note 16 of Notes to Consolidated Financial Statements for information regarding the Cost Savings Initiatives announced in the fourth quarter of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2011 Fiscal 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2"/>
              </w:rPr>
              <w:t>Second</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438,213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477,712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465,323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452,313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364,317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387,260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374,547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465,646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1,591,770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90,452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90,776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(13,333)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241,791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63,507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76,735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77,896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214,383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62,265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71,185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77,671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00" w:type="dxa"/>
            <w:vAlign w:val="bottom"/>
            <w:vMerge w:val="restart"/>
          </w:tcPr>
          <w:p>
            <w:pPr>
              <w:jc w:val="right"/>
              <w:ind w:right="572"/>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2012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20"/>
          </w:cols>
          <w:pgMar w:left="24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2013</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Laurent Mignon</w:t>
      </w:r>
      <w:r>
        <w:rPr>
          <w:rFonts w:ascii="Arial" w:cs="Arial" w:eastAsia="Arial" w:hAnsi="Arial"/>
          <w:sz w:val="16"/>
          <w:szCs w:val="16"/>
          <w:color w:val="auto"/>
        </w:rPr>
        <w:t>, age 49, has served as a director of Lazard Ltd and Lazard Group since July 2009. Mr. Mignon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Natixis (the successor to IXIS Corporate &amp; Investment Bank) since May 2009. From September 2007 to May 2009, he was General Partner of Oddo &amp; Cie, a private French investment bank. Prior to joining Oddo &amp; Cie, Mr. Mignon was the Chief Executive Officer of AGF France. He joined AGF France in 1997 as Chief Financial Officer and was nominated to be a member of the Executive Committee in 1998. Prior to joining the AGF Group, Mr. Mignon held a variety of positions in banking over a ten-year period, ranging from trading to investment banking. Mr. Mignon is a member of the Board of Directors of Sequana, and a member of the Board of Directors and of the Audit Committee of Arkema. Mr. Mignon also has been appointed as a member of the management board of Groupe BPCE. Mr. Mignon was selected to be a director of the Company pursuant to an agreement that Lazard entered into with Natixis at the time of Lazard Ltd’s equity public offering in 2005. See “Agreements with Natixis.”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Richard D. Parsons</w:t>
      </w:r>
      <w:r>
        <w:rPr>
          <w:rFonts w:ascii="Arial" w:cs="Arial" w:eastAsia="Arial" w:hAnsi="Arial"/>
          <w:sz w:val="16"/>
          <w:szCs w:val="16"/>
          <w:color w:val="auto"/>
        </w:rPr>
        <w:t>, age 64, has served as a director of Lazard Ltd and Lazard Group since June 2012. Mr. Parsons has been a senior advisor to Providence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Partners LLC since September 2009. Mr. Parsons also serves as a member of the Council on Jobs and Competitiveness for the U.S. Office of the President. Mr. Parsons is a member of the Board of Directors of The Estée Lauder Companies Inc. and The Madison Square Garden Company. Mr. Parsons previously served as Chairman of the Board of Directors of Citigroup Inc. from February 2009 through April 2012, and had served as a director of Citigroup Inc. since 1996. From May 2003 until his retirement in December 2008, Mr. Parsons served as Chairman of the Board of Time Warner Inc., and from May 2002 until December 2007, Mr. Parsons served as Chief Executive Officer of Time Warner Inc. Mr. Parsons was formerly Chairman and Chief Executive Officer of Dime Bancorp, Inc. Among his numerous community activities, Mr. Parsons is Chairman of the Apollo Theatre Foundation, Chairman of the Jazz Foundation of America, and a member of the Board of Directors of the New York City Partnership and Teach for America. Mr. Parsons also is a Trustee of the Museum of Modern Art and the American Museum of Natural History. Mr. Parsons is a member of the Nominating &amp; Governance Committee of Lazard Ltd’s Board of Directors. Mr. Parsons was selected to be a director of the Company because of his extensive and diverse leadership experience with both financial services and non-financial services businesses.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Hal S. Scott</w:t>
      </w:r>
      <w:r>
        <w:rPr>
          <w:rFonts w:ascii="Arial" w:cs="Arial" w:eastAsia="Arial" w:hAnsi="Arial"/>
          <w:sz w:val="16"/>
          <w:szCs w:val="16"/>
          <w:color w:val="auto"/>
        </w:rPr>
        <w:t>, age 69, has served as a director of Lazard Ltd and Lazard Group since March 2006. Professor Scott is the Nomura Professor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Program on International Financial Systems at Harvard Law School, where he has taught since 1975. Before joining Harvard he served as a Law Clerk for the Hon. Justice Byron R. White, U.S. Supreme Court, from 1973 to 1974, and as an Assistant Professor of Law, University of California at Berkeley from 1974 to 1975. Professor Scott has published numerous books and articles on finance, international trade and securities laws. He is the President of the Committee on Capital Markets Regulation, Inc. Professor Scott is a past President of the International Academy of Consumer and Commercial Law and a past Governor of the American Stock Exchange (2002-2005). Professor Scott is the Chairman of the Nominating &amp; Governance Committee and a member of the Audit Committee of Lazard Ltd’s Board of Directors. Professor Scott was selected to be a director of the Company because of his impressive academic background and expertise in public policy and global financial market regulation as it affects the financial services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2014</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Kenneth M. Jacobs</w:t>
      </w:r>
      <w:r>
        <w:rPr>
          <w:rFonts w:ascii="Arial" w:cs="Arial" w:eastAsia="Arial" w:hAnsi="Arial"/>
          <w:sz w:val="16"/>
          <w:szCs w:val="16"/>
          <w:color w:val="auto"/>
        </w:rPr>
        <w:t>, age 54, has served as Chairman of the Board of Directors and Chief Executive Officer of Lazard Ltd and Lazard Group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 Mr. Jacobs was selected to be the Chairman and Chief Executive Officer of Lazard because of his vision, intellect and dynamism, his proven track record of creativity in building new businesses, as well as his skills as a trusted advisor, collaborator and team leader.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Philip A. Laskawy</w:t>
      </w:r>
      <w:r>
        <w:rPr>
          <w:rFonts w:ascii="Arial" w:cs="Arial" w:eastAsia="Arial" w:hAnsi="Arial"/>
          <w:sz w:val="16"/>
          <w:szCs w:val="16"/>
          <w:color w:val="auto"/>
        </w:rPr>
        <w:t>, age 71, has served as a director of Lazard Ltd and Lazard Group since July 2008. Mr. Laskawy served as Chairman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Ernst &amp; Young from 1994 until his retirement in 2001, after 40 years of service with the professional services firm. Mr. Laskawy served as Chairman of the International Accounting Standards Board from 2006 to 2007, and as a member of the 1999 Blue Ribbon Committee on Improving the Effectiveness of Corporate Audit Committees. Mr. Laskawy has served as Chairman of Fannie Mae since September 2008 and is also a member of the Board of Directors of General Motors Corp., Loews Corp. and Henry Schein, Inc. Mr. Laskawy previously served on the Board of Directors of Discover Financial Services until September 2008. Mr. Laskawy is the Chairman of the Compensation Committee and a member of the Audit Committee of Lazard Ltd’s Board of Directors.</w:t>
      </w:r>
    </w:p>
    <w:p>
      <w:pPr>
        <w:spacing w:after="0" w:line="1"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Mr. Laskawy was selected to be a director of the Company because of his expertise in the areas of auditing and accounting, his qualifications as an “audit committee financial expert” and the unique perspective he brings as a former chief executive of one of the “big four” accounting firms.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Michael J. Turner</w:t>
      </w:r>
      <w:r>
        <w:rPr>
          <w:rFonts w:ascii="Arial" w:cs="Arial" w:eastAsia="Arial" w:hAnsi="Arial"/>
          <w:sz w:val="16"/>
          <w:szCs w:val="16"/>
          <w:color w:val="auto"/>
        </w:rPr>
        <w:t>, CBE, age 64, has served as a director of Lazard Ltd and Lazard Group since March 2006. In November 2008, Mr. Turner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the non-executive Chairman of Babcock International Group PLC. Mr. Turner was the Chief Executive Officer of BAE Systems plc from March 2002 until August 2008. Mr. Turner joined BAE Systems in 1966 and held a number of commercial, marketing and general management positions, including Chief Operating Officer from 1999 to March 2002. Mr. Turner was appointed a non-executive member of the Board of Directors of GKN PLC in September 2009 and then Chairman in May 2012. Mr. Turner is a member of the Compensation Committee and the Nominating &amp; Governance Committee of Lazard Ltd’s Board of Directors. Mr. Turner was selected to be a director of the Company because of his extensive background, experience and leadership as a former chief executive in the aerospace and defense industry and the Board of Directors’ desire to add geographical diversity to its membership that reflects the Company’s client base in Europe.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2015</w:t>
      </w:r>
    </w:p>
    <w:p>
      <w:pPr>
        <w:spacing w:after="0" w:line="96" w:lineRule="exact"/>
        <w:rPr>
          <w:sz w:val="20"/>
          <w:szCs w:val="20"/>
          <w:color w:val="auto"/>
        </w:rPr>
      </w:pPr>
    </w:p>
    <w:p>
      <w:pPr>
        <w:ind w:right="80" w:firstLine="456"/>
        <w:spacing w:after="0" w:line="282" w:lineRule="auto"/>
        <w:rPr>
          <w:sz w:val="20"/>
          <w:szCs w:val="20"/>
          <w:color w:val="auto"/>
        </w:rPr>
      </w:pPr>
      <w:r>
        <w:rPr>
          <w:rFonts w:ascii="Arial" w:cs="Arial" w:eastAsia="Arial" w:hAnsi="Arial"/>
          <w:sz w:val="16"/>
          <w:szCs w:val="16"/>
          <w:i w:val="1"/>
          <w:iCs w:val="1"/>
          <w:color w:val="auto"/>
        </w:rPr>
        <w:t>Andrew M. Alper</w:t>
      </w:r>
      <w:r>
        <w:rPr>
          <w:rFonts w:ascii="Arial" w:cs="Arial" w:eastAsia="Arial" w:hAnsi="Arial"/>
          <w:sz w:val="16"/>
          <w:szCs w:val="16"/>
          <w:color w:val="auto"/>
        </w:rPr>
        <w:t>, age 55, has served as a director of Lazard Ltd and Lazard Group since October 2012. Mr. Alper serves as Chairman of Alper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Inc. From October 2006 to January 2013, Mr. Alper served as the Chairman and Chief Executive Officer of EQA Partners, LP, a limited partnership engaged in a global macro strategy. From February 2002 to June 2006, Mr. Alper served as President of the New York City Economic Development Corporation and Chairman of the New York City Industrial Development Agency, appointed to both positions by Mayor Michael Bloomberg. Prior to that, Mr. Alper spent 21 years in the Investment Banking Division of Goldman, Sachs &amp; Co., where he was Chief Operating Officer of the Investment Banking Division from 1997 to 2000. Mr. Alper was co-head of the Financial Institutions Group of the Investment Banking Division of Goldman, Sachs &amp; Co. from 1994 to 1997. Mr. Alper previously served on the Board of Directors of FBR Capital Markets Corporation from January 2007 until June 2009. Mr. Alper is Chairman of the University of Chicago Board of Trustees and also serves as a Trustee of The University of Chicago Medical Center and the Mount Sinai Medical Center in New York.</w:t>
      </w:r>
    </w:p>
    <w:p>
      <w:pPr>
        <w:spacing w:after="0" w:line="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Mr. Alper is Chairman of the Audit Committee of Lazard Ltd’s Board of Directors. Mr. Alper was selected to be a director of the Company because of his extensive experience with the financial and operational aspects of businesses that are comparable to the Company, as well as his background and experience in government service.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Ashish Bhutani</w:t>
      </w:r>
      <w:r>
        <w:rPr>
          <w:rFonts w:ascii="Arial" w:cs="Arial" w:eastAsia="Arial" w:hAnsi="Arial"/>
          <w:sz w:val="16"/>
          <w:szCs w:val="16"/>
          <w:color w:val="auto"/>
        </w:rPr>
        <w:t>, age 52, has served as a director of Lazard Ltd and Lazard Group since March 2010. Mr. Bhutani is a Vice Chairman and a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Lazard and has been the Chief Executive Officer of Lazard Asset Management (“LAM”) since March 2004. Mr. Bhutani previously served as Head of New Products and Strategic Planning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Fixed Income. Mr. Bhutani is a member of the Board of Directors of four registered investment companies, which are part of the Lazard fund complex.</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Bhutani was selected to be a director of the Company because of his extensive background, experience and knowledge of the asset management industry, his role within the firm as Chief Executive Officer of LAM and Mr. Jacobs’ and the Board’s desire that Mr. Bhutani become a regular contributor to the Board’s deliberations.</w:t>
      </w:r>
    </w:p>
    <w:p>
      <w:pPr>
        <w:spacing w:after="0" w:line="14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Steven J. Heyer</w:t>
      </w:r>
      <w:r>
        <w:rPr>
          <w:rFonts w:ascii="Arial" w:cs="Arial" w:eastAsia="Arial" w:hAnsi="Arial"/>
          <w:sz w:val="16"/>
          <w:szCs w:val="16"/>
          <w:color w:val="auto"/>
        </w:rPr>
        <w:t>, age 60, has served as a director of Lazard Ltd and Lazard Group since June 2005 and was appointed Lead Director in November 2009.</w:t>
      </w:r>
      <w:r>
        <w:rPr>
          <w:rFonts w:ascii="Arial" w:cs="Arial" w:eastAsia="Arial" w:hAnsi="Arial"/>
          <w:sz w:val="16"/>
          <w:szCs w:val="16"/>
          <w:i w:val="1"/>
          <w:iCs w:val="1"/>
          <w:color w:val="auto"/>
        </w:rPr>
        <w:t xml:space="preserve"> </w:t>
      </w:r>
      <w:r>
        <w:rPr>
          <w:rFonts w:ascii="Arial" w:cs="Arial" w:eastAsia="Arial" w:hAnsi="Arial"/>
          <w:sz w:val="16"/>
          <w:szCs w:val="16"/>
          <w:color w:val="auto"/>
        </w:rPr>
        <w:t>Mr. Heyer is the founder and Chief Executive Officer of Avra Kehdabra LLC, a feature animation company. Mr. Heyer is also an investor in, and the Chief Executive Officer of, the Pod Hotel Group. From February 2010 until March 2011, Mr. Heyer served as Chairman and CEO of Harry &amp; David Holdings, Inc., a company that was in financial distress at the time of his appointment and that filed for bankruptcy protection in March 2011. Mr. Heyer resigned as CEO prior to the company’s bankruptcy filing but remained as Chairman to provide guidance and leadership through the bankruptcy proceedings. The company emerged from bankruptcy in September 2011, and Mr. Heyer resigned as Chairman at that time. Mr. Heyer was the Chief Executive Officer of Starwood Hotels &amp; Resorts Worldwide from October 2004 until April 2007. Prior to joining Starwood, he was President and Chief Operating Officer of The Coca-Cola Company from 2002 to September 2004. From 1994 to 2001 he was President and Chief Operating Officer of Turner Broadcasting System, Inc., and a member of AOL Time Warner’s Operating Committee. Previously, Mr. Heyer was President and Chief Operating Officer of Young &amp; Rubicam Advertising Worldwide, and before that spent 15 years at Booz Allen &amp; Hamilton, ultimately becoming Senior Vice President and Managing Partner. He is a member of the Board of Directors of Omnicare, Inc. Mr. Heyer has ownership positions in a portfolio of private companies and is a member of many of their boards of directors. Mr. Heyer is a member of the Audit Committee, the Compensation Committee and the Nominating &amp; Governance Committee of Lazard Ltd’s Board of Directors. Mr. Heyer was selected to be a director of the Company because of the depth of his analytical skills, which he has applied in a variety of leadership positions across diverse industry groups, including broadcast media, consumer products, and hotel and leisure companies.</w:t>
      </w:r>
    </w:p>
    <w:p>
      <w:pPr>
        <w:spacing w:after="0" w:line="12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Sylvia Jay</w:t>
      </w:r>
      <w:r>
        <w:rPr>
          <w:rFonts w:ascii="Arial" w:cs="Arial" w:eastAsia="Arial" w:hAnsi="Arial"/>
          <w:sz w:val="16"/>
          <w:szCs w:val="16"/>
          <w:color w:val="auto"/>
        </w:rPr>
        <w:t>, CBE, age 66, has served as a director of Lazard Ltd and Lazard Group since March 2006. Lady Jay is Chairman of L’Oreal UK, a position she</w:t>
      </w:r>
      <w:r>
        <w:rPr>
          <w:rFonts w:ascii="Arial" w:cs="Arial" w:eastAsia="Arial" w:hAnsi="Arial"/>
          <w:sz w:val="16"/>
          <w:szCs w:val="16"/>
          <w:i w:val="1"/>
          <w:iCs w:val="1"/>
          <w:color w:val="auto"/>
        </w:rPr>
        <w:t xml:space="preserve"> </w:t>
      </w:r>
      <w:r>
        <w:rPr>
          <w:rFonts w:ascii="Arial" w:cs="Arial" w:eastAsia="Arial" w:hAnsi="Arial"/>
          <w:sz w:val="16"/>
          <w:szCs w:val="16"/>
          <w:color w:val="auto"/>
        </w:rPr>
        <w:t>has held since June 2011. From September 2005 until June 2011 she was Vice Chairman of L’Oreal UK. From January 2001 to August 2005, she was the Director General of the Food &amp; Drink Federation, a UK trade body. Lady Jay joined the United Kingdom Civil Service in 1971. Her civil service career, until she resigned in 1995, mainly concerned government financial aid to developing countries, including being a non-executive director of the Gibraltar Ship Repair Company. She also worked in the Civil Service Selection Board to recruit fast stream administrators and diplomats; the French Ministere de la Cooperation; the French Trésor and was one of a small international team which set up the European Bank for Reconstruction and Development. Lady Jay is a member of the Board of Directors of Saint-Gobain, Alcatel-Lucent and Groupe Casino, and was Chairman of Food from Britain from 2005 until 2009. Lady Jay is a member of the Compensation Committee and the Nominating &amp; Governance Committee of Lazard Ltd’s Board of Directors. Lady Jay was selected to be a director of the Company because of her extensive background and experience in government service and the Board’s desire to add geographical diversity that reflects the Company’s client base in Europe.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Natixis</w:t>
      </w:r>
    </w:p>
    <w:p>
      <w:pPr>
        <w:spacing w:after="0" w:line="96" w:lineRule="exact"/>
        <w:rPr>
          <w:sz w:val="20"/>
          <w:szCs w:val="20"/>
          <w:color w:val="auto"/>
        </w:rPr>
      </w:pPr>
    </w:p>
    <w:p>
      <w:pPr>
        <w:jc w:val="both"/>
        <w:ind w:right="100" w:firstLine="456"/>
        <w:spacing w:after="0" w:line="290" w:lineRule="auto"/>
        <w:rPr>
          <w:sz w:val="20"/>
          <w:szCs w:val="20"/>
          <w:color w:val="auto"/>
        </w:rPr>
      </w:pPr>
      <w:r>
        <w:rPr>
          <w:rFonts w:ascii="Arial" w:cs="Arial" w:eastAsia="Arial" w:hAnsi="Arial"/>
          <w:sz w:val="16"/>
          <w:szCs w:val="16"/>
          <w:color w:val="auto"/>
        </w:rPr>
        <w:t>As of February 8, 2013, Natixis (the successor to IXIS Corporate &amp; Investment Bank) held 6,999,800 shares of Class A common stock of Lazard Ltd, of which 2,000,000 shares of Class A common stock were acquired in recapitalization transactions in May 2005 and 4,999,800 shares were acquired in May 2008 upon the settlement of the purchase contracts related to $150 million of Lazard Ltd’s equity security units (which equity security units were also acquired in the recapitalization transactions in May 2005). In connection with this investment by Natixis in May 2005, we agreed to nominate one person designated by Natixis to our Board of Directors until such time as (1) the shares of common stock of Lazard Ltd then owned by Natixis, plus (2) the shares of common stock of Lazard Ltd issuable under the terms of any exchangeable securities issued by Lazard Ltd then owned by Natixis, constitute less than 50% of the sum of (a) the shares of common stock of Lazard Ltd initially purchased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by Natixis, plus (b) the shares of common stock of Lazard Ltd issuable under the terms of any exchangeable securities issued by Lazard Ltd initially purchased by Natixis. Laurent Mignon is currently the Natixis nominee to our Board of Directors.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Since Lazard Ltd’s Class A common stock is listed on the New York Stock Exchange and Lazard Group is part of Lazard Ltd’s consolidated reporting group, Lazard Group is not required to have a separate audit committee. Lazard Ltd maintains an independent audit committee and the Board of Directors of Lazard Ltd has determined that Mr. Laskawy has the requisite qualifications to satisfy the SEC’s definition of “audit committee financial expert”.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Ltd has adopted a Code of Business Conduct and Ethics that is applicable to all directors, managing directors, officers and employees of Lazard Ltd and its subsidiaries and affiliates. We have also adopted a Supplement to the Code of Business Conduct and Ethics for certain other senior officers, including our Chief Executive Officer, Chief Financial Officer and principal accounting officer. Each of these codes is available on our website at http://www.lazard.com/Investorrelations/CodeandEthics.aspx. A print copy of each of these documents is available to any shareholder upon request. We intend to disclose amendments to, or waivers from, the Code of Business Conduct and Ethics, if any, on our website.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Certain information relating to the compensation of our executive officers, including a Compensation Discussion and Analysis, will be included in Lazard Ltd’s definitive proxy statement for its 2013 annual general meeting of shareholders. We expect that Lazard Ltd will file its definitive proxy statement in March 2013. An amendment to this 2012 Annual Report on Form 10-K will be made at that time to reflect this additional compensation information.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contains information with respect to our named executive officers (“NEOs”): Kenneth M. Jacobs, Chairman and Chief Executive Officer; Matthieu Bucaille, Chief Financial Officer; Ashish Bhutani, Chief Executive Officer of Lazard Asset Management; Scott D. Hoffman, General Counsel; and Alexander F. Stern, Chief Operating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Change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Pension Value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Deferred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Stock</w:t>
            </w:r>
          </w:p>
        </w:tc>
        <w:tc>
          <w:tcPr>
            <w:tcW w:w="12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1"/>
                <w:szCs w:val="11"/>
                <w:color w:val="auto"/>
              </w:rPr>
            </w:pPr>
          </w:p>
        </w:tc>
        <w:tc>
          <w:tcPr>
            <w:tcW w:w="88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Bonus</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Awards</w:t>
            </w: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Earnings (c)</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5"/>
              </w:rPr>
              <w:t>Compensation (d)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2012</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$900,000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2,500,000</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w w:val="78"/>
              </w:rPr>
              <w:t>$5,370,000(a)</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7,606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31,283</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8,808,889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2,680,000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5,100,000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9,812,236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Matthieu Bucaille</w:t>
            </w: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2012</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727,500</w:t>
            </w:r>
          </w:p>
        </w:tc>
        <w:tc>
          <w:tcPr>
            <w:tcW w:w="5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$2,032,500(a)</w:t>
            </w:r>
          </w:p>
        </w:tc>
        <w:tc>
          <w:tcPr>
            <w:tcW w:w="1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387,090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3,897,090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2011</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617,500</w:t>
            </w:r>
          </w:p>
        </w:tc>
        <w:tc>
          <w:tcPr>
            <w:tcW w:w="5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$5,052,500(b)</w:t>
            </w: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692,316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7,112,316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3,950,000(e)</w:t>
            </w: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$4,950,000(a)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9,662,023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9"/>
              </w:rPr>
              <w:t>Chief Executive Officer of Lazard Asset</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2011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4,200,000(e)</w:t>
            </w: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$7,000,000(a)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11,962,734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Management</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6,250,000</w:t>
            </w:r>
          </w:p>
        </w:tc>
        <w:tc>
          <w:tcPr>
            <w:tcW w:w="5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$4,987,500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12,027,918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2012</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757,500</w:t>
            </w:r>
          </w:p>
        </w:tc>
        <w:tc>
          <w:tcPr>
            <w:tcW w:w="5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$1,932,500(a)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21,911</w:t>
            </w:r>
          </w:p>
        </w:tc>
        <w:tc>
          <w:tcPr>
            <w:tcW w:w="3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3,483,146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i w:val="1"/>
                <w:iCs w:val="1"/>
                <w:color w:val="auto"/>
              </w:rPr>
              <w:t>General Counsel</w:t>
            </w: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2011</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817,500</w:t>
            </w:r>
          </w:p>
        </w:tc>
        <w:tc>
          <w:tcPr>
            <w:tcW w:w="5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$2,250,000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28,398</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3,868,546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2010</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5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$1,652,500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12,427</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3,948,589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1,117,500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$2,807,500(a)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4,701,173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1,192,500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5,223,665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2,500,000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$1,652,500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4,932,336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8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restricted stock units with respect to Lazard Ltd Class A common stock (“RSUs”) granted to each of our NEOs during fiscal year 2012 that relate to 2011 performance. Represents for Mr. Bhutani both RSUs valued at $3,172,500 and $5,175,000 in 2012 and 2011, respectively, as well as an award of equity interests in Lazard managed funds consisting of Lazard Fund Interests, or LFIs, valued at $1,777,500 and $1,825,000 in 2012 and 2011, respectively, granted in lieu of RSUs. As required under SEC rules for compensation disclosure in proxy statements, the value of the RSUs and LFIs reported in the Summary Compensation Table is based on the grant date fair value of awards in the fiscal year actually granted (rather than in the year to which the executive’s performance relates) and, in the case of RSUs, is computed in accordance with FASB ASC Topic 718, and, in the case of LFIs, is computed based on the fair market value of the interests in the Lazard managed funds as of the date that the applicable LFIs were awarded. See Note 14 of Notes to the Consolidated Financial Statements contained in this 2012 Annual Report on Form 10-K for a discussion of the assumptions used in the valuation of the RSUs.</w:t>
      </w:r>
    </w:p>
    <w:p>
      <w:pPr>
        <w:spacing w:after="0" w:line="5"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a special long-term retention award granted in 2011 in recognition of Mr. Bucaille’s new duties as Chief Financial Officer and to ensure his long-term dedication to the Company, consisting of RSUs valued at $3.1 million that are scheduled to vest in full on March 1, 2019.</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aggregate change in actuarial present value of the NEO’s accumulated benefit under the Lazard Frères &amp; Co. LLC Employees’ Pension Plan and, in the case of Messrs. Hoffman and Stern, a related supplemental defined-benefit pension plan.</w:t>
      </w:r>
    </w:p>
    <w:p>
      <w:pPr>
        <w:ind w:left="460" w:right="10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2012, represents: (i) payment of health insurance premiums in the amount of $10,937 for Mr. Jacobs, $11,443 for Mr. Bucaille and $8,425 for each of Messrs. Bhutani and Hoffman; (ii) life and long-term disability insurance premiums in the amount of $2,690 for Mr. Jacobs, $14,851 for Mr. Bucaille and $2,690 for each of Messrs. Bhutani, Hoffman and Stern; (iii) excess liability insurance premiums in the amount of $908 for each NEO; (iv) tax preparation services in the amount of $16,748 for Mr. Jacobs, $12,561 for Mr. Bucaille and $9,212 for each of Messrs. Hoffman and Stern; and (v) for Mr. Bucaille, a housing reimbursement of $90,000 (together with a related tax gross-up of $68,597) and tuition reimbursement of $107,100 (together with a related tax gross-up of $81,630).</w:t>
      </w:r>
    </w:p>
    <w:p>
      <w:pPr>
        <w:spacing w:after="0" w:line="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an award of $940,000 that is considered a deferred cash award and will not be payable until May 2013, contingent upon Mr. Bhutani’s continued employment until the payment date. For 2011, included an award of $990,000 that was considered a deferred cash award, which was paid in May 2012 and was contingent upon Mr. Bhutani’s continued employment until the payment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provides information about RSUs granted to each of our NEOs during fiscal year 2012 that relate to 2011 performance and, for Mr. Bhutani, LFIs granted during fiscal year 2012 that relate to 2011 performance.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Grant Date Fair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Value of</w:t>
            </w: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4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Lazard Fund</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gridSpan w:val="2"/>
          </w:tcPr>
          <w:p>
            <w:pPr>
              <w:ind w:left="400"/>
              <w:spacing w:after="0" w:line="148" w:lineRule="exact"/>
              <w:rPr>
                <w:sz w:val="20"/>
                <w:szCs w:val="20"/>
                <w:color w:val="auto"/>
              </w:rPr>
            </w:pPr>
            <w:r>
              <w:rPr>
                <w:rFonts w:ascii="Arial" w:cs="Arial" w:eastAsia="Arial" w:hAnsi="Arial"/>
                <w:sz w:val="14"/>
                <w:szCs w:val="14"/>
                <w:b w:val="1"/>
                <w:bCs w:val="1"/>
                <w:color w:val="auto"/>
              </w:rPr>
              <w:t>Grant Date</w:t>
            </w: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Units</w:t>
            </w:r>
          </w:p>
        </w:tc>
        <w:tc>
          <w:tcPr>
            <w:tcW w:w="180" w:type="dxa"/>
            <w:vAlign w:val="bottom"/>
          </w:tcPr>
          <w:p>
            <w:pPr>
              <w:spacing w:after="0"/>
              <w:rPr>
                <w:sz w:val="14"/>
                <w:szCs w:val="14"/>
                <w:color w:val="auto"/>
              </w:rPr>
            </w:pPr>
          </w:p>
        </w:tc>
        <w:tc>
          <w:tcPr>
            <w:tcW w:w="860" w:type="dxa"/>
            <w:vAlign w:val="bottom"/>
          </w:tcPr>
          <w:p>
            <w:pPr>
              <w:jc w:val="center"/>
              <w:ind w:right="118"/>
              <w:spacing w:after="0" w:line="148" w:lineRule="exact"/>
              <w:rPr>
                <w:sz w:val="20"/>
                <w:szCs w:val="20"/>
                <w:color w:val="auto"/>
              </w:rPr>
            </w:pPr>
            <w:r>
              <w:rPr>
                <w:rFonts w:ascii="Arial" w:cs="Arial" w:eastAsia="Arial" w:hAnsi="Arial"/>
                <w:sz w:val="14"/>
                <w:szCs w:val="14"/>
                <w:b w:val="1"/>
                <w:bCs w:val="1"/>
                <w:color w:val="auto"/>
                <w:w w:val="85"/>
              </w:rPr>
              <w:t>Units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43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February 10, 2012</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195,985</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5,370,000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Matthieu Bucaille</w:t>
            </w:r>
          </w:p>
        </w:tc>
        <w:tc>
          <w:tcPr>
            <w:tcW w:w="4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tcPr>
          <w:p>
            <w:pPr>
              <w:jc w:val="right"/>
              <w:spacing w:after="0"/>
              <w:rPr>
                <w:sz w:val="20"/>
                <w:szCs w:val="20"/>
                <w:color w:val="auto"/>
              </w:rPr>
            </w:pPr>
            <w:r>
              <w:rPr>
                <w:rFonts w:ascii="Arial" w:cs="Arial" w:eastAsia="Arial" w:hAnsi="Arial"/>
                <w:sz w:val="18"/>
                <w:szCs w:val="18"/>
                <w:color w:val="auto"/>
              </w:rPr>
              <w:t>74,179</w:t>
            </w:r>
          </w:p>
        </w:tc>
        <w:tc>
          <w:tcPr>
            <w:tcW w:w="4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2,032,500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43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4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tcPr>
          <w:p>
            <w:pPr>
              <w:jc w:val="right"/>
              <w:spacing w:after="0"/>
              <w:rPr>
                <w:sz w:val="20"/>
                <w:szCs w:val="20"/>
                <w:color w:val="auto"/>
              </w:rPr>
            </w:pPr>
            <w:r>
              <w:rPr>
                <w:rFonts w:ascii="Arial" w:cs="Arial" w:eastAsia="Arial" w:hAnsi="Arial"/>
                <w:sz w:val="18"/>
                <w:szCs w:val="18"/>
                <w:color w:val="auto"/>
              </w:rPr>
              <w:t>70,529</w:t>
            </w:r>
          </w:p>
        </w:tc>
        <w:tc>
          <w:tcPr>
            <w:tcW w:w="4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1,932,500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43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RSUs included in the table above represent a contingent right to receive an equivalent number of shares of Lazard Ltd Class A common stock. The RSUs shown in the table that were granted on February 10, 2012 were valued by multiplying the number of RSUs awarded to each NEO by the average closing price-per-share of Lazard Ltd Class A common stock on the NYSE on the five trading days ending on February 10, 2012 ($27.40). The RSUs granted on February 10, 2012 to each of our NEOs will vest as follows: one-third on March 3, 2014 and two-thirds on March 2, 2015. Each of our NEOs signed an RSU agreement in connection with his award. In general, these agreements provide that unvested RSUs are forfeited on termination of employment, except in limited cases such as death, disability, a termination by the Company other than for “cause” or a qualifying retirement pursuant to our RSU Retirement Policy. See “RSU Retirement Policy” below. In the event of a change in control, any unvested but outstanding RSUs granted in 2012 or earlier automatically will vest. Beginning in 2013, the Company adopted “double-trigger” vesting for NEO RSU awards in the event of a change in control, such that equity awards granted in 2013 and later generally will not immediately accelerate vesting upon a change in control, but will instead require both a change in control and another event (such as a qualifying termination) in order to vest. All RSUs receive dividend equivalents at the same rate that dividends are paid on shares of Lazard Ltd Class A common stock. These dividend equivalents are credited in the form of additional RSUs with the same restrictions as the underlying RSUs to which they relate. In addition, the RSU agreements contain standard covenants including, among others, noncompetition and nonsolicitation of our clients and 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LFIs included in the table above represent interests in certain Lazard investment funds. Pursuant to the terms of these awards, a portion of</w:t>
      </w:r>
    </w:p>
    <w:p>
      <w:pPr>
        <w:spacing w:after="0" w:line="3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Mr. Bhutani’s incentive compensation is invested in funds managed by LAM. The dollar value of the portion of Mr. Bhutani’s incentive compensation that is invested in such funds is included in the table above. The LFIs granted on February 10, 2012 to Mr. Bhutani will vest as follows: one-third on March 3, 2014 and two-thirds on March 2, 2015. Mr. Bhutani signed an LFI award agreement in connection with his award, which provides that unvested LFIs are forfeited on termination of employment, except in limited cases such as death, disability, a termination by the Company other than for “cause” or a qualifying retirement pursuant to the RSU Retirement Policy. See “RSU Retirement Policy” below. In the event of a change in control, any unvested LFIs granted in 2012 or earlier automatically will vest. Beginning in 2013, the Company adopted “double-trigger” vesting for NEO LFI awards in the event of a change in control, such that LFI awards granted in 2013 and later generally will not immediately accelerate vesting upon a change in control, but will instead require both a change in control and another event (such as a qualifying termination) in order to vest. In the event the investment funds in which the LFIs are invested distribute earnings, such earnings are automatically reinvested in additional LFIs, with the same restrictions as the underlying LFIs to which they relate. In addition, Mr. Bhutani’s LFI award agreement contains standard covenants including, among others, noncompetition and nonsolicitation of our clients and employees.</w:t>
      </w:r>
    </w:p>
    <w:p>
      <w:pPr>
        <w:spacing w:after="0" w:line="1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u w:val="single" w:color="auto"/>
          <w:color w:val="auto"/>
        </w:rPr>
        <w:t>RSU Retirement Policy</w:t>
      </w:r>
      <w:r>
        <w:rPr>
          <w:rFonts w:ascii="Arial" w:cs="Arial" w:eastAsia="Arial" w:hAnsi="Arial"/>
          <w:sz w:val="18"/>
          <w:szCs w:val="18"/>
          <w:color w:val="auto"/>
        </w:rPr>
        <w:t>. Pursuant to the RSU Retirement Policy, outstanding and unvested RSUs will vest (and in the case of members of Lazard Group</w:t>
      </w:r>
      <w:r>
        <w:rPr>
          <w:rFonts w:ascii="Arial" w:cs="Arial" w:eastAsia="Arial" w:hAnsi="Arial"/>
          <w:sz w:val="18"/>
          <w:szCs w:val="18"/>
          <w:i w:val="1"/>
          <w:iCs w:val="1"/>
          <w:color w:val="auto"/>
        </w:rPr>
        <w:t xml:space="preserve"> </w:t>
      </w:r>
      <w:r>
        <w:rPr>
          <w:rFonts w:ascii="Arial" w:cs="Arial" w:eastAsia="Arial" w:hAnsi="Arial"/>
          <w:sz w:val="18"/>
          <w:szCs w:val="18"/>
          <w:color w:val="auto"/>
        </w:rPr>
        <w:t>who report income from Lazard Group and its affiliates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Schedule K-1 to Lazard Group’s Federal income tax return, RSUs will be settled in restricted shares of Lazard Ltd Class A common stock, or restricted stock) as long as (i) the holder is at least 56 years old, (ii) the holder has completed at least five years of service with the Company and (iii) the sum of the holder’s actual age and years of service is at least 70. However, following retirement, the restricted stock granted to the former RSU holders remains subject to all restrictive covenants, including continued compliance with non-compete, non-solicit and other provisions contained in the original RSU award agreement through the original vesting date of the RSUs, notwithstanding any expiration date specified therein.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up to 50% of the restricted stock granted to him or her to pay such taxes. Pursuant to the LFI award agreements, the RSU Retirement Policy also applies to LFIs.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To align employee and shareholder interests, we adopted the 2005 Bonus Plan for purposes of determining annual bonuses for our senior executives. Lazard Ltd’s compensation committee, or the Compensation Committee, has full direct responsibility and authority for determining our CEO’s compensation under the plan. In 2012, the Compensation Committee reviewed and approved the compensation of our NEOs under the plan.</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Amounts payable under the plan are allocated from a bonus pool. The actual size of the bonus pool is determined at the end of each fiscal year, taking into account the results of our operations, total shareholder return and/or other measures of our financial performance or of the financial performance of one or more of our subsidiaries or divisions, as well as competitive compensation practices in the financial services industry. A target maximum ratio of aggregate compensation and benefits expense for the year (including annual incentive payments under the plan) to annual revenue or income (or to similar measures of corporate profitability) may also be taken into account. The bonus pool is allocated among the participants in the plan with respect to each fiscal year. This allocation may be made at any time prior to payment of bonuses for such year and may take into account any factors deemed appropriate, including, without limitation, assessments of individual, subsidiary or division performance and input of management.</w:t>
      </w:r>
    </w:p>
    <w:p>
      <w:pPr>
        <w:spacing w:after="0" w:line="118"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color w:val="auto"/>
        </w:rPr>
        <w:t>Amounts payable with respect to bonuses may be satisfied in cash, through equity awards granted under either the Lazard Ltd 2008 Incentive Compensation Plan, or the 2008 Plan, or the Lazard Ltd 2005 Equity Incentive Plan, or the 2005 Plan, or through LFI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 with our NEOs</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Each of our NEOs has entered into a retention agreement with the Company. Generally, the provision of services under the retention agreements is terminable by either party upon three months’ notice, and the agreements also contain the terms and conditions set forth below.</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Compensation and Employee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Mr. Stern entered into an amended retention agreement with the Company on March 23, 2010. Mr. Bucaille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an amended retention agreement with the Company on April 1, 2011. Mr. Bhutani entered into an amended retention agreement with the Company on August 2, 2011. Mr. Hoffman entered into an amended retention agreement with the Company on May 7, 2008, which was further amended on February 23, 2011 for the sole purpose of extending the expiration date in order to align its term with the then-effective retention agreements with Messrs. Jacobs and Stern. Mr. Jacobs entered into an amended retention agreement with the Company on October 24, 2012.</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term of the agreements for Messrs. Bhutani, Bucaille, Hoffman and Stern expire on March 23, 2013 and for Mr. Jacobs, the term expires on March 31, 2016 or, if later, the second anniversary of a change in control of the Company. The retention agreements with our NEOs provide for a minimum annual base salary of $900,000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Mr. Jacobs; $750,000 for Mr. Bhutani; $750,000 for Mr. Bucaille; $600,000 for Mr. Hoffman; and $750,000 for Mr. Stern. In addition, each of our NEOs is entitled to an annual bonus to be determined under the Company’s applicable annual bonus plan on the same basis as annual bonuses are determined for other executive officers of the Company; provided that, for Mr. Jacobs, any such annual bonus will be paid in cash (up to a total, including Mr. Jacobs’ base salary, of $3 million, subject to any significant change in applicable legal requirements or prevailing market practice at the time of such award), and the amount of such award that exceeds $3 million, if any, will be paid in the form determined by the Compensation Committee; provided further that, in each case, the NEO is employed by the Company at the end of the applicable fiscal year. Subject to the latter foregoing proviso, each of Messrs. Bhutani, Bucaille, Hoffman and Stern is entitled to be paid such bonus in the same ratio of cash to equity or, in the case of Mr. Bhutani, deferred awards, as is generally applicable to other executives.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 retention agreements with our NEOs provide that each is entitled to participate in employee retirement and welfare benefit plans and programs of the type made available to our most senior executives. The retention agreement with Mr. Bucaille also provides that he is entitled to certain housing and tuition reimbursements.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u w:val="single" w:color="auto"/>
          <w:color w:val="auto"/>
        </w:rPr>
        <w:t>Payments and Benefits Upon Certain Terminations of Service</w:t>
      </w:r>
      <w:r>
        <w:rPr>
          <w:rFonts w:ascii="Arial" w:cs="Arial" w:eastAsia="Arial" w:hAnsi="Arial"/>
          <w:sz w:val="18"/>
          <w:szCs w:val="18"/>
          <w:color w:val="auto"/>
        </w:rPr>
        <w:t>. Each NEO retention agreement provides for certain severance benefits in the event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by us other than for “cause” or by the NEO for “good reason” (which we refer to below as a “qualifying termination”) prior to the expiration of the retention agreement. For Mr. Jacobs, except in the case of a qualifying termination that occurs on or following a change in control of the Company, the severance benefits described below are conditioned upon Mr. Jacobs timely delivering an irrevocable waiver and release of claims in favor of the Company. For Messrs. Bhutani, Bucaille, Hoffman and Stern, the level of the severance benefits depends on whether the applicable termination occurs prior to or on or following a change in control of the Company.</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of a qualifying termination of an NEO prior to a change in control or, for Mr. Jacobs, without regard to a change in control, the executive generally would be entitled to receive in a lump sum: (1) any unpaid base salary accrued through the date of termination; (2) any earned but unpaid bonuses for years completed prior to the date of termination; (3) a pro-rated portion of the average annual bonus (or, to the extent applicable, cash distributions, and including any bonuses paid in the form of equity awards based on the grant date value of such equity awards in accordance with our normal valuation methodology) paid or payable to the executive for the Company’s two completed fiscal years immediately preceding the fiscal year in which the termination occurs; and (4) a severance payment in the following amount: two times (one times with respect to Mr. Bhutani) the sum of such NEO’s base salary and average annual bonus (not pro-rated) described in clause (3). In the case of Mr. Jacobs, the pro-rated portion of the average annual bonus described in clause (3) of the immediately preceding payment is also payable in the event of a termination due to death or disability. Upon a qualifying termination, each NEO and their eligible dependents would generally continue to be eligible to participate in the Company’s medical and dental benefit plans, on the same basis as in effect immediately prior to the date of termination (which currently requires the NEO to pay a portion of the premiums) for two years following such termination. The period of such medical and dental benefits continuation would generally be credited towards the NEO’s credited age and service for the purpose of our retiree medical program.</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event of a qualifying termination of Messrs. Bhutani, Bucaille, Hoffman and Stern on or following a change in control, such NEO would receive the severance payments and benefits described in the preceding paragraph, except that the severance payments would be three times the sum of such executive officer’s base salary and average annual bonus for the two fiscal years that ended prior to the date of such executive officer’s termination. In addition, each of Messrs. Bhutani, Bucaille, Hoffman and Stern, and their eligible dependents, would be eligible for continued participation in our medical and dental benefit plans and receive age and service credit, as described above, except that the applicable period would be three years following the date of termination of service. In the case of Mr. Bhutani, such enhanced severance benefits would only be provided in the event of a change in control in which the Company is acquired by an entity that has an asset management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In addition to the post-employment medical and dental benefits described above, following a termination of Mr. Jacobs’ service for any reason other than for cause, Mr. Jacobs and his eligible dependents would be eligible for continued participation in our medical and dental benefits plans for the remainder of</w:t>
      </w:r>
    </w:p>
    <w:p>
      <w:pPr>
        <w:spacing w:after="0" w:line="261" w:lineRule="auto"/>
        <w:rPr>
          <w:sz w:val="20"/>
          <w:szCs w:val="20"/>
          <w:color w:val="auto"/>
        </w:rPr>
      </w:pPr>
      <w:r>
        <w:rPr>
          <w:rFonts w:ascii="Arial" w:cs="Arial" w:eastAsia="Arial" w:hAnsi="Arial"/>
          <w:sz w:val="18"/>
          <w:szCs w:val="18"/>
          <w:color w:val="auto"/>
        </w:rPr>
        <w:t>Mr. Jacobs’ life and that of his current spouse, with Mr. Jacobs or his spouse paying the full cost of all premiums associated with such coverage (other than during the periods following a qualified termination described above).</w:t>
      </w:r>
    </w:p>
    <w:p>
      <w:pPr>
        <w:spacing w:after="0" w:line="13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Under Mr. Jacobs’ amended retention agreement, he is entitled, subject to his continued employment with the Company, to the fringe benefits and perquisites to which he was entitled as of October 24, 2012. In addition, pursuant to the terms of his retention agreement, a resignation by Mr. Jacobs for good reason will be treated as a termination by the Company without cause for purposes of all equity awards outstanding at the time of such resignation.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Change in Control Excise Tax Gross-up</w:t>
      </w:r>
      <w:r>
        <w:rPr>
          <w:rFonts w:ascii="Arial" w:cs="Arial" w:eastAsia="Arial" w:hAnsi="Arial"/>
          <w:sz w:val="16"/>
          <w:szCs w:val="16"/>
          <w:color w:val="auto"/>
        </w:rPr>
        <w:t>. The retention agreements with Messrs. Bucaille, Hoffman and Stern, which all expire on March 23, 2013, provide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that in the event that the NEO’s receipt of any payment made by us under the retention agreement or otherwise is subject to the excise tax imposed 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4999 of the Code, an additional payment will be made to restore the executive to the after-tax position that he would have been in if the excise tax had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imposed. We will not enter into an amended retention agreement with any of our NEOs that provides for such an excise tax gross up. Under their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retention agreements, Messrs. Jacobs and Bhutani are not eligible for such an excise tax gross up. Under his amended retention agreement, Mr. Jacobs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pay any such excise tax or to reduce the payments subject to the excise tax, if such reduction would produce a more favorable result for him on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after-tax basis.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Noncompetition and Nonsolicitation of Clients</w:t>
      </w:r>
      <w:r>
        <w:rPr>
          <w:rFonts w:ascii="Arial" w:cs="Arial" w:eastAsia="Arial" w:hAnsi="Arial"/>
          <w:sz w:val="16"/>
          <w:szCs w:val="16"/>
          <w:color w:val="auto"/>
        </w:rPr>
        <w:t>. While providing services to the Company and during the three-month period following termination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NEO’s services (one-month period in the event of such a termination by us without cause or by the NEO for good reason), the NEO may not:</w:t>
      </w:r>
    </w:p>
    <w:p>
      <w:pPr>
        <w:spacing w:after="0" w:line="84" w:lineRule="exact"/>
        <w:rPr>
          <w:sz w:val="20"/>
          <w:szCs w:val="20"/>
          <w:color w:val="auto"/>
        </w:rPr>
      </w:pPr>
    </w:p>
    <w:p>
      <w:pPr>
        <w:ind w:left="900" w:right="180" w:hanging="325"/>
        <w:spacing w:after="0" w:line="256"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 services in a line of business that is similar to any line of business in which the NEO provided services to us in a capacity that is similar to the capacity in which the NEO acted for us while providing services to us (“competing activity”) for any business enterprise that engages in any activity, or owns a significant interest in any entity that engages in any activity, that competes with any activity in which we are engaged up to and including the date of termination of employment (a “competitive enterprise”);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acquire an ownership or voting interest of more than 5% in any competitive enterprise; or</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solicit any of our clients on behalf of a competitive enterprise in connection with the performance of services that would be competing services, or otherwise interfere with or disrupt any client’s relationship with us.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u w:val="single" w:color="auto"/>
          <w:color w:val="auto"/>
        </w:rPr>
        <w:t>Nonsolicitation of Employees</w:t>
      </w:r>
      <w:r>
        <w:rPr>
          <w:rFonts w:ascii="Arial" w:cs="Arial" w:eastAsia="Arial" w:hAnsi="Arial"/>
          <w:sz w:val="18"/>
          <w:szCs w:val="18"/>
          <w:color w:val="auto"/>
        </w:rPr>
        <w:t>. While providing services to us and during the six-month period following termination of the NEO’s services, the NEO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directly or indirectly, in any manner, solicit or hire any of our employees at the associate level or above to apply for, or accept employment with, any competitive enterprise, or otherwise interfere with any such employee’s relationship with us.</w:t>
      </w:r>
    </w:p>
    <w:p>
      <w:pPr>
        <w:spacing w:after="0" w:line="140" w:lineRule="exact"/>
        <w:rPr>
          <w:sz w:val="20"/>
          <w:szCs w:val="20"/>
          <w:color w:val="auto"/>
        </w:rPr>
      </w:pPr>
    </w:p>
    <w:p>
      <w:pPr>
        <w:ind w:right="400" w:firstLine="456"/>
        <w:spacing w:after="0" w:line="283" w:lineRule="auto"/>
        <w:rPr>
          <w:sz w:val="20"/>
          <w:szCs w:val="20"/>
          <w:color w:val="auto"/>
        </w:rPr>
      </w:pPr>
      <w:r>
        <w:rPr>
          <w:rFonts w:ascii="Arial" w:cs="Arial" w:eastAsia="Arial" w:hAnsi="Arial"/>
          <w:sz w:val="16"/>
          <w:szCs w:val="16"/>
          <w:i w:val="1"/>
          <w:iCs w:val="1"/>
          <w:u w:val="single" w:color="auto"/>
          <w:color w:val="auto"/>
        </w:rPr>
        <w:t>Transfer of Client Relationships, Nondisparagement and Notice Period Restrictions</w:t>
      </w:r>
      <w:r>
        <w:rPr>
          <w:rFonts w:ascii="Arial" w:cs="Arial" w:eastAsia="Arial" w:hAnsi="Arial"/>
          <w:sz w:val="16"/>
          <w:szCs w:val="16"/>
          <w:color w:val="auto"/>
        </w:rPr>
        <w:t>. The NEO is required, upon termination of his services to us and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90-day period following termination, to take all actions and do all things reasonably requested by us to maintain for us the business, goodwill and business relationships with our clients with which he worked; provided that such actions and things do not materially interfere with other employment or professional activities of the NEO. In addition, while providing services to us and thereafter, the NEO generally may not disparage us and, in the case of</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Mr. Jacobs, the Company generally may not disparage him, and before and during the three-month notice period prior to termination, the NEO is prohibited from entering into a written agreement to perform services for a competitive enterprise.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2012 Fiscal Year-End</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provides information about the number and value of RSUs and restricted stock held by our NEOs as of December 31, 2012. The market value of the RSUs and restricted stock was calculated based on the closing price of Lazard Ltd’s Class A common stock on the NYSE on December 31, 2012 ($29.84).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4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w w:val="85"/>
              </w:rPr>
              <w:t>Number of Shares of Restricted</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w w:val="91"/>
              </w:rPr>
              <w:t>Market Value of Restricted Stock</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400" w:type="dxa"/>
            <w:vAlign w:val="bottom"/>
          </w:tcPr>
          <w:p>
            <w:pPr>
              <w:spacing w:after="0"/>
              <w:rPr>
                <w:sz w:val="12"/>
                <w:szCs w:val="12"/>
                <w:color w:val="auto"/>
              </w:rPr>
            </w:pPr>
          </w:p>
        </w:tc>
        <w:tc>
          <w:tcPr>
            <w:tcW w:w="3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 and Restricted Stock</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and Restricted Stock Units That</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4400" w:type="dxa"/>
            <w:vAlign w:val="bottom"/>
          </w:tcPr>
          <w:p>
            <w:pPr>
              <w:spacing w:after="0"/>
              <w:rPr>
                <w:sz w:val="14"/>
                <w:szCs w:val="14"/>
                <w:color w:val="auto"/>
              </w:rPr>
            </w:pPr>
          </w:p>
        </w:tc>
        <w:tc>
          <w:tcPr>
            <w:tcW w:w="3440" w:type="dxa"/>
            <w:vAlign w:val="bottom"/>
            <w:gridSpan w:val="2"/>
          </w:tcPr>
          <w:p>
            <w:pPr>
              <w:jc w:val="right"/>
              <w:ind w:right="1640"/>
              <w:spacing w:after="0" w:line="148" w:lineRule="exact"/>
              <w:rPr>
                <w:sz w:val="20"/>
                <w:szCs w:val="20"/>
                <w:color w:val="auto"/>
              </w:rPr>
            </w:pPr>
            <w:r>
              <w:rPr>
                <w:rFonts w:ascii="Arial" w:cs="Arial" w:eastAsia="Arial" w:hAnsi="Arial"/>
                <w:sz w:val="14"/>
                <w:szCs w:val="14"/>
                <w:b w:val="1"/>
                <w:bCs w:val="1"/>
                <w:color w:val="auto"/>
                <w:w w:val="87"/>
              </w:rPr>
              <w:t>Units That Have Not Vested (1)</w:t>
            </w:r>
          </w:p>
        </w:tc>
        <w:tc>
          <w:tcPr>
            <w:tcW w:w="280" w:type="dxa"/>
            <w:vAlign w:val="bottom"/>
          </w:tcPr>
          <w:p>
            <w:pPr>
              <w:spacing w:after="0"/>
              <w:rPr>
                <w:sz w:val="14"/>
                <w:szCs w:val="14"/>
                <w:color w:val="auto"/>
              </w:rPr>
            </w:pPr>
          </w:p>
        </w:tc>
        <w:tc>
          <w:tcPr>
            <w:tcW w:w="17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6"/>
              </w:rPr>
              <w:t>Have Not Vested</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44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560,647</w:t>
            </w:r>
          </w:p>
        </w:tc>
        <w:tc>
          <w:tcPr>
            <w:tcW w:w="1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16,729,706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3"/>
              </w:rPr>
              <w:t>Matthieu Bucaille (2)</w:t>
            </w:r>
          </w:p>
        </w:tc>
        <w:tc>
          <w:tcPr>
            <w:tcW w:w="7840" w:type="dxa"/>
            <w:vAlign w:val="bottom"/>
            <w:gridSpan w:val="3"/>
          </w:tcPr>
          <w:p>
            <w:pPr>
              <w:jc w:val="right"/>
              <w:ind w:right="1620"/>
              <w:spacing w:after="0"/>
              <w:rPr>
                <w:sz w:val="20"/>
                <w:szCs w:val="20"/>
                <w:color w:val="auto"/>
              </w:rPr>
            </w:pPr>
            <w:r>
              <w:rPr>
                <w:rFonts w:ascii="Arial" w:cs="Arial" w:eastAsia="Arial" w:hAnsi="Arial"/>
                <w:sz w:val="18"/>
                <w:szCs w:val="18"/>
                <w:color w:val="auto"/>
              </w:rPr>
              <w:t>225,179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6,719,341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78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443,793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7840" w:type="dxa"/>
            <w:vAlign w:val="bottom"/>
            <w:gridSpan w:val="3"/>
          </w:tcPr>
          <w:p>
            <w:pPr>
              <w:jc w:val="right"/>
              <w:ind w:right="1620"/>
              <w:spacing w:after="0"/>
              <w:rPr>
                <w:sz w:val="20"/>
                <w:szCs w:val="20"/>
                <w:color w:val="auto"/>
              </w:rPr>
            </w:pPr>
            <w:r>
              <w:rPr>
                <w:rFonts w:ascii="Arial" w:cs="Arial" w:eastAsia="Arial" w:hAnsi="Arial"/>
                <w:sz w:val="18"/>
                <w:szCs w:val="18"/>
                <w:color w:val="auto"/>
              </w:rPr>
              <w:t>187,080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5,582,467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78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242,550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2"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RSU awards are typically granted to our NEOs in February of each year under the 2005 Plan or the 2008 Plan, and relate to the prior year’s performance. The scheduled vesting dates for outstanding RSU awards granted to each of our NEOs are as follows: (i) RSUs granted on February 10, 2012 will vest one-third on March 3, 2014 and two-thirds on March 2, 2015; (ii) RSUs granted on February 10, 2011 (and restricted stock for which such RSUs were exchanged) will vest one-third on March 1, 2013 and two-thirds on March 3, 2014; (iii) RSUs (and, in the case of Mr. Bucaille, restricted stock) granted on February 11, 2010 (and restricted stock for which such RSUs were exchanged) vested one-third on March 1, 2012 and will vest two-thirds on March 1, 2013; and (iv) RSUs granted on February 10, 2009 (and restricted stock for which such RSUs were exchanged) will vest on March 1, 2013. See Note 14 of Notes to the Consolidated Financial Statements contained in this 2012 Annual Report on Form 10-K for a discussion of the Company’s exchange of RSUs for shares of restricted stock in December 2012.</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Bucaille received a special RSU award in 2011 that will vest on March 1, 2019.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RSUs held by our NEOs that vested in 2012. The value realized on vesting was calculated based on the closing price of our Class A common stock on the NYSE on the date immediately preceding the vesting date.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6780" w:type="dxa"/>
            <w:vAlign w:val="bottom"/>
          </w:tcPr>
          <w:p>
            <w:pPr>
              <w:spacing w:after="0"/>
              <w:rPr>
                <w:sz w:val="14"/>
                <w:szCs w:val="14"/>
                <w:color w:val="auto"/>
              </w:rPr>
            </w:pPr>
          </w:p>
        </w:tc>
        <w:tc>
          <w:tcPr>
            <w:tcW w:w="16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5"/>
              </w:rPr>
              <w:t>Acquired on Vesting</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6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35,280</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1,074,629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Matthieu Bucaille</w:t>
            </w:r>
          </w:p>
        </w:tc>
        <w:tc>
          <w:tcPr>
            <w:tcW w:w="8420" w:type="dxa"/>
            <w:vAlign w:val="bottom"/>
            <w:gridSpan w:val="3"/>
          </w:tcPr>
          <w:p>
            <w:pPr>
              <w:jc w:val="right"/>
              <w:ind w:right="460"/>
              <w:spacing w:after="0"/>
              <w:rPr>
                <w:sz w:val="20"/>
                <w:szCs w:val="20"/>
                <w:color w:val="auto"/>
              </w:rPr>
            </w:pPr>
            <w:r>
              <w:rPr>
                <w:rFonts w:ascii="Arial" w:cs="Arial" w:eastAsia="Arial" w:hAnsi="Arial"/>
                <w:sz w:val="18"/>
                <w:szCs w:val="18"/>
                <w:color w:val="auto"/>
              </w:rPr>
              <w:t>31,280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952,789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8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46,922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1,429,244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8420" w:type="dxa"/>
            <w:vAlign w:val="bottom"/>
            <w:gridSpan w:val="3"/>
          </w:tcPr>
          <w:p>
            <w:pPr>
              <w:jc w:val="right"/>
              <w:ind w:right="460"/>
              <w:spacing w:after="0"/>
              <w:rPr>
                <w:sz w:val="20"/>
                <w:szCs w:val="20"/>
                <w:color w:val="auto"/>
              </w:rPr>
            </w:pPr>
            <w:r>
              <w:rPr>
                <w:rFonts w:ascii="Arial" w:cs="Arial" w:eastAsia="Arial" w:hAnsi="Arial"/>
                <w:sz w:val="18"/>
                <w:szCs w:val="18"/>
                <w:color w:val="auto"/>
              </w:rPr>
              <w:t>15,548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473,592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8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15,548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u w:val="single" w:color="auto"/>
          <w:color w:val="auto"/>
        </w:rPr>
        <w:t>U.S. Defined Benefit Pension Plans</w:t>
      </w:r>
      <w:r>
        <w:rPr>
          <w:rFonts w:ascii="Arial" w:cs="Arial" w:eastAsia="Arial" w:hAnsi="Arial"/>
          <w:sz w:val="16"/>
          <w:szCs w:val="16"/>
          <w:color w:val="auto"/>
        </w:rPr>
        <w:t>. The following table provides information with respect to the Lazard Frères &amp; Co. LLC Employees’ Pension Plan, a</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defined-benefit pension plan, and a related supplemental defined-benefit pension plan. Each of Messrs. Jacobs, Hoffman and Stern has an accrued benefit under the Lazard Frères &amp; Co. LLC Employees’ Pension Plan, and Messrs. Hoffman and Stern have accrued additional benefits under the related supplemental defined-benefit pension plan. The annual benefit under such plans, payable as a single life annuity commencing at age 65, would be $6,444 for Mr. Jacobs, $18,840 for Mr. Hoffman and $12,420 for Mr. Stern. Under the terms of the supplemental defined-benefit pension plan, the benefits are only payable in a single lump sum payment. These benefits accrued in each case prior to the date the applicable NEO became a managing director of the Company. Benefit accruals under both of these plans were frozen for all participants effective January 31, 2005. For a discussion of the valuation method and all material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assumptions applied in quantifying the present value of the current accrued benefit, see Note 15 of Notes to the Consolidated Financial Statements contained in this 2012 Annual Report on Form 10-K. Messrs. Bhutani and Bucaille do not participate in any of these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4"/>
              </w:rPr>
              <w:t>Present Value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91"/>
              </w:rPr>
              <w:t>Number of Years</w:t>
            </w:r>
          </w:p>
        </w:tc>
        <w:tc>
          <w:tcPr>
            <w:tcW w:w="7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1980" w:type="dxa"/>
            <w:vAlign w:val="bottom"/>
          </w:tcPr>
          <w:p>
            <w:pPr>
              <w:spacing w:after="0"/>
              <w:rPr>
                <w:sz w:val="12"/>
                <w:szCs w:val="12"/>
                <w:color w:val="auto"/>
              </w:rPr>
            </w:pPr>
          </w:p>
        </w:tc>
        <w:tc>
          <w:tcPr>
            <w:tcW w:w="28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Plan Name</w:t>
            </w:r>
          </w:p>
        </w:tc>
        <w:tc>
          <w:tcPr>
            <w:tcW w:w="6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of Credited Service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Benefit ($)</w:t>
            </w:r>
          </w:p>
        </w:tc>
        <w:tc>
          <w:tcPr>
            <w:tcW w:w="7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68"/>
        </w:trPr>
        <w:tc>
          <w:tcPr>
            <w:tcW w:w="156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1800" w:type="dxa"/>
            <w:vAlign w:val="bottom"/>
            <w:gridSpan w:val="2"/>
          </w:tcPr>
          <w:p>
            <w:pPr>
              <w:jc w:val="right"/>
              <w:ind w:right="402"/>
              <w:spacing w:after="0" w:line="148" w:lineRule="exact"/>
              <w:rPr>
                <w:sz w:val="20"/>
                <w:szCs w:val="20"/>
                <w:color w:val="auto"/>
              </w:rPr>
            </w:pPr>
            <w:r>
              <w:rPr>
                <w:rFonts w:ascii="Arial" w:cs="Arial" w:eastAsia="Arial" w:hAnsi="Arial"/>
                <w:sz w:val="14"/>
                <w:szCs w:val="14"/>
                <w:b w:val="1"/>
                <w:bCs w:val="1"/>
                <w:color w:val="auto"/>
              </w:rPr>
              <w:t>(1)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(2)</w:t>
            </w:r>
          </w:p>
        </w:tc>
        <w:tc>
          <w:tcPr>
            <w:tcW w:w="76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 xml:space="preserve">Fiscal Year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Kenneth M. Jacobs</w:t>
            </w:r>
          </w:p>
        </w:tc>
        <w:tc>
          <w:tcPr>
            <w:tcW w:w="198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Lazard Frères &amp; Co. LLC Employees’</w:t>
            </w:r>
          </w:p>
        </w:tc>
        <w:tc>
          <w:tcPr>
            <w:tcW w:w="6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Pension Plan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53,903</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4800" w:type="dxa"/>
            <w:vAlign w:val="bottom"/>
            <w:gridSpan w:val="2"/>
          </w:tcPr>
          <w:p>
            <w:pPr>
              <w:ind w:left="1980"/>
              <w:spacing w:after="0"/>
              <w:rPr>
                <w:sz w:val="20"/>
                <w:szCs w:val="20"/>
                <w:color w:val="auto"/>
              </w:rPr>
            </w:pPr>
            <w:r>
              <w:rPr>
                <w:rFonts w:ascii="Arial" w:cs="Arial" w:eastAsia="Arial" w:hAnsi="Arial"/>
                <w:sz w:val="18"/>
                <w:szCs w:val="18"/>
                <w:color w:val="auto"/>
                <w:w w:val="93"/>
              </w:rPr>
              <w:t>Lazard Frères &amp; Co. LLC Employees’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77,532</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0" w:type="dxa"/>
            <w:vAlign w:val="bottom"/>
            <w:gridSpan w:val="2"/>
          </w:tcPr>
          <w:p>
            <w:pPr>
              <w:ind w:left="1980"/>
              <w:spacing w:after="0"/>
              <w:rPr>
                <w:sz w:val="20"/>
                <w:szCs w:val="20"/>
                <w:color w:val="auto"/>
              </w:rPr>
            </w:pPr>
            <w:r>
              <w:rPr>
                <w:rFonts w:ascii="Arial" w:cs="Arial" w:eastAsia="Arial" w:hAnsi="Arial"/>
                <w:sz w:val="18"/>
                <w:szCs w:val="18"/>
                <w:color w:val="auto"/>
                <w:w w:val="95"/>
              </w:rPr>
              <w:t>Pension Plan Supplemental Defined-</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800" w:type="dxa"/>
            <w:vAlign w:val="bottom"/>
            <w:gridSpan w:val="2"/>
          </w:tcPr>
          <w:p>
            <w:pPr>
              <w:ind w:left="1980"/>
              <w:spacing w:after="0"/>
              <w:rPr>
                <w:sz w:val="20"/>
                <w:szCs w:val="20"/>
                <w:color w:val="auto"/>
              </w:rPr>
            </w:pPr>
            <w:r>
              <w:rPr>
                <w:rFonts w:ascii="Arial" w:cs="Arial" w:eastAsia="Arial" w:hAnsi="Arial"/>
                <w:sz w:val="18"/>
                <w:szCs w:val="18"/>
                <w:color w:val="auto"/>
              </w:rPr>
              <w:t>Benefit Pension Plan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59,184</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48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3"/>
              </w:rPr>
              <w:t>Lazard Frères &amp; Co. LLC Employees’</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71,561</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5"/>
              </w:rPr>
              <w:t>Pension Plan Supplemental Defined-</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Benefit Pension Plan</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8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Mr. Jacobs has been employed by the Company for 25 years, Mr. Hoffman 19 years and Mr. Stern 19 years. Mr. Jacobs became a managing director of the Company in 1991, Mr. Hoffman in 1999 and Mr. Stern in 2002, at which point they ceased accruing benefits under these plans.</w:t>
      </w:r>
    </w:p>
    <w:p>
      <w:pPr>
        <w:ind w:left="460" w:right="60" w:hanging="452"/>
        <w:spacing w:after="0" w:line="31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calculating the present value of accumulated benefits outlined above, Messrs. Jacobs, Hoffman and Stern are assumed to live to age 65 and subsequently retire. They are also assumed to choose the single life annuity form of benefit under the Lazard Frères &amp; Co. LLC Employees’ Pension Plan and the lump sum form of benefit under the Supplemental Defined-Benefit Pension Plan (for Messrs. Hoffman and Stern only). The interest rate and mortality rate used to determine the Employees’ Pension Plan present value is 4.05% for all years and the RP-2000 Mortality Table (with 20 years improvement) after retirement only. The Supplemental Defined-Benefit Pension Plan assumes that the annuity benefit will be converted to a lump sum at age 65 using a 4.05% interest rate and the mortality outlined in IRS Notice 2008-85 applicable for lump sum payments (projected to the year the participant attains age 65 using Scale AA). A 4.05% discount rate is used to determine the present value of this single payment at age 65 at December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described above, each of our NEOs has entered into a retention agreement with the Company that provides for certain severance benefits in the event of a termination by us other than for “cause” or by such NEO for “good reason” prior to the expiration of such retention agreement. For Messrs. Bhutani, Bucaille, Hoffman and Stern, the level of the severance benefits currently depends on whether the applicable termination occurs prior to or on or following a change in control, which, in the case of Mr. Bhutani, must be a change in control pursuant to which we are acquired by an entity that has an asset management business. For a discussion of the severance benefits provided pursuant to the retention agreements, see “Retention Agreements with our NEOs”.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of our NEOs has received RSUs and restricted stock pursuant to the 2005 Plan or the 2008 Plan, and Mr. Bhutani has received LFIs. The Company has determined to eliminate “single-trigger” vesting generally for NEO awards granted in 2013 or later; however, in the event of a change in control, all RSUs and restricted stock granted in 2012 or earlier under the 2005 Plan or the 2008 Plan, and all LFIs granted in 2012 or earlier, will automatically vest.</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shows the potential payments that would be made by the Company to each of our NEOs assuming that such NEO’s employment with the Company terminated, or a change in control occurred (in Mr. Bhutani’s case, a change in control pursuant to which we are acquired by an entity that has an asset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management business), on December 31, 2012 under the circumstances outlined in the table. For purposes of this table, the price of Lazard Ltd’s Class A common stock is assumed to be $29.84, which was the closing price on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left="612"/>
              <w:spacing w:after="0"/>
              <w:rPr>
                <w:sz w:val="20"/>
                <w:szCs w:val="20"/>
                <w:color w:val="auto"/>
              </w:rPr>
            </w:pPr>
            <w:r>
              <w:rPr>
                <w:rFonts w:ascii="Arial" w:cs="Arial" w:eastAsia="Arial" w:hAnsi="Arial"/>
                <w:sz w:val="14"/>
                <w:szCs w:val="14"/>
                <w:b w:val="1"/>
                <w:bCs w:val="1"/>
                <w:color w:val="auto"/>
                <w:w w:val="88"/>
              </w:rPr>
              <w:t>Prior to a Change in Control</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On or After a Change in Control</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92"/>
              </w:rPr>
              <w:t>Involuntary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8"/>
              </w:rPr>
              <w:t>Death 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for “Good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Termination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8"/>
              </w:rPr>
              <w:t>Death or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c>
          <w:tcPr>
            <w:tcW w:w="0" w:type="dxa"/>
            <w:vAlign w:val="bottom"/>
          </w:tcPr>
          <w:p>
            <w:pPr>
              <w:spacing w:after="0"/>
              <w:rPr>
                <w:sz w:val="1"/>
                <w:szCs w:val="1"/>
                <w:color w:val="auto"/>
              </w:rPr>
            </w:pPr>
          </w:p>
        </w:tc>
      </w:tr>
      <w:tr>
        <w:trPr>
          <w:trHeight w:val="168"/>
        </w:trPr>
        <w:tc>
          <w:tcPr>
            <w:tcW w:w="41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w w:val="93"/>
              </w:rPr>
              <w:t>Disability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3"/>
              </w:rPr>
              <w:t>Reason”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Employment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w w:val="96"/>
              </w:rPr>
              <w:t>Disability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Reason”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Kenneth M. Jacobs</w:t>
            </w:r>
          </w:p>
        </w:tc>
        <w:tc>
          <w:tcPr>
            <w:tcW w:w="25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23,750,000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23,750,000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Vesting (2) (3)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16,729,706</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16,729,706</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16,729,706</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16,729,706</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16,729,706</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16,729,706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10,975,000</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10,975,000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10,975,000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10,975,000</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10,975,000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12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225,000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Matthieu Bucaille</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7,684,612</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7,684,612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11,526,918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Restricted Share Vesting (2) (3)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6,719,341</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6,719,341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6,719,341</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6,719,341</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6,719,341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3,092,306</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3,092,306</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3,092,306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3,092,306</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3,092,306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8,806,352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12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Ashish Bhutani</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35,850,000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Lazard Fund Interest Vesting (2) (3) (6)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17,106,359</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17,106,359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17,106,359</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17,106,359</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17,106,359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11,200,000</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11,200,000</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12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Scott D. Hoffman</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Vesting (2) (3)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5,582,467</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5,582,467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5,582,467</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5,582,467</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5,582,467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7,956,932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12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Alexander F. Stern</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16,875,000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Vesting (2) (3)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7,237,692</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7,237,692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7,237,692</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7,237,692</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7,237,692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4,875,000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4,875,000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10,914,393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addition to the severance payments listed, each of our NEOs is entitled to receive between one and three years of medical and dental coverage following termination. However, amounts relative to this benefit are immaterial and have not been included in the table.</w:t>
      </w:r>
    </w:p>
    <w:p>
      <w:pPr>
        <w:spacing w:after="0" w:line="5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Valuation of all RSU and restricted stock awards is based upon the full value underlying Lazard Ltd’s Class A common stock at the close of business on December 31, 2012, without taking into account any discount for the present value of such awards. Upon a change in control, all RSU awards granted in 2012 or earlier immediately vest in full. As noted above, beginning in 2013, the Company adopted “double-trigger” vesting for NEO awards in the event of a change in control, such that NEO equity awards granted in 2013 and later generally will not immediately accelerate upon a change in control, but will instead require both a change in control and another event (such as a qualifying termination) in order to vest.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3"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death, all RSU awards vest upon the earlier of 30 days or the scheduled vesting date, and all restricted stock awards will immediately vest. Upon disability, or a termination without “cause” (or, for Mr. Jacobs, resignation for “good reason”), the NEOs, other than Mr. Bhutani, may be immediately taxed on 100% of the shares underlying the RSUs. Accordingly, 50% of the shares underlying the RSUs will be delivered to the executive immediately upon termination to allow payment of taxes, and the remaining 50% will be delivered on the original vesting dates, provided that the executive does not violate his restrictive covenants. Upon disability, or a termination without “cause”, RSU awards held by Mr. Bhutani will continue to vest on the scheduled vesting dates. The scheduled vesting dates for outstanding RSU awards are set forth in Footnote (1) to the “Outstanding Equity Awards at 2012 Fiscal Year-End” table above.</w:t>
      </w:r>
    </w:p>
    <w:p>
      <w:pPr>
        <w:spacing w:after="0" w:line="66"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Under the terms of the 2005 Bonus Plan, upon death or disability, each NEO may receive a pro-rated portion of the annual incentive compensation that he would have received in the absence of such termination. Assuming a December 31, 2012 death or disability, all NEOs were assumed to have received their full incentive compensation award for 2012 (annual cash bonus plus value of RSU award and, in the case of Mr. Bhutani, LFI award and deferred cash award).</w:t>
      </w:r>
    </w:p>
    <w:p>
      <w:pPr>
        <w:spacing w:after="0" w:line="62" w:lineRule="exact"/>
        <w:rPr>
          <w:rFonts w:ascii="Arial" w:cs="Arial" w:eastAsia="Arial" w:hAnsi="Arial"/>
          <w:sz w:val="18"/>
          <w:szCs w:val="18"/>
          <w:color w:val="auto"/>
        </w:rPr>
      </w:pPr>
    </w:p>
    <w:p>
      <w:pPr>
        <w:ind w:left="460" w:right="280"/>
        <w:spacing w:after="0" w:line="255" w:lineRule="auto"/>
        <w:rPr>
          <w:rFonts w:ascii="Arial" w:cs="Arial" w:eastAsia="Arial" w:hAnsi="Arial"/>
          <w:sz w:val="18"/>
          <w:szCs w:val="18"/>
          <w:color w:val="auto"/>
        </w:rPr>
      </w:pPr>
      <w:r>
        <w:rPr>
          <w:rFonts w:ascii="Arial" w:cs="Arial" w:eastAsia="Arial" w:hAnsi="Arial"/>
          <w:sz w:val="18"/>
          <w:szCs w:val="18"/>
          <w:color w:val="auto"/>
        </w:rPr>
        <w:t>Pursuant to their retention agreements, in the event of an involuntary termination without “cause” or resignation for “good reason” (and, for Mr. Jacobs, upon termination due to death or disability), each NEO is entitled to a pro-rated portion of the average annual bonus (or, to the extent applicable, cash distributions, and including any bonuses paid in the form of equity awards based on the grant date value of such equity awards in accordance with our normal valuation methodology) paid or payable to the executive for the Company’s two completed fiscal years immediately preceding the fiscal year in which the termination occurs.</w:t>
      </w:r>
    </w:p>
    <w:p>
      <w:pPr>
        <w:spacing w:after="0" w:line="61"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represent the amount needed to pay each NEO (other than Mr. Jacobs, who is no longer entitled to an excise tax gross-up under his amended agreement and for whom a reduction of benefits was not necessary, and Mr. Bhutani, who is not entitled to an excise tax gross-up under his retention agreement) in order to provide him with a gross-up for his excise tax obligations under Section 4999 of the Code, which imposes an excise tax on certain payments made in connection with a change in control, and any additional tax cost related to the gross-up payment, assuming that a change in control and a termination of employment by the Company without “cause” occurred on December 31, 2012. The retention agreements with Messrs. Bucaille, Hoffman and Stern all expire on March 23, 2013, and we will not enter into an amended retention agreement with any of our NEOs that provides for such an excise tax gross-up. Amounts were determined in accordance with Section 280G of the Code and the regulations issued thereunder, assuming a regular income tax rate ranging from 42.18% to 44.70% based on each applicable NEO’s work location and personal residence, each NEO’s compensation for the period from 2007-2011 and an interest rate of 0.24% for most payments, but for payments that were, pursuant to their original terms, payable in (i) greater than 3 years but less than 9 years, a rate of 0.95% and (ii) greater than 9 years, a rate of 2.40%.</w:t>
      </w:r>
    </w:p>
    <w:p>
      <w:pPr>
        <w:spacing w:after="0" w:line="41" w:lineRule="exact"/>
        <w:rPr>
          <w:rFonts w:ascii="Arial" w:cs="Arial" w:eastAsia="Arial" w:hAnsi="Arial"/>
          <w:sz w:val="16"/>
          <w:szCs w:val="16"/>
          <w:color w:val="auto"/>
        </w:rPr>
      </w:pPr>
    </w:p>
    <w:p>
      <w:pPr>
        <w:ind w:left="460" w:right="200" w:hanging="452"/>
        <w:spacing w:after="0" w:line="286"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death and, with respect to awards granted in 2012 or earlier, upon a change in control, all LFIs will immediately vest. As noted above, beginning in 2013, the Company adopted “double-trigger” vesting for NEO awards in the event of a change in control, such that LFI awards granted to our NEOs in</w:t>
      </w:r>
    </w:p>
    <w:p>
      <w:pPr>
        <w:ind w:left="460" w:right="60"/>
        <w:spacing w:after="0" w:line="302" w:lineRule="auto"/>
        <w:rPr>
          <w:rFonts w:ascii="Arial" w:cs="Arial" w:eastAsia="Arial" w:hAnsi="Arial"/>
          <w:sz w:val="16"/>
          <w:szCs w:val="16"/>
          <w:color w:val="auto"/>
        </w:rPr>
      </w:pPr>
      <w:r>
        <w:rPr>
          <w:rFonts w:ascii="Arial" w:cs="Arial" w:eastAsia="Arial" w:hAnsi="Arial"/>
          <w:sz w:val="16"/>
          <w:szCs w:val="16"/>
          <w:color w:val="auto"/>
        </w:rPr>
        <w:t>2013 and later generally will not immediately accelerate upon a change in control, but will instead require both a change in control and another event (such as a qualifying termination) in order to vest. Upon disability, or a termination without “cause”, the executive may be immediately taxed on 100% of the LFIs. Accordingly, 50% of the LFIs may be sold, and the remaining 50% will remain subject to restrictive covenants through a limited period.</w:t>
      </w:r>
    </w:p>
    <w:p>
      <w:pPr>
        <w:spacing w:after="0" w:line="28" w:lineRule="exact"/>
        <w:rPr>
          <w:rFonts w:ascii="Arial" w:cs="Arial" w:eastAsia="Arial" w:hAnsi="Arial"/>
          <w:sz w:val="16"/>
          <w:szCs w:val="16"/>
          <w:color w:val="auto"/>
        </w:rPr>
      </w:pPr>
    </w:p>
    <w:p>
      <w:pPr>
        <w:ind w:left="460" w:right="380" w:hanging="452"/>
        <w:spacing w:after="0" w:line="284"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Under the retention agreements, each of the NEOs is entitled to 3 months’ notice (or, if the Company elects, base salary in lieu of such notice period) following a termination by the Company other than for cause, death or disability. In addition, for Mr. Jacobs, this notice period or salary in lieu thereof applies upon a resignation for good reason solely due to a failure by the Company to continue, following the expiration of the retention agreement,</w:t>
      </w:r>
    </w:p>
    <w:p>
      <w:pPr>
        <w:spacing w:after="0" w:line="1"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Mr. Jacobs’ employment as Chief Executive Officer and Chairman pursuant to an agreement having terms and conditions that are reasonable and customary at the time of such expiration, except in the event that Mr. Jacobs rejects an offer of continued employment consistent with the foregoing.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an NEO had voluntarily resigned from the Company on December 31, 2012 without “good reason” or was terminated by the Company for cause, he would not have been entitled to receive any severance payments from the Company, and any unvested RSUs would have been forfeited.</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a termination for “cause” of an NEO, the term “cause” generally means: (i) conviction of, or a guilty plea or plea of nolo contendere (or non-U.S. equivalent) to, a felony, or of any other crime that legally prohibits the NEO from working for the Company; (ii) a breach of a regulatory rule that materially adversely affects the NEO’s ability to perform his duties for the Company; (iii) willful and deliberate failure on the part of the NEO (A) to perform his employment duties in any material respect or (B) to follow specific reasonable directions received from the Company (or, for Mr. Jacobs, from Lazard Ltd’s board of directors, or the Board of Directors); or (iv) a breach of the covenants contained in the retention agreements that is (individually or combined with other such breaches) demonstrably and materially injurious to the Company or any of its affiliates. Notwithstanding the foregoing, (1) with respect to the events described in clauses (ii) and (iii)(A) of the prior sentence, the NEO’s acts or failure to act generally shall not constitute cause to the extent taken (or not taken) based upon, in the case of our NEOs other than Mr. Jacobs, the direct instructions of the Board of Directors and, in the case of Mr. Jacobs, the direct instructions of the Board of Directors or upon the direct advice of counsel to the Company; (2) for Mr. Jacobs, no act or failure to act will be considered “willful” unless it is done (or omitted to be done) by Mr. Jacobs in bad faith or without reasonable belief that his action or omission was in the best interests of the Company; (3) clause (iii) of the prior sentence will not apply to any failure by Mr. Jacobs resulting from incapacity due to physical or mental illness or following a termination by the Company of his employment without cause or his resignation for good reason. In addition, for Mr. Jacobs, any termination following a change in control for a reason other than as described in clause (i) above shall not be considered for “cause” until Mr. Jacobs is delivered a copy of a valid resolution finding, by the affirmative vote of two-thirds of the entire membership of the board of directors (or similar governing body) of the entity that is the parent of the Company, that circumstances constituting “cause” exist.</w:t>
      </w:r>
    </w:p>
    <w:p>
      <w:pPr>
        <w:spacing w:after="0" w:line="1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a resignation by an NEO other than Mr. Jacobs for “good reason”, their retention agreements generally define “good reason” as (subject to notice and a cure period): (i) the assignment of the NEO to any duties inconsistent in any material respect with his position (including status, offices, titles and reporting requirements), authority, duties or responsibilities as in effect as of (A) May 7, 2008 with respect to Mr. Hoffman, (B) March 23, 2010 with respect to Mr. Stern, (C) April 1, 2011 with respect to Mr. Bucaille and (D) August 2, 2011 with respect to Mr. Bhutani, or any other action by the Company which results in a material diminution in such position, authority, duties or responsibilities from the level in effect as of such date; (ii) a material breach by the Company of the terms of the retention agreement; or (iii) any requirement that the NEO’s principal place of employment be relocated to a location that increases the executive’s commute from his primary residence by more than 30 miles. With respect to a resignation by Mr. Jacobs for “good reason”, his retention agreement generally defines “good reason” as (subject to notice and a cure period): (i) the assignment to Mr. Jacobs of any duties inconsistent in any material respect with his positions as Chief Executive Officer and Chairman (including status, offices, titles and reporting requirements), authority, duties or responsibilities as in effect as of October 24, 2012, including any authority, duties and responsibilities as are consistent with those exercised generally as the chief executive officer of a public company, or any other action by the Company which results in a material diminution in such position, authority, duties or responsibilities from those contemplated by the amended retention agreement; (ii) any obligation that Mr. Jacobs report other than directly to the Board of Directors; (iii) a material breach by the Company of the terms of the retention agreement, including the nondisparagement covenant favoring Mr. Jacobs; (iv) any requirement that Mr. Jacobs’ principal place of employment be relocated to a location that increases the executive’s commute from his primary residence by more than 30 miles; or (v) any failure by the Company to continue, following the expiration of the retention agreement, Mr. Jacobs’ employment as Chief Executive Officer and Chairman pursuant to an agreement having terms and conditions that are reasonable and customary at the time of such expiration, except in the event that Mr. Jacobs rejects an offer of continued employment consistent with the foregoing.</w:t>
      </w:r>
    </w:p>
    <w:p>
      <w:pPr>
        <w:spacing w:after="0" w:line="12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“change in control,” as used in the retention agreements, the 2005 Plan and the 2008 Plan, generally means any of the following events: (i) an acquisition (other than directly from the Company) by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individual, entity or a group (excluding the Company or an employee benefit plan of the Company or a corporation controlled by Lazard’s shareholders) of 20% (30% for purposes of the 2008 Plan) or more of either (A) the then-outstanding shares of Lazard Ltd common stock (treating, for this purpose, the then-outstanding Class II interests of LAZ-MD Holdings (“Class II interests”) as shares of Lazard Ltd common stock on an as-if fully exchanged basis in accordance with the Master Separation Agreement) (the “Outstanding Lazard Ltd Common Stock”), assuming the full exchange of all of the then-outstanding Class II interests for shares of Lazard Ltd common stock in accordance with the Master Separation Agreement or (B) the combined voting power of the then-outstanding voting securities of Lazard Ltd entitled to vote generally in the election of directors (the “Outstanding Lazard Ltd Voting Securities”); (ii) a change in a majority of the current Board of Directors (the “Incumbent Board”) (excluding any persons approved by a vote of at least a majority of the Incumbent Board other than in connection with an actual or a threatened proxy contest); (iii) consummation of a merger, consolidation or sale of all or substantially all of the Company’s assets (collectively, a “Business Combination”) other than a Business Combination in which all or substantially all of the individuals and entities who are the beneficial owners, respectively, of the Outstanding Lazard Ltd Common Stock and Outstanding Lazard Ltd Voting Securities immediately prior to such Business Combination (assuming in each case the full exchange of the Class II interests for shares of Lazard Ltd common stock in accordance with the Master Separation Agreement) will beneficially own, directly or indirectly, more than 50% of, respectively, the outstanding shares of Lazard Ltd common stock, and the combined voting power of the then-outstanding voting securities entitled to vote generally in the election of directors, as the case may be, of the corporation resulting from such Business Combination, at least a majority of the board of directors of the resulting corporation were members of the Incumbent Board, and after which no Person owns 20% (30% for purposes of the 2008 Plan) or more of the stock of the resulting corporation, who did not own such stock immediately before the Business Combination; or (iv) shareholder approval of a complete liquidation or dissolution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2012</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Directors who are officers of the Company do not receive any fees for their service as directors. In 2012, our directors’ compensation program provided that each of our non-employee directors would receive an annual cash retainer of $119,250 and an annual award of deferred stock units (“DSUs”) with a grant date value of $145,750. An additional annual retainer was paid to the Lead Director and the chairs of each committee of Lazard Ltd’s Board of Directors as follows: the Lead Director, $50,000; the chair of the Audit Committee, $30,000; the chair of the Nominating &amp; Governance Committee, $20,000; and the chair of the Compensation Committee, $20,000; which, in each case, was paid 45% in cash and 55% in DSUs. The other members of the Audit Committee were paid an additional annual retainer of $20,000, and the other members of the Nominating &amp; Governance Committee and the Compensation Committee were paid an additional annual retainer of $15,000, which, in each case, was paid 45% in cash and 55% in DSUs. Cash compensation is paid out on a quarterly basis (on February 15th, May 15th, August 15th and November 15th), and the DSU awards described above are granted on an annual basis on June 1st of each year, except for initial pro-rated grants made to new directors upon their joining the Board of Directors. The number of DSUs granted is determined based on the closing price of Lazard Ltd’s Class A common stock on the NYSE on the date of grant.</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Non-employee directors may elect to receive additional DSUs in lieu of some or all of their cash compensation pursuant to the Directors Fee Deferral Unit Plan, which was approved by the Board of Directors on May 9, 2006. DSUs awarded under this plan are granted on the same quarterly payment dates as cash compensation would have been received, and the number of DSUs is determined based on the closing price of Lazard Ltd’s Class A common stock on the NYSE on the date of grant.</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DSUs awarded under these arrangements are converted to Lazard Ltd’s Class A common stock on a one-for-one basis and distributed to the director after he or she resigns or otherwise ceases to be a member of the Board of Directors. All DSUs receive dividend equivalents, which are paid in cash, at the same rate and time that dividends are paid on shares of Lazard Ltd’s Class A common stock.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&amp; Governance Committee periodically reviews director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7"/>
              </w:rPr>
              <w:t>Directors</w:t>
            </w:r>
          </w:p>
        </w:tc>
        <w:tc>
          <w:tcPr>
            <w:tcW w:w="3160" w:type="dxa"/>
            <w:vAlign w:val="bottom"/>
            <w:vMerge w:val="restart"/>
          </w:tcPr>
          <w:p>
            <w:pPr>
              <w:spacing w:after="0"/>
              <w:rPr>
                <w:sz w:val="14"/>
                <w:szCs w:val="14"/>
                <w:color w:val="auto"/>
              </w:rPr>
            </w:pPr>
          </w:p>
        </w:tc>
        <w:tc>
          <w:tcPr>
            <w:tcW w:w="3680" w:type="dxa"/>
            <w:vAlign w:val="bottom"/>
            <w:gridSpan w:val="4"/>
          </w:tcPr>
          <w:p>
            <w:pPr>
              <w:ind w:left="2120"/>
              <w:spacing w:after="0"/>
              <w:rPr>
                <w:sz w:val="20"/>
                <w:szCs w:val="20"/>
                <w:color w:val="auto"/>
              </w:rPr>
            </w:pPr>
            <w:r>
              <w:rPr>
                <w:rFonts w:ascii="Arial" w:cs="Arial" w:eastAsia="Arial" w:hAnsi="Arial"/>
                <w:sz w:val="14"/>
                <w:szCs w:val="14"/>
                <w:b w:val="1"/>
                <w:bCs w:val="1"/>
                <w:color w:val="auto"/>
              </w:rPr>
              <w:t>Fees Earned or</w:t>
            </w:r>
          </w:p>
        </w:tc>
        <w:tc>
          <w:tcPr>
            <w:tcW w:w="100" w:type="dxa"/>
            <w:vAlign w:val="bottom"/>
          </w:tcPr>
          <w:p>
            <w:pPr>
              <w:spacing w:after="0"/>
              <w:rPr>
                <w:sz w:val="14"/>
                <w:szCs w:val="14"/>
                <w:color w:val="auto"/>
              </w:rPr>
            </w:pPr>
          </w:p>
        </w:tc>
        <w:tc>
          <w:tcPr>
            <w:tcW w:w="14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560" w:type="dxa"/>
            <w:vAlign w:val="bottom"/>
            <w:gridSpan w:val="3"/>
          </w:tcPr>
          <w:p>
            <w:pPr>
              <w:jc w:val="right"/>
              <w:ind w:right="760"/>
              <w:spacing w:after="0" w:line="148" w:lineRule="exact"/>
              <w:rPr>
                <w:sz w:val="20"/>
                <w:szCs w:val="20"/>
                <w:color w:val="auto"/>
              </w:rPr>
            </w:pPr>
            <w:r>
              <w:rPr>
                <w:rFonts w:ascii="Arial" w:cs="Arial" w:eastAsia="Arial" w:hAnsi="Arial"/>
                <w:sz w:val="14"/>
                <w:szCs w:val="14"/>
                <w:b w:val="1"/>
                <w:bCs w:val="1"/>
                <w:color w:val="auto"/>
                <w:w w:val="92"/>
              </w:rPr>
              <w:t>Paid in Cash</w:t>
            </w:r>
          </w:p>
        </w:tc>
        <w:tc>
          <w:tcPr>
            <w:tcW w:w="15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 (1)</w:t>
            </w:r>
          </w:p>
        </w:tc>
        <w:tc>
          <w:tcPr>
            <w:tcW w:w="1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 (2)</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Andrew M. Alper (3)</w:t>
            </w:r>
          </w:p>
        </w:tc>
        <w:tc>
          <w:tcPr>
            <w:tcW w:w="2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8,481</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w w:val="98"/>
              </w:rPr>
              <w:t>98,264(3)</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1,954</w:t>
            </w:r>
          </w:p>
        </w:tc>
        <w:tc>
          <w:tcPr>
            <w:tcW w:w="7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$108,699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Steven J. Heyer (4)</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370,209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61,700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$431,909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Sylvia Jay</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162,259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29,833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$324,842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133,038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162,259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24,277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$319,574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Laurent Mignon (4)</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265,037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29,197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$294,234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Richard D. Parsons (5)</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52,781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147,946(5)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4,615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$205,342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 S. Scott</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167,769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31,083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$336,102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Michael J. Turner</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132,750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162,259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29,833</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$324,842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301"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value of the DSUs reported in the table above is based on the grant date fair value of awards computed in accordance with FASB ASC Topic 718. See Note 14 of Notes to the Consolidated Financial Statements contained in this 2012 Annual Report on Form 10-K for a discussion of the assumptions used in the valuation of the DSUs. The number and grant date fair value of DSUs granted on June 1, 2012 under FASB ASC Topic 718 (based on the closing price of Lazard Ltd Class A common stock on the NYSE at the time of the grant) were as follows: Mr. Heyer, 9,050, valued at $206,069; Lady Jay, 7,126, valued at $162,259; Mr. Laskawy, 7,126, valued at $162,259; Mr. Mignon, 6,401, valued at $145,751; Mr. Scott, 7,368, valued at $167,769; and Mr. Turner, 7,126, valued at $162,259. The total number of DSUs held by each of the non-employee directors as of December 31, 2012 was as follows: Mr. Alper, 3,257, Mr. Heyer, 58,419; Lady Jay, 27,930; Mr. Laskawy, 23,140; Mr. Mignon, 28,907; Mr. Parsons, 5,831; Mr. Scott, 29,082; and Mr. Turner, 27,930.</w:t>
      </w:r>
    </w:p>
    <w:p>
      <w:pPr>
        <w:spacing w:after="0" w:line="4" w:lineRule="exact"/>
        <w:rPr>
          <w:rFonts w:ascii="Arial" w:cs="Arial" w:eastAsia="Arial" w:hAnsi="Arial"/>
          <w:sz w:val="15"/>
          <w:szCs w:val="15"/>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cash dividends paid on the DSUs held by each of the directors listed in the table.</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Mr. Alper joined our Board of Directors on October 24, 2012. The number and grant date fair value of the DSUs granted to Mr. Alper (based on the closing price of Lazard Ltd’s Class A common stock on the NYSE on the grant date) were as follows: 3,257, valued at $98,264.</w:t>
      </w:r>
    </w:p>
    <w:p>
      <w:pPr>
        <w:spacing w:after="0" w:line="1" w:lineRule="exact"/>
        <w:rPr>
          <w:rFonts w:ascii="Arial" w:cs="Arial" w:eastAsia="Arial" w:hAnsi="Arial"/>
          <w:sz w:val="16"/>
          <w:szCs w:val="16"/>
          <w:color w:val="auto"/>
        </w:rPr>
      </w:pPr>
    </w:p>
    <w:p>
      <w:pPr>
        <w:jc w:val="both"/>
        <w:ind w:left="460" w:right="40" w:hanging="452"/>
        <w:spacing w:after="0" w:line="28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Messrs. Heyer and Mignon elected to defer their quarterly cash compensation into additional DSUs pursuant to the terms of the Directors Fee Deferral Unit Plan. The number and grant date fair value of the resulting DSUs granted in lieu of cash (based on the closing price of Lazard Ltd’s Class A common stock on the NYSE on the applicable grant dates) were as follows: Mr. Heyer, 6,109, valued at $164,141; and Mr. Mignon, 4,442, valued at $119,286.</w:t>
      </w:r>
    </w:p>
    <w:p>
      <w:pPr>
        <w:spacing w:after="0" w:line="2" w:lineRule="exact"/>
        <w:rPr>
          <w:rFonts w:ascii="Arial" w:cs="Arial" w:eastAsia="Arial" w:hAnsi="Arial"/>
          <w:sz w:val="16"/>
          <w:szCs w:val="16"/>
          <w:color w:val="auto"/>
        </w:rPr>
      </w:pPr>
    </w:p>
    <w:p>
      <w:pPr>
        <w:ind w:left="460" w:right="540" w:hanging="452"/>
        <w:spacing w:after="0" w:line="323"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Mr. Parsons joined our Board of Directors on June 13, 2012. The number and grant date fair value of the DSUs granted to Mr. Parsons (based on the closing price of Lazard Ltd’s Class A common stock on the NYSE on the applicable grant date) were as follows: 5,831, valued at $147,946.</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Vernon E. Jordan, Jr. was a member of our Board of Directors until October 24, 2012, and is a Senior Managing Director of the Company. Gary W. Parr also was a member of our Board of Directors until October 24, 2012, and is a Vice Chairman of the Company. Neither Mr. Jordan nor Mr. Parr is an executive officer of the Company, as that term is defined in the rules and regulations promulgated under the Securities Exchange Act of 1934, as amended. Accordingly, Messrs. Jordan and Parr cannot be considered named executive officers for purposes of the Summary Compensation Table, and therefore are not included in such table. Messrs. Jordan and Parr did not receive any fees for their service as members of the Board of Directors of the Company in 2012. In connection with our recapitalization in May 2005, each of Messrs. Jordan and Parr entered into retention agreements, as amended from time to time, consistent with the form applicable to our pre-IPO managing directors generally.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the compensation for each of Messrs. Jordan and Parr for 2012 as required under SEC rules for director compensation disclosure.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90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02"/>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7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Salary</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4"/>
                <w:szCs w:val="14"/>
                <w:color w:val="auto"/>
              </w:rPr>
            </w:pPr>
          </w:p>
        </w:tc>
        <w:tc>
          <w:tcPr>
            <w:tcW w:w="760" w:type="dxa"/>
            <w:vAlign w:val="bottom"/>
          </w:tcPr>
          <w:p>
            <w:pPr>
              <w:jc w:val="right"/>
              <w:ind w:right="42"/>
              <w:spacing w:after="0" w:line="148" w:lineRule="exact"/>
              <w:rPr>
                <w:sz w:val="20"/>
                <w:szCs w:val="20"/>
                <w:color w:val="auto"/>
              </w:rPr>
            </w:pPr>
            <w:r>
              <w:rPr>
                <w:rFonts w:ascii="Arial" w:cs="Arial" w:eastAsia="Arial" w:hAnsi="Arial"/>
                <w:sz w:val="14"/>
                <w:szCs w:val="14"/>
                <w:b w:val="1"/>
                <w:bCs w:val="1"/>
                <w:color w:val="auto"/>
                <w:w w:val="86"/>
              </w:rPr>
              <w:t>Awards (1)</w:t>
            </w:r>
          </w:p>
        </w:tc>
        <w:tc>
          <w:tcPr>
            <w:tcW w:w="320" w:type="dxa"/>
            <w:vAlign w:val="bottom"/>
          </w:tcPr>
          <w:p>
            <w:pPr>
              <w:spacing w:after="0"/>
              <w:rPr>
                <w:sz w:val="14"/>
                <w:szCs w:val="14"/>
                <w:color w:val="auto"/>
              </w:rPr>
            </w:pPr>
          </w:p>
        </w:tc>
        <w:tc>
          <w:tcPr>
            <w:tcW w:w="146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Compensation (2)</w:t>
            </w:r>
          </w:p>
        </w:tc>
        <w:tc>
          <w:tcPr>
            <w:tcW w:w="160" w:type="dxa"/>
            <w:vAlign w:val="bottom"/>
          </w:tcPr>
          <w:p>
            <w:pPr>
              <w:spacing w:after="0"/>
              <w:rPr>
                <w:sz w:val="14"/>
                <w:szCs w:val="14"/>
                <w:color w:val="auto"/>
              </w:rPr>
            </w:pPr>
          </w:p>
        </w:tc>
        <w:tc>
          <w:tcPr>
            <w:tcW w:w="98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Vernon E. Jordan, Jr.</w:t>
            </w:r>
          </w:p>
        </w:tc>
        <w:tc>
          <w:tcPr>
            <w:tcW w:w="4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2012</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$ 500,000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567,500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1,030,000</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531,254</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2,628,754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Senior Managing Director</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Parr</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$ 750,000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2,750,000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6,500,000</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10,022,863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Vice Chairman</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8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value of RSUs and restricted stock is based on the grant date fair value of awards computed in accordance with FASB ASC Topic 718. See the narrative discussion under the heading “Grants of Plan-Based Awards” for a description of the terms and conditions of the February 2012 grants. As of December 31, 2012, Mr. Parr held 266,171 RSUs and 334,523 shares of restricted stock, which includes 54,745 shares of restricted stock granted to Mr. Parr in 2012 and 36,496 RSUs granted to Mr. Parr in 2013, each in respect of 2011 compensation pursuant to the Letter Agreement (defined below). Mr. Jordan, who is currently eligible to retire, had all of his prior RSU awards vest in 2010 pursuant to our RSU Retirement Policy. As of December 31, 2012, Mr. Jordan held a total of 63,010 shares of restricted stock which includes restricted stock that he received upon the vesting of such RSUs and which will remain subject to all restrictive covenants, including continued compliance with the non-compete, non-solicit and other provisions, contained in the original RSU award agreement through the original vesting date of the RSUs.</w:t>
      </w:r>
    </w:p>
    <w:p>
      <w:pPr>
        <w:spacing w:after="0" w:line="5"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Messrs. Jordan and Parr are the beneficiaries of Company-provided life insurance, long-term disability insurance and excess liability insurance policies. In addition, the firm pays a portion of each of their health insurance premiums, as it does for all U.S. employees.</w:t>
      </w:r>
    </w:p>
    <w:p>
      <w:pPr>
        <w:spacing w:after="0" w:line="56"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Pursuant to a letter agreement entered into with Mr. Jordan in 1999, and subsequently amended on January 1, 2004, Mr. Jordan is entitled to benefits on the same basis as other managing directors and to use, on a priority basis, a corporate apartment in New York. The incremental cost to the Company of providing Mr. Jordan with use of this apartment was $293,626 in 2012. Mr. Jordan also received a tax gross-up payment of $221,048 as reimbursement for taxes paid on the imputed income from the use of the apartment.</w:t>
      </w:r>
    </w:p>
    <w:p>
      <w:pPr>
        <w:spacing w:after="0" w:line="62"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Perquisite compensation for Mr. Parr includes the incremental cost to the Company of providing U.S. tax advice and preparation of year-end personal tax returns.</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Mr. Parr’s retention agreement was supplemented by a letter agreement, dated as of April 21, 2010, which sets forth his right to a guaranteed level of compensation through calendar year 2012. The letter agreement was amended on February 27, 2012 to reflect Mr. Parr’s voluntary agreement to reduce his 2011 compensation (as amended, the “Letter Agreement”). The letter agreement (without regard to the amendment) provides that so long as Mr. Parr remains employed by the Company at the end of the relevant year or is terminated without “cause”, he is entitled to receive a guaranteed annual payment of no less than $10 million (the “Annual Payment”), with at least $750,000 payable as annual base salary in accordance with the Company’s normal practices. The cash portion of Mr. Parr’s Annual Payment will be the greater of (i) $5 million and (ii) an amount calculated by multiplying the percentage of the average cash portion of annual total compensation paid to the Company’s Deputy Chairmen who have not yet reached retirement age in the relevant year by the Annual Payment. The remaining portion of the Annual Payment will be granted in RSUs upon the same terms and conditions as grants made to the Company’s Deputy Chairmen in the prior year.</w:t>
      </w:r>
    </w:p>
    <w:p>
      <w:pPr>
        <w:spacing w:after="0" w:line="10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accordance with a prior letter agreement with Mr. Parr, the letter agreement included a gross-up payment in connection with any excise tax imposed under Section 4999 of the Code. We will not enter into any amendment to the Letter Agreement with Mr. Parr that provides for a continuation of such an excise tax gross-up payment. The Letter Agreement has expired with respect to compensation for periods after December 31, 2012.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2012, approximately 98.8% and 1.2% of our common membership interests are held by wholly-owned subsidiaries of Lazard Ltd and by LAZ-MD Holdings, respectively. Our managing member interests are held by two indirect wholly-owned subsidiaries of Lazard Ltd and our profit participation interests are held by various managing directors.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corporate governance listing standards of the NYSE, the Board of Directors has adopted standards for determining whether directors have material relationships with Lazard. Under these standards, a director employed by Lazard cannot be deemed to be an “independent director,” and consequently Messrs. Jacobs and Bhutani are not independent directors of Lazard.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has determined that Messrs. Alper, Heyer, Laskawy, Parsons, Scott and Turner and Lady Jay do not have a material relationship with Lazard under the Board of Directors’ standards for independence and accordingly each is independent under the NYSE corporate governance listing standards. In making its independence determinations, the Board of Directors considered financial advisory engagements of Lazard in 2012, 2011 and 2010 by L’Oreal USA, Inc., a sister company of L’Oreal UK. Lady Jay is Chairman of L’Oreal UK, but is not an executive officer of L’Oreal USA. Lazard provided financial advisory services in the ordinary course of business to L’Oreal USA pursuant to these engagements and the engagements were deemed per se immaterial pursuant to Lazard’s Standards of Director Independence.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also determined that Mr. Mignon was independent, after giving careful consideration to the relationship between Lazard and Natixis, of which Mr. Mignon is the Chief Executive Officer. Natixis is the successor entity in a merger with IXIS Corporate &amp; Investment Bank, which participated as an investor in the recapitalization transactions in May 2005, purchasing $150 million of Lazard Ltd’s equity security units and 2,000,000 shares of Lazard Ltd’s Class A common stock at the equity public offering price of $25 per share. In May 2008, Natixis acquired 4,999,800 additional shares of Lazard Ltd’s Class A common stock upon the settlement of the purchase contracts comprising a portion of Lazard Ltd’s equity security units. In connection with the original investment by Natixis in May 2005, Lazard agreed to nominate one person designated by Natixis to our Board of Directors, currently Mr. Mignon. Lazard had a cooperation arrangement with Natixis in France during 2012. The cooperation arrangement provided that Lazard Group and Natixis would place and underwrite securities on the French equity primary capital markets under a common brand, “Lazard-Natixis,” and cooperate in their respective origination, syndication and placement activities. In 2012, the cooperation arrangement generated approximately $0.8 million of gross revenue for Natixis and $0.5 million of gross revenue for Lazard. We also received financial advisory fees in 2012, 2011 and 2010 of $0 million, $4.3 million and $2.5 million, respectively, with respect to transactions involving Natixis. The Board of Directors determined, in its business judgment, that these relationships were not material, noting that 2012 gross revenue generated pursuant to the cooperation arrangement and other transactions referenced above was less than 1% of the 2012 consolidated gross revenue of each of Natixis and Lazard. See “Agreements with Natixis” and “Certain Relationships with Our Directors, Executive Officers and Employees.”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Party Transactions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has adopted a written policy requiring that all “Interested Transactions” (as defined below) be approved or ratified by either the Nominating &amp; Governance Committee of Lazard Ltd or, under certain circumstances, the Chair of the Nominating &amp; Governance Committee of Lazard Ltd. The Nominating &amp; Governance Committee of Lazard Ltd is required to review the material facts of all Interested Transactions that require the Committee’s approval or ratification and either approve or disapprove of the entry into the Interested Transaction. In determining whether to approve or ratify an Interested Transaction, the Nominating &amp; Governance Committee of Lazard Ltd takes into account, among other factors it deems appropriate, whether the Interested Transaction is on terms no less favorable than terms generally available to an unaffiliated third-party under the same or similar circumstances and the extent of the interest of the “Related Party” (as defined below) in the transaction. In addition, the Board of Directors of Lazard Ltd has delegated to the Chair of the Nominating &amp; Governance Committee of Lazard Ltd the authority to pre-approve or ratify (as applicable) any Interested Transaction with a Related Party in which the aggregate amount involved is expected to be less than $1 million. A report is then made to the Nominating &amp; Governance Committee of Lazard Ltd at its next regularly scheduled meeting of each new Interested Transaction pre-approved by the Chair of the Nominating &amp; Governance Committee of Lazard Ltd. Any director who is a Related Party with respect to an Interested Transaction may not participate in any discussion or approval of such Interested Transaction. An “Interested Transaction” is one in which (i) we are a participant, (ii) the aggregate amount involved will or may be expected to exceed $120,000, (iii) one of our executive officers, directors, director nominees, 5% shareholders, or their family members (each a “Related Party”) has a direct or indirect material interest in the transaction and (iv) the transaction is required to be disclosed in our Proxy Statement or Annual Report on Form 10-K pursuant to the rules and regulations promulgated by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May 10, 2005, as part of Lazard Ltd’s equity public offering, we completed a series of financing transactions, the net proceeds of which were primarily used to redeem the outstanding Lazard Group membership interests of Lazard Group’s historical partners. In the discussions below, we refer to these financing transactions and the equity public offering, collectively, as the “recapitalization.” Concurrently, on May 10, 2005, Lazard Group transferred its capital markets business, which consisted of equity, fixed income and convertibles sales and trading, broking, research and underwriting services, its fund management activities outside of France and specified non-operating assets and liabilities, to LFCM Holdings. In the discussions below, we refer to these businesses, assets and liabilities as the “separated businesses” and these transfers collectively as the “separation.”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Relationship with LAZ-MD Holdings and LFCM Holdings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of December 31, 2012, LAZ-MD Holdings owned approximately 1.2% of the voting power of all shares of Lazard Ltd’s voting stock through its ownership of the Class B common stock of Lazard Ltd. LAZ-MD Holdings’ voting power in Lazard Ltd is intended to mirror its economic interest in Lazard Group, and its voting power will continue to decrease over time in connection with the exchange of the LAZ-MD Holdings exchangeable interests by current and former working members of Lazard Group for shares of Lazard Ltd’s Class A common stock. The current and former working members of Lazard Group, including our managing directors who held working member interests at the time of the recapitalization, own LAZ-MD Holdings exchangeable interests and, through the LAZ-MD Holdings stockholders’ agreement, have the right to cause LAZ-MD Holdings to vote its Class B common stock on an as-if-exchanged basis.</w:t>
      </w:r>
    </w:p>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LFCM Holdings, which is the entity that owns and operates the separated businesses, ceased to be a subsidiary of Lazard Group and LAZ-MD Holdings at the time of the separation. It is owned by current and former managing directors (including our executive officers). A managing director of Lazard Frères &amp; Co. LLC, a wholly owned subsidiary of Lazard Group, is the chairman of LFCM Holdings. LFCM Holdings shall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reimburse us approximately $1.5 million for a portion of his salary and bonus in 2012 for services that he rendered to LFCM Holdings as its chairman. LFCM Holdings shall also reimburse us for services of certain other employees of our business that were rendered to LFCM Holdings during 2012.</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entered into several agreements with Lazard Ltd, LAZ-MD Holdings and LFCM Holdings to effect the separation and recapitalization transactions and to define and regulate the relationships of the parties. Except as described in this section, we do not have any material arrangements with LAZ-MD Holdings and LFCM Holdings other than ordinary course business relationships on arm’s length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LAZ-MD Holdings and LFCM Holdings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provided below summary descriptions of the master separation agreement and the other key related agreements we entered into with Lazard Ltd, LAZ-MD Holdings and LFCM Holdings in connection with the separation and recapitalization transactions, as well as any material amendments thereto. These agreements effected the separation and recapitalization transactions and also provide a framework for our ongoing relationship with LAZ-MD Holdings and LFCM Holdings. These agreements include:</w:t>
      </w:r>
    </w:p>
    <w:p>
      <w:pPr>
        <w:spacing w:after="0" w:line="62"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master separation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administrative services agreement;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business alliance agreement.</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descriptions set forth below, which summarize selected terms of these agreements, are not complete. Copies of these agreements have been filed as exhibits to our Annual Report on Form 10-K and are available to the public from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Separation Agreement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Lazard Ltd entered into the master separation agreement with Lazard Group, LAZ-MD Holdings and LFCM Holdings. The master separation agreement contains key provisions relating to the separation and recapitalization transactions and the relationship among the parties after completion of the separation and recapitalization. The master separation agreement identified the assets, liabilities and businesses of Lazard Group that were transferred to LFCM Holdings in connection with the separation and recapitalization and described when and how the separation and recapitalization occurred. In addition, the master separation agreement continues to regulate aspects of the relationship among the parties, including the exchange mechanics of the LAZ-MD Holdings exchangeable interests.</w:t>
      </w:r>
    </w:p>
    <w:p>
      <w:pPr>
        <w:spacing w:after="0" w:line="14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Relationship Among Lazard Ltd, Lazard Group, LAZ-MD Holdings and LFCM Holdings. </w:t>
      </w:r>
      <w:r>
        <w:rPr>
          <w:rFonts w:ascii="Arial" w:cs="Arial" w:eastAsia="Arial" w:hAnsi="Arial"/>
          <w:sz w:val="18"/>
          <w:szCs w:val="18"/>
          <w:color w:val="auto"/>
        </w:rPr>
        <w:t>The master separation agreement contains various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relationship among Lazard Ltd, Lazard Group, LAZ-MD Holdings and LFCM Holdings after the separation and recapitalization, including with respect to the following matters.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Limitation on Scope of LAZ-MD Holdings’ Operations</w:t>
      </w:r>
      <w:r>
        <w:rPr>
          <w:rFonts w:ascii="Arial" w:cs="Arial" w:eastAsia="Arial" w:hAnsi="Arial"/>
          <w:sz w:val="18"/>
          <w:szCs w:val="18"/>
          <w:color w:val="auto"/>
        </w:rPr>
        <w:t>. The master separation agreement provides that LAZ-MD Holdings will not engage in any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to act as the holding company for the working members’ interests in Lazard Group and Lazard Ltd’s Class B common stock and actions incidental thereto, except as otherwise agreed by Lazard Ltd.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Parity of Lazard Group Common Membership Interests and Lazard Ltd’s common stock</w:t>
      </w:r>
      <w:r>
        <w:rPr>
          <w:rFonts w:ascii="Arial" w:cs="Arial" w:eastAsia="Arial" w:hAnsi="Arial"/>
          <w:sz w:val="16"/>
          <w:szCs w:val="16"/>
          <w:color w:val="auto"/>
        </w:rPr>
        <w:t>. The master separation agreement sets forth the intention of Lazard</w:t>
      </w:r>
      <w:r>
        <w:rPr>
          <w:rFonts w:ascii="Arial" w:cs="Arial" w:eastAsia="Arial" w:hAnsi="Arial"/>
          <w:sz w:val="16"/>
          <w:szCs w:val="16"/>
          <w:i w:val="1"/>
          <w:iCs w:val="1"/>
          <w:color w:val="auto"/>
        </w:rPr>
        <w:t xml:space="preserve"> </w:t>
      </w:r>
      <w:r>
        <w:rPr>
          <w:rFonts w:ascii="Arial" w:cs="Arial" w:eastAsia="Arial" w:hAnsi="Arial"/>
          <w:sz w:val="16"/>
          <w:szCs w:val="16"/>
          <w:color w:val="auto"/>
        </w:rPr>
        <w:t>Group and Lazard Ltd that the number of Lazard Group common membership interests held by Lazard Ltd (or its subsidiaries) will at all times be equal in number to the number of outstanding shares of Lazard Ltd’s common stock, subject to customary anti-dilution adjustments.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master separation agreement sets forth the intention of Lazard Group to reimburse Lazard Ltd for its costs and expenses incurred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LAZ-MD Holdings Exchangeable Interests. </w:t>
      </w:r>
      <w:r>
        <w:rPr>
          <w:rFonts w:ascii="Arial" w:cs="Arial" w:eastAsia="Arial" w:hAnsi="Arial"/>
          <w:sz w:val="18"/>
          <w:szCs w:val="18"/>
          <w:color w:val="auto"/>
        </w:rPr>
        <w:t>The master separation agreement sets forth the terms and arrangements with respect to the LAZ-MD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exchangeable interests, including the exchange rate and timing of exchangeability of those interests.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In general, under the master separation agreement, Lazard Group indemnifies LFCM Holdings, LAZ-MD Holdings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and affiliates for any and all losses (including tax losses) that such persons incur to the extent arising out of or relating to our business (both historically and in the future) and any and all losses that LFCM Holdings, LAZ-MD Holdings and their respective representatives and affiliates incur arising out of or relating to any breach of the master separation agreement by Lazard Group or Lazard Ltd.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general, under the master separation agreement, LFCM Holdings indemnifies Lazard Ltd, Lazard Group, LAZ-MD Holdings and their respective representatives and affiliates for any and all losses (including tax losses) that such persons incur arising out of or relating to the separated businesses and the businesses conducted by LFCM Holdings (both historically and in the future) and any and all losses that Lazard Ltd, Lazard Group, LAZ-MD Holdings and their respective representatives or affiliates incur arising out of or relating to any breach of the master separation agreement by LFCM Holdings.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under the master separation agreement, LAZ-MD Holdings indemnifies Lazard Ltd, Lazard Group, LFCM Holdings and their respective representatives and affiliates for any and all losses that such persons incur to the extent arising out of or relating to any breach of the master separation agreement by LAZ-MD Holdings.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indemnification amounts are reduced by any insurance proceeds and other offsetting amounts recovered by the indemnitee. The master separation agreement specifies procedures with respect to claims subject to indemnification and related matters.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The master separation agreement also contains provisions governing the sharing of information between Lazard Ltd and Lazard Group,</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LAZ-MD Holdings and LFCM Holdings, on the other hand.</w:t>
      </w:r>
    </w:p>
    <w:p>
      <w:pPr>
        <w:spacing w:after="0" w:line="132"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On November 6, 2006, Lazard Ltd, Lazard Group and LAZ-MD Holdings entered into Amendment No. 1 to the master separation agreement (the “amendment”). The amendment modified the provisions of the master separation agreement relating to the exchange terms of the LAZ-MD Holdings exchangeable interests. The modifications included the following:</w:t>
      </w:r>
    </w:p>
    <w:p>
      <w:pPr>
        <w:spacing w:after="0" w:line="59" w:lineRule="exact"/>
        <w:rPr>
          <w:sz w:val="20"/>
          <w:szCs w:val="20"/>
          <w:color w:val="auto"/>
        </w:rPr>
      </w:pPr>
    </w:p>
    <w:p>
      <w:pPr>
        <w:ind w:left="90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exchange of LAZ-MD Holdings exchangeable interests may be conditioned upon the actual sale of all or any portion (such amount designated by the holder) of the LAZ-MD Holdings exchangeable interests in connection with a registered offering.</w:t>
      </w:r>
    </w:p>
    <w:p>
      <w:pPr>
        <w:spacing w:after="0" w:line="50" w:lineRule="exact"/>
        <w:rPr>
          <w:rFonts w:ascii="Arial" w:cs="Arial" w:eastAsia="Arial" w:hAnsi="Arial"/>
          <w:sz w:val="18"/>
          <w:szCs w:val="18"/>
          <w:color w:val="auto"/>
        </w:rPr>
      </w:pPr>
    </w:p>
    <w:p>
      <w:pPr>
        <w:ind w:left="900" w:right="54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Holders of LAZ-MD Holdings exchangeable interests that are then exchangeable may exchange these interests not only at annual registration periods, but also in connection with demand and piggy-back registration opportunities and during window periods after the filing of selected Quarterly Reports on Form 10-Q and Annual Reports on Form 10-K by Lazard Ltd.</w:t>
      </w:r>
    </w:p>
    <w:p>
      <w:pPr>
        <w:spacing w:after="0" w:line="59"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addition to requiring the consent of Lazard Ltd, Lazard Group and LAZ-MD Holdings to amend the exchangeability provisions, any amendment that materially and adversely impacts the rights of any holder thereunder requires the consent of such holder, or it will not apply to such person unless such amendment applies to, and affects the rights of all holders equally, regardless of whether or not such person is providing services to Lazard Ltd.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License Agreement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logo, trademarks, trade names and service marks of Lazard are currently the property of various wholly owned subsidiaries of Lazard Group. Pursuant to the master separation agreement, Lazard Group and those subsidiaries entered into a license agreement with LFCM Holdings that governs the use of the Lazard and LF names by LFCM Holdings in connection with the separated businesses.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LFCM Holdings is permitted to use the Lazard and LF names to the extent that the Lazard name was being used at the time of the separation and recapitalization by the separated businesses and is permitted to use the LF name solely for the use of the name LFCM Holdings LLC in its capacity as a holding company for the separated businesses. Under the agreement, LFCM Holdings pays $100,000 per year for the right to license the Lazard name. The license survives with respect to capital markets activities until the expiration or termination of the business alliance provided for in the business alliance agreement that LFCM Holdings entered into with Lazard Group. With respect to alternative investment (including private equity) activities, LFCM Holdings’ license survives until the earlier of the expiration, termination or closing of the options to purchase the North American and European fund management activities, granted in the business alliance agreement, as described in “—Business Alliance Agreement”, or until the business alliance agreement is terminated. The license for the LF name in LFCM Holdings LLC may be terminated by either party for any reason after the license with respect to the capital markets business and the license for the alternative investment activities have both expired or been terminated. Upon termination of either the license with respect to the capital markets business or the license for the alternative investment activities, the license fee for the calendar year following the termination and each year thereafter will be $75,000 per year. If both of those licenses are terminated, the license fee for the calendar year following the termination and each year thereafter will be $25,000 per year.</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an administrative services agreement with LAZ-MD Holdings and LFCM Holdings regarding the provision of administrative and support services after the separation and recapitalization.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provides selected administrative and support services to LAZ-MD Holdings and LFCM Holdings, such as:</w:t>
      </w:r>
    </w:p>
    <w:p>
      <w:pPr>
        <w:spacing w:after="0" w:line="5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cash management and debt service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accounting and financing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payroll;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human resources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financial transaction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public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data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real estate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general administrative functions.</w:t>
      </w:r>
    </w:p>
    <w:p>
      <w:pPr>
        <w:spacing w:after="0" w:line="171"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Lazard Group charges LFCM Holdings for the above services based on Lazard Group’s cost allocation methodology. Notwithstanding Lazard Group’s provision of data processing services, Lazard Group does not provide any security administration services, as such services were transferred to LFCM Holdings.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also provides tax services to LAZ-MD Holdings and LFCM Holdings provides security administrative services to Lazard Group.</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services provided by Lazard Group to LFCM Holdings, and by LFCM Holdings to Lazard Group, under the administrative services agreement generally were to be provided until December 31, 2008, and were subject to automatic annual renewal, unless either party gives 180 days’ notice of termination. As of December 31, 2012, neither party has given notice of termination, and the agreement has been automatically renewed for an additional one-year period. LFCM Holdings and Lazard Group have a right to terminate the services earlier if there is a change of control of either party or the business alliance provided for in the business alliance agreement expires or is terminated. The party receiving a service may also terminate a service earlier upon 180 days’ notice as long as such receiving party pays the service provider an additional 3 months of service fee for the terminated service. The services provided by Lazard Group to LAZ-MD Holdings will generally be provided until December 31, 2014, unless terminated earlier because of a change of control of either party. See Note 18 of Notes to the Consolidated Financial Statements for a discussion of payments made in 2012 under the administrative services agreement.</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in connection with the various agreements entered into in connection with the CP II MgmtCo Spin-Off, Lazard Group agreed to provide certain specified services to LFCM Holdings (which, in turn, LFCM Holdings may provide to CP II MgmtCo) pursuant to the administrative services agreement.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the absence of gross negligence or willful misconduct, the party receiving services under the administrative services agreement waives any rights and claims it may have against the service provider in respect of any services provided under the administrative services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Alliance Agreement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Lazard Group and LFCM Holdings entered into a business alliance agreement that provides for the continuation of Lazard Group’s and LFCM Holdings’ business relationships in the areas and on the terms summarized below.</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business alliance agreement provides that Lazard Group will refer to LFCM Holdings selected opportunities for underwriting and distribution of securities. In addition, Lazard Group will provide assistance in the execution of any such referred business. In exchange for this referral obligation and assistance, Lazard Group is entitled to a referral fee from LFCM Holdings equal to approximately half of the revenue obtained by LFCM Holdings in respect of any underwriting or distribution opportunity. In addition, LFCM Holdings will refer opportunities in the financial advisory and asset management businesses to Lazard Group. In exchange for this referral, LFCM Holdings is entitled to a customary finders’ fee from Lazard Group. In addition, the business alliance agreement further provides that, during the term of the business alliance, Lazard Frères &amp; Co. LLC and Lazard Asset Management Securities LLC will introduce execution and settlement transactions to newly formed broker-dealer entities affiliated with LFCM Holdings. The term of the business alliance is subject to periodic automatic renewal, unless either party elects to terminate in connection with any such renewal or elects to terminate on account of a change of control of either party. As of December 31, 2012, neither party had given notice of termination. See Note 18 of Notes to the Consolidated Financial Statements for a discussion of payments made in 2012 under the business alliance agreement.</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the business alliance agreement granted Lazard Group an option to purchase the North American fund management activities of Lazard Alternative Investments Holdings LLC, or LAI, the subsidiary of LFCM Holdings that owns and operates LFCM Holdings’ alternative investment activities. This option is currently exercisable at any time prior to May 10, 2014 for a purchase price of $2.5 million. The option price for the North American fund management activities reflects a reduction of $1.5 million due to the payment of a like amount to LFCM Holdings in February 2008 in connection with the initial public offering of Sapphire Industrials Corp., a special purpose acquisition company formed by a subsidiary of Lazard Group and a reduction of $4</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million due to the payment of a like amount in February 2009 to LFCM Holdings in connection with the spin-off of Corporate Partners II Limited to the investment professionals who managed it. In consideration for the February 2009 payment, the business alliance agreement was amended to remove any restriction on Lazard Group engaging in private equity businesses in North America. See Note 18 of Notes to the Company’s Consolidated Financial Statements. LAI’s fund management activities initially consisted of fund management and general partner entities that were transferred to LFCM Holdings in connection with the separation. The business alliance agreement provides that, prior to the expiration, termination or exercise of the option, Lazard Group has certain governance rights with respect to LAI, and LFCM Holdings is required to support the business of LAI. Lazard Group may agree to new capital commitments and other obligations with respect to newly formed funds in its sole discretion. Lazard Group may be entitled to receive from LFCM Holdings all or a portion of payments from the incentive fees attributable to newly established LAI funds less compensation payable to investment professionals who manage these funds. In addition, Lazard Group is obligated to abide by obligations that existed as of the date of the separation and recapitalization with respect to funds existing as of such date.</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Pursuant to the business alliance agreement, LFCM Holdings agreed not to compete with any existing Lazard Group businesses until the latest to occur of the termination of the license agreement, the expiration, termination or exercise of the option, or the expiration or termination of the business alliance.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LAZ-MD Holdings Stockholders’ Agreement</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Members of LAZ-MD Holdings, consisting of current and former working members of Lazard Group, including certain managing directors, have entered into a stockholders’ agreement with LAZ-MD Holdings and Lazard Ltd that addresses, among other things, LAZ-MD Holdings’ voting of its share of Class B common stock of Lazard Ltd and registration rights in favor of the shareholders who are party to the agreement. Every working member at the time of the separation and recapitalization was offered the opportunity to become a party to the LAZ-MD Holdings stockholders’ agreement.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LAZ-MD Holdings stockholders’ agreement will continue in effect until all LAZ-MD Holdings exchangeable interests have been exchanged for shares of Lazard Ltd’s common stock, and individual members of LAZ-MD Holdings will cease being party to the LAZ-MD Holdings stockholders’ agreement upon full exchange of their LAZ-MD Holdings exchangeable interests and underlying Lazard Group interests for Lazard Ltd’s common stock and such common stock is capable of resale generally under Rule 144 of the Securities Act of 1933, as amended (the “Securities Act”). The LAZ-MD Holdings stockholders’ agreement may be terminated on an earlier date by LAZ-MD Holdings members entitled to vote at least 66 2/3% of the aggregate voting power represented by the LAZ-MD Holdings members who are party to the LAZ-MD Holdings stockholders’ agreement. The LAZ-MD Holdings stockholders’ agreement generally may be amended at any time by a majority of the aggregate voting power represented by LAZ-MD Holdings members who are party to the LAZ-MD Holdings stockholders’ agreement.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November 6, 2006, Lazard Group delivered to LAZ-MD Holdings an acknowledgement letter (the “acknowledgement letter”) modifying the terms of the retention agreements of persons party to the amended and restated LAZ-MD stockholders’ agreement who were at that time current managing directors. The modifications include Lazard Group’s agreement that, in the event that any such person shall become entitled to exchangeability immediately following the third anniversary of the initial equity public offering, or May 10, 2008, of his or her LAZ-MD Holdings exchangeable interests, that person will not forfeit the right to early exchangeability with respect to the first tranche of his or her LAZ-MD Holdings exchangeable interests if he or she breaches the restrictive covenants (</w:t>
      </w:r>
      <w:r>
        <w:rPr>
          <w:rFonts w:ascii="Arial" w:cs="Arial" w:eastAsia="Arial" w:hAnsi="Arial"/>
          <w:sz w:val="16"/>
          <w:szCs w:val="16"/>
          <w:i w:val="1"/>
          <w:iCs w:val="1"/>
          <w:color w:val="auto"/>
        </w:rPr>
        <w:t>i.e.</w:t>
      </w:r>
      <w:r>
        <w:rPr>
          <w:rFonts w:ascii="Arial" w:cs="Arial" w:eastAsia="Arial" w:hAnsi="Arial"/>
          <w:sz w:val="16"/>
          <w:szCs w:val="16"/>
          <w:color w:val="auto"/>
        </w:rPr>
        <w:t>, non-compete and non-solicitation provisions) in the retention agreement of such individual (although shares in the second and third tranches that would otherwise become exchangeable would not be exchangeable until the eighth anniversary of our equity public offering (May 10, 2013) in such an instance). The terms of the acknowledgement letter were approved by our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u w:val="single" w:color="auto"/>
          <w:color w:val="auto"/>
        </w:rPr>
        <w:t>Registration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6, 2006, the LAZ-MD Holdings stockholders’ agreement was amended and restated. The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modified in certain respects the terms of the registration rights granted to holders of the LAZ-MD Holdings exchangeable interests who are party to that agreement.</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amended and restated LAZ-MD Holdings stockholders’ agreement provides that the holders of shares of Lazard Ltd’s common stock already issued or to be issued upon exchange of the LAZ-MD Holdings exchangeable interests or the Lazard Group common membership interests currently held by LAZ-MD Holdings will be granted registration rights. These shares we refer to as “registrable securities,” and the holders of these registrable securities we refer to as “holders.” The holders are third-party beneficiaries for that purpose under the amended and restated LAZ-MD Holdings stockholders’ agreement, meaning that they will have the right to request LAZ-MD Holdings to compel Lazard Ltd to honor those obligations under the amended and restated LAZ-MD Holdings stockholders’ agreement.</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amended and restated LAZ-MD Holdings stockholders’ agreement provides that, after exchange for shares of Lazard Ltd’s common stock, each holder is entitled to unlimited “piggyback” registration rights, meaning that each holder can include his or her registrable securities in registration statements filed by Lazard Ltd, subject to certain limitations. Holders also have “demand” registration rights, meaning that after exchange for shares of Lazard Ltd’s common stock, they may require us to register the registrable securities held by them, subject to certain minimum sale and other requirements. Lazard Ltd will pay the costs associated with all such registrations. Moreover, Lazard Ltd also will use its reasonable best efforts to file and make effective a registration statement on the third through the ninth anniversaries of the separation and recapitalization, in order to register registrable securities that were issued on those anniversaries or otherwise subject to continuing volume or transfer restrictions under Rule 144 of the Securities Act upon the exchange of the LAZ-MD Holdings exchangeable interests and the Lazard Group common membership interests, provided that the amount of registrable securities subject to such registration exceeds certain minimum value requirements.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Shares of Lazard Ltd’s common stock will cease to be registrable securities upon the consummation of any sale of such shares pursuant to an effective registration statement or under Rule 144 of the Securities Act or when they become eligible for sale under Rule 144 of the Securities Act. However, any holder who has shares that would have been registrable securities but for their eligibility for sale under Rule 144 and who holds, in the aggregate, an amount of registrable securities with a market value in excess of $25 million of Lazard Ltd’s outstanding common stock will be entitled to continued demand, annual registration and piggyback registration rights as described above.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amendments to the registration rights provisions of the amended and restated stockholders’ agreement shall require the affirmative approval of holders holding two-thirds of the shares of Lazard Ltd common stock covered under the amended and restated stockholders’ agreement in addition to the consent of Lazard Ltd and LAZ-MD Holdings, and any amendment that materially and adversely impacts the rights of any holder under the amended and restated stockholders’ agreement will also require the consent of such holder or it will not apply to such person unless such amendment applies to and affects the rights of all holders equally, regardless of whether or not such person is providing services to Lazard Ltd.</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Each holder of registrable securities party to the amended and restated stockholders’ agreement may enforce his or her registration rights directly against Lazard Ltd, although LAZ-MD Holdings may elect to assume, seek and conduct the enforcement of any claims itself on behalf of such holder.</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expect that substantially all of Lazard Ltd’s common stock to be issued upon exchange of the LAZ-MD Holdings exchangeable interests will have the foregoing registration rights.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u w:val="single" w:color="auto"/>
          <w:color w:val="auto"/>
        </w:rPr>
        <w:t>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any vote of the shareholders of Lazard Ltd, the LAZ-MD Holdings stockholders’ agreement requires a separate, preliminary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members of LAZ-MD Holdings who are party to the LAZ-MD Holdings stockholders’ agreement (either by a meeting or by proxy or written instruction of the members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LAZ-MD Holdings) on each matter upon which a vote of the shareholders is proposed to be taken. Pursuant to the LAZ-MD Holdings stockholders’ agreement, members of LAZ-MD Holdings holding LAZ-MD Holdings exchangeable interests who are party to that agreement are individually entitled to direct LAZ-MD Holdings how to vote their proportionate interest in Lazard Ltd’s Class B common stock on an as-if-exchanged basis. For example, if a current or former working member’s LAZ-MD Holdings exchangeable interests were exchangeable for 1,000 shares of Lazard Ltd’s common stock, that working member would be able to instruct LAZ-MD Holdings how to vote 1,000 of the votes represented by the Class B common stock of Lazard Ltd. However, the LAZ-MD Holdings Board of Directors has the ability to vote the voting interest represented by the Class B common stock of Lazard Ltd in its discretion if the LAZ-MD Holdings Board of Directors determines that it is in the best interests of LAZ-MD Holdings.</w:t>
      </w:r>
    </w:p>
    <w:p>
      <w:pPr>
        <w:spacing w:after="0" w:line="118"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The votes under the Class B common stock of Lazard Ltd that are associated with any current or former working member who does not direct LAZ-MD Holdings how to vote on a particular matter will be abstained from voting. The terms of the LAZ-MD Holdings stockholders’ agreement with respect to voting continue to apply to any party to the LAZ-MD Holdings stockholders’ agreement who receives Lazard Group common membership interests upon exchange of his or her LAZ-MD Holdings exchangeable interests, until such time as that holder exchanges all of his or her Lazard Group common membership interests for shares of Lazard Ltd’s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with Our Directors, Executive Officers and 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Laurent Mignon, a member of our Board of Directors, is the Chief Executive Officer of Natixis. In April 2004, Lazard Group and Natixis (as the successor to IXIS Corporate &amp; Investment Bank) entered into a cooperation arrangement to place and underwrite securities on the French capital markets under a common brand, “Lazard-Natixis” (formerly “Lazard-Ixis”), and cooperate in their respective origination, syndication, placement and other activities. This cooperation covers French listed companies exceeding a market capitalization of €500 million. On March 15, 2005, Lazard Group and Natixis expanded this arrangement into an exclusive arrangement within France. The cooperation arrangement was renewed on July 8, 2012 for an additional term ending December 31, 2012. In 2012, the cooperation arrangement generated approximately $0.5 million of gross revenue for Lazard. Discussions are taking place regarding the possible renewal of the cooperation arrangement or the execution of a new form of cooperation arrangement.</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March 1, 2012, EGCP III Investor Group LLC, an entity owned by current and former managing directors, including certain of our executive officers, assumed $17.4 million of the Company’s $50 million capital commitment to EGCP III. This assumed commitment, like the Company’s remaining capital commitment to EGCP III, is not burdened by carried interest or a management fee. In connection with their assumption of this assumed commitment, each investor in EGCP III Investor Group LLC also received a right to collect a portion of the Company’s carried interest arising from EGCP III, to the extent any such carried interest is actually received by the Company, equal to 20% of the profit earned by the investor on his or her investment. The Company was reimbursed for prior capital contributions in respect of this assumed commitment. The Company’s transfer of this assumed commitment reduced the Company’s original commitment by $17.4 million.</w:t>
      </w:r>
    </w:p>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2012 and consistent with our past practice, the Company purchased shares of Class A common stock from certain of our executive officers and employee directors in connection with the vesting of previously-granted deferred equity incentive awards. The receipt of Class A common stock by such executive officers and employee directors in connection with such equity awards gave rise to a tax, and the shares of Class A common stock purchased by the Company represented the estimated amount of such tax. Each transaction, including its terms, was reported in a Form 4 or Form 5 filing, as applicable. In addition, on November 15, 2012, Lazard Ltd issued 1,989,978 shares of Class A common stock in connection with the exchange of 1,989,978 common membership interests of Lazard Group held by certain members of LAZ-MD Holdings. Following the exchange, Lazard Group repurchased 330,971 shares of the Class A common stock that were issued in the exchange, including, as reported in a Form 4 filing, 61,091 shares of Class A common stock from an executive officer that participated in the exchange.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fiscal years ended December 31, 2012 and 2011, fees for services provided by Deloitte &amp; Touche LLP, the member firms of Deloitte Touche Tohmatsu and their respective affiliates were as follows (in thousands of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9360" w:type="dxa"/>
            <w:vAlign w:val="bottom"/>
          </w:tcPr>
          <w:p>
            <w:pPr>
              <w:spacing w:after="0"/>
              <w:rPr>
                <w:sz w:val="15"/>
                <w:szCs w:val="15"/>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181"/>
        </w:trPr>
        <w:tc>
          <w:tcPr>
            <w:tcW w:w="9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5"/>
              </w:rPr>
              <w:t xml:space="preserve">Audit Fees </w:t>
            </w:r>
            <w:r>
              <w:rPr>
                <w:rFonts w:ascii="Arial" w:cs="Arial" w:eastAsia="Arial" w:hAnsi="Arial"/>
                <w:sz w:val="18"/>
                <w:szCs w:val="18"/>
                <w:color w:val="auto"/>
                <w:w w:val="95"/>
              </w:rPr>
              <w:t>for the audit of Lazard’s annual financial statements, the audit of the effectiveness of Lazard’s internal controls over</w:t>
            </w: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9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financial reporting and reviews of the financial statements included in Lazard’s quarterly reports on Form 10-Q, including services</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 connection with statutory and regulatory filings or engagements</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$6,555</w:t>
            </w:r>
          </w:p>
        </w:tc>
        <w:tc>
          <w:tcPr>
            <w:tcW w:w="100" w:type="dxa"/>
            <w:vAlign w:val="bottom"/>
            <w:shd w:val="clear" w:color="auto" w:fill="CCEEFF"/>
          </w:tcPr>
          <w:p>
            <w:pPr>
              <w:spacing w:after="0"/>
              <w:rPr>
                <w:sz w:val="19"/>
                <w:szCs w:val="19"/>
                <w:color w:val="auto"/>
              </w:rPr>
            </w:pPr>
          </w:p>
        </w:tc>
      </w:tr>
      <w:tr>
        <w:trPr>
          <w:trHeight w:val="208"/>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w w:val="92"/>
              </w:rPr>
              <w:t>Audit-Related Fees</w:t>
            </w:r>
            <w:r>
              <w:rPr>
                <w:rFonts w:ascii="Arial" w:cs="Arial" w:eastAsia="Arial" w:hAnsi="Arial"/>
                <w:sz w:val="18"/>
                <w:szCs w:val="18"/>
                <w:color w:val="auto"/>
                <w:w w:val="92"/>
              </w:rPr>
              <w:t>, including fees for audits of employee benefit plans, computer and control related audit services, agreed-upon</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40" w:type="dxa"/>
            <w:vAlign w:val="bottom"/>
            <w:gridSpan w:val="2"/>
          </w:tcPr>
          <w:p>
            <w:pPr>
              <w:ind w:left="220"/>
              <w:spacing w:after="0"/>
              <w:rPr>
                <w:sz w:val="20"/>
                <w:szCs w:val="20"/>
                <w:color w:val="auto"/>
              </w:rPr>
            </w:pPr>
            <w:r>
              <w:rPr>
                <w:rFonts w:ascii="Arial" w:cs="Arial" w:eastAsia="Arial" w:hAnsi="Arial"/>
                <w:sz w:val="18"/>
                <w:szCs w:val="18"/>
                <w:color w:val="auto"/>
                <w:w w:val="93"/>
              </w:rPr>
              <w:t>procedures, merger and acquisition assistance, regulatory and compliance reviews, fund audits and other accounting research</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640" w:type="dxa"/>
            <w:vAlign w:val="bottom"/>
            <w:gridSpan w:val="2"/>
          </w:tcPr>
          <w:p>
            <w:pPr>
              <w:ind w:left="220"/>
              <w:spacing w:after="0"/>
              <w:rPr>
                <w:sz w:val="20"/>
                <w:szCs w:val="20"/>
                <w:color w:val="auto"/>
              </w:rPr>
            </w:pPr>
            <w:r>
              <w:rPr>
                <w:rFonts w:ascii="Arial" w:cs="Arial" w:eastAsia="Arial" w:hAnsi="Arial"/>
                <w:sz w:val="18"/>
                <w:szCs w:val="18"/>
                <w:color w:val="auto"/>
              </w:rPr>
              <w:t>services</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$1,481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$1,378</w:t>
            </w:r>
          </w:p>
        </w:tc>
        <w:tc>
          <w:tcPr>
            <w:tcW w:w="100" w:type="dxa"/>
            <w:vAlign w:val="bottom"/>
          </w:tcPr>
          <w:p>
            <w:pPr>
              <w:spacing w:after="0"/>
              <w:rPr>
                <w:sz w:val="19"/>
                <w:szCs w:val="19"/>
                <w:color w:val="auto"/>
              </w:rPr>
            </w:pPr>
          </w:p>
        </w:tc>
      </w:tr>
      <w:tr>
        <w:trPr>
          <w:trHeight w:val="218"/>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consulting and compliance services not related to the audit</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w:t>
            </w:r>
          </w:p>
        </w:tc>
        <w:tc>
          <w:tcPr>
            <w:tcW w:w="100" w:type="dxa"/>
            <w:vAlign w:val="bottom"/>
            <w:shd w:val="clear" w:color="auto" w:fill="CCEEFF"/>
          </w:tcPr>
          <w:p>
            <w:pPr>
              <w:spacing w:after="0"/>
              <w:rPr>
                <w:sz w:val="18"/>
                <w:szCs w:val="18"/>
                <w:color w:val="auto"/>
              </w:rPr>
            </w:pPr>
          </w:p>
        </w:tc>
      </w:tr>
      <w:tr>
        <w:trPr>
          <w:trHeight w:val="228"/>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2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Lazard Ltd’s Audit Committee has adopted a policy regarding pre-approval of audit and non-audit services provided by Deloitte &amp; Touche LLP to Lazard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Committee, may grant approval for any such engagement if approval is required prior to the next scheduled meeting of the Committee. The Audit Committee is periodically presented with a report showing amounts billed by the independent auditor compared to the budget approvals for each of the categories of permitted services.</w:t>
      </w:r>
    </w:p>
    <w:p>
      <w:pPr>
        <w:spacing w:after="0" w:line="12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fees paid to Deloitte &amp; Touche LLP in 2012 were pre-approved by the Audit Committee, and there were no services for which the de minimus exception permitted in certain circumstances under SEC rules was utilized.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ind w:left="9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F-9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3.6</w:t>
            </w: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10480" w:type="dxa"/>
            <w:vAlign w:val="bottom"/>
          </w:tcPr>
          <w:p>
            <w:pPr>
              <w:ind w:left="480"/>
              <w:spacing w:after="0"/>
              <w:rPr>
                <w:sz w:val="20"/>
                <w:szCs w:val="20"/>
                <w:color w:val="auto"/>
              </w:rPr>
            </w:pPr>
            <w:r>
              <w:rPr>
                <w:rFonts w:ascii="Arial" w:cs="Arial" w:eastAsia="Arial" w:hAnsi="Arial"/>
                <w:sz w:val="18"/>
                <w:szCs w:val="18"/>
                <w:color w:val="auto"/>
                <w:w w:val="87"/>
              </w:rPr>
              <w:t>Amended and Restated Third Supplemental Indenture, dated as of May 15, 2008, by and among the Registrant and The Bank of New York, as</w:t>
            </w:r>
          </w:p>
        </w:tc>
      </w:tr>
      <w:tr>
        <w:trPr>
          <w:trHeight w:val="216"/>
        </w:trPr>
        <w:tc>
          <w:tcPr>
            <w:tcW w:w="68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trustee (and incorporated by reference to Exhibit 4.1 to the Registrants’ Current Report on Form 8-K (Commission File No. 333-126751) filed</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on May 16,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4.3</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4.4</w:t>
            </w:r>
          </w:p>
        </w:tc>
        <w:tc>
          <w:tcPr>
            <w:tcW w:w="1048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4.2).</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4.5</w:t>
            </w: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$546 million, 7.125% Senior Notes Due 2015, issued by the Registrant (incorporated by reference to Exhibit 4.5 to the Registrant’s Quarterly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Report (File No. 333-126751) on Form 10-Q filed on November 14, 2005).</w:t>
            </w:r>
          </w:p>
        </w:tc>
      </w:tr>
      <w:tr>
        <w:trPr>
          <w:trHeight w:val="365"/>
        </w:trPr>
        <w:tc>
          <w:tcPr>
            <w:tcW w:w="680" w:type="dxa"/>
            <w:vAlign w:val="bottom"/>
          </w:tcPr>
          <w:p>
            <w:pPr>
              <w:spacing w:after="0"/>
              <w:rPr>
                <w:sz w:val="24"/>
                <w:szCs w:val="24"/>
                <w:color w:val="auto"/>
              </w:rPr>
            </w:pPr>
          </w:p>
        </w:tc>
        <w:tc>
          <w:tcPr>
            <w:tcW w:w="10480" w:type="dxa"/>
            <w:vAlign w:val="bottom"/>
          </w:tcPr>
          <w:p>
            <w:pPr>
              <w:ind w:left="4800"/>
              <w:spacing w:after="0"/>
              <w:rPr>
                <w:sz w:val="20"/>
                <w:szCs w:val="20"/>
                <w:color w:val="auto"/>
              </w:rPr>
            </w:pPr>
            <w:r>
              <w:rPr>
                <w:rFonts w:ascii="Arial" w:cs="Arial" w:eastAsia="Arial" w:hAnsi="Arial"/>
                <w:sz w:val="18"/>
                <w:szCs w:val="18"/>
                <w:color w:val="auto"/>
              </w:rPr>
              <w:t>154</w:t>
            </w:r>
          </w:p>
        </w:tc>
      </w:tr>
    </w:tbl>
    <w:p>
      <w:pPr>
        <w:sectPr>
          <w:pgSz w:w="11900" w:h="16838" w:orient="portrait"/>
          <w:cols w:equalWidth="0" w:num="1">
            <w:col w:w="11260"/>
          </w:cols>
          <w:pgMar w:left="240" w:top="459" w:right="3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Master Separation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Holdings LLC (incorporated by reference to Exhibit 2.1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Amendment No. 1, dated as of November 6, 2006, to the Master Separation Agreement, dated as of May 10, 2005, by and among to Registrant,</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Lazard Ltd and LAZ-MD Holdings LLC (incorporated by reference to Exhibit 10.2 to the Registrant’s Quarterly Report (File No. 333-126751)</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Second Amendment, dated as of May 7, 2008, to the Master Separation Agreement, dated as of May 10, 2005, as amended, by and among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Registrant, Lazard Ltd and LAZ-MD Holdings LLC (incorporated by reference to Exhibit 2.1 to the Registrant’s Current Report on Form 8-K</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(File No. 333-126751)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certain members of LAZ-MD Holdings LLC (incorporated by reference to Exhibit 10.4 to the Registrant’s Quarterly Report (File No. 333-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10.6 to the Registrant’s Quarterly Report (File No. 333-126751)</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Holdings LLC (incorporated by reference to Exhibit 10.4 to Lazard Ltd’s Quarterly Report (File No. 001-32492) on Form 10-Q filed on June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Registrant (incorporated by reference to Exhibit 10.7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Business Alliance Agreement, dated as of May 10, 2005, by and between the Registrant and LFCM Holdings LLC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10.8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Registrant and LFCM Holdings LLC (incorporated by reference to Exhibit 10.12 to Lazard Ltd’s Annual Report (File No. 001-32492) on Form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8"/>
                <w:szCs w:val="18"/>
                <w:color w:val="auto"/>
              </w:rPr>
              <w:t>155</w:t>
            </w:r>
          </w:p>
        </w:tc>
      </w:tr>
    </w:tbl>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2001,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Lazard Ltd’s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rPr>
              <w:t>Occupational Lease, dated as of August 9, 2002, by and among Burford (Stratton)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Nominee 1 Limited, Burford (Stratton) Nominee 2 Limited, Burford (Stratton) Limited, Lazard &amp; Co., Limited and Lazard LLC (incorporated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by reference to Exhibit 10.21 to Lazard Ltd’s Registration Statement (File No. 333-121407) on Form S-1/A filed on February 11,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Lazard Ltd’s 2008 Incentive Compensation Plan (incorporated by reference to Annex B to Lazard Ltd’s Definitive Proxy Statement on Schedule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Lazard Ltd’s 2005 Bonus Plan (incorporated by reference to Exhibit 10.23 to Lazard Ltd’s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Schedule I for, Scott D. Hoffman (incorporated by reference to Exhibit 10.26 to Lazard Ltd’s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126751)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10.24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Relating to Retention and Noncompetition and Other Covenants (incorporated by reference to Exhibit 10.27 to Lazard Ltd’s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Alexander F. Stern (incorporated by reference to Exhibit 10.28 to Registrant’s Annual Report (File No. 333-126751) on Form 10-K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156</w:t>
            </w: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the Registrant and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Kenneth M. Jacobs (incorporated by reference to Exhibit 10.29 to the Registrant’s Annual Report on Form 10-K (File No. 333-126751)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Matthieu Bucaille (incorporated by reference to Exhibit 10.30 to the Registrant’s Quarterly Report (File No. 333-126751) on Form 10-Q filed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October 4, 2004, between the Registrant and Matthieu Bucaille (incorporated by reference to Exhibit 10.31 to the Registrant’s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Fréres &amp; Co. LLC</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10.28 to Lazard Ltd’s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Acknowledgement Letter, dated as of November 6, 2006 from the Registrant to certain managing directors of the Registrant modifying the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terms of the retention agreements of persons party to the Amended and Restated Stockholders’ Agreement, dated as of November 6, 2006</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10.23 to the Registrant’s Quarterly Report (File No. 333-12675 1) on Form 10-Q filed on November 7,</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reference to Exhibit 10.27 to Lazard Ltd’s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Registration Rights Agreement, dated as of May 10, 2005, by and among Lazard Group Finance LLC, the Registrant, Lazard Ltd and IXIS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Corporate and Investment Bank (incorporated by reference to Exhibit 10.30 to Lazard Ltd’s Quarterly Report (File No. 001-32492) on Form 10-</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Description of Non-Executive Director Compensation (incorporated by reference to Exhibit 10.33 to Lazard Ltd’s Quarterly Report (File No.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2005 Equity Incentive Plan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 to Exhibit 10.1 to Lazard Ltd’s Current Report on Form 8-K (File No. 00 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Lazard Ltd’s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(incorporated by reference to Exhibit 10.42 to Lazard Ltd’s Annual Report (File No. 00 1-32492) on Form 10-K filed on March 2, 2009).</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157</w:t>
            </w:r>
          </w:p>
        </w:tc>
      </w:tr>
    </w:tbl>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10.40*</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Directors’ Fee Deferral Unit Plan (incorporated by reference to Exhibit 10.39 to Lazard Ltd’s Quarterly Report (File No. 001-32492) on Form</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10-Q filed on May 11,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10.41*</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First Amended Form of Agreement evidencing a grant of Restricted Stock Units to Executive Officers under the 2005 Equity Incentive Plan</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4"/>
              </w:rPr>
              <w:t>(incorporated by reference to Exhibit 10.43 to Lazard Ltd’s Annual Report (File No. 00 1-32492) on Form 10-K filed on March 1, 2007).</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10.42</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Agreement and Plan of Merger, dated as of August 14,2008, by and among Lazard Ltd, LAZ Sub I, Lazard Asset Management LLC and Lazard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on August 15, 2008).</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10.43*</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Letter Agreement regarding employment dated as of April 21,2010 between Lazard Group LLC and Gary W. Parr (incorporated by reference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10.44*</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Amendment, dated as of February 27, 2012 to Letter Agreement regarding employment, dated as of April 21, 2010, between Lazard Group LLC</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and Gary W. Parr (incorporated by reference to Exhibit 10.45 to the Registrant’s Quarterly Report (File No. 333-126751) on Form 10-Q filed</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May 2, 2012).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10.45</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Senior Revolving Credit Agreement, dated as of September 25, 2012, among the Registrant, the Banks from time to time parties thereto, and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Citibank, N.A., as Administrative Agent (incorporated by reference to Exhibit 10.46 to the Registrant’s Quarterly Report (File No. 333-126751)</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on Form 10-Q filed on November 1, 2012).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10.46*</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10.47*</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10.48*</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10.52 to the Registrant’s Quarterly Report (File</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No. 333-126751) on Form 10-Q filed on May 2, 2012).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10.49*</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March 15, 2005, between the Registrant and Ashish Bhutani (incorporated by reference to Exhibit 10.55 to the Registrant’s Quarterly Report</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10.50*</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of March 18, 2005, and amended on March 23, 2010, among the Registrant, Lazard Ltd and Kenneth M. Jacobs (incorporated by reference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46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460" w:type="dxa"/>
            <w:vAlign w:val="bottom"/>
          </w:tcPr>
          <w:p>
            <w:pPr>
              <w:ind w:left="300"/>
              <w:spacing w:after="0"/>
              <w:rPr>
                <w:sz w:val="20"/>
                <w:szCs w:val="20"/>
                <w:color w:val="auto"/>
              </w:rPr>
            </w:pPr>
            <w:r>
              <w:rPr>
                <w:rFonts w:ascii="Arial" w:cs="Arial" w:eastAsia="Arial" w:hAnsi="Arial"/>
                <w:sz w:val="18"/>
                <w:szCs w:val="18"/>
                <w:color w:val="auto"/>
              </w:rPr>
              <w:t>Subsidiaries of Registrant</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46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6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65"/>
        </w:trPr>
        <w:tc>
          <w:tcPr>
            <w:tcW w:w="960" w:type="dxa"/>
            <w:vAlign w:val="bottom"/>
          </w:tcPr>
          <w:p>
            <w:pPr>
              <w:spacing w:after="0"/>
              <w:rPr>
                <w:sz w:val="24"/>
                <w:szCs w:val="24"/>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158</w:t>
            </w: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30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30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219"/>
          </w:cols>
          <w:pgMar w:left="240" w:top="460" w:right="1440"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Management’s Report on Internal Control Over Financial Reporting</w:t>
              </w:r>
            </w:hyperlink>
          </w:p>
        </w:tc>
        <w:tc>
          <w:tcPr>
            <w:tcW w:w="6020" w:type="dxa"/>
            <w:vAlign w:val="bottom"/>
            <w:gridSpan w:val="11"/>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1"/>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Reports of Independent Registered Public Accounting Firm</w:t>
              </w:r>
            </w:hyperlink>
          </w:p>
        </w:tc>
        <w:tc>
          <w:tcPr>
            <w:tcW w:w="6620" w:type="dxa"/>
            <w:vAlign w:val="bottom"/>
            <w:gridSpan w:val="1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451"/>
        </w:trPr>
        <w:tc>
          <w:tcPr>
            <w:tcW w:w="10820" w:type="dxa"/>
            <w:vAlign w:val="bottom"/>
            <w:gridSpan w:val="2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Statements of Financial Condition as of December 31, 2012 and 2011</w:t>
              </w:r>
            </w:hyperlink>
          </w:p>
        </w:tc>
        <w:tc>
          <w:tcPr>
            <w:tcW w:w="4940" w:type="dxa"/>
            <w:vAlign w:val="bottom"/>
            <w:gridSpan w:val="10"/>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4"/>
        </w:trPr>
        <w:tc>
          <w:tcPr>
            <w:tcW w:w="10820" w:type="dxa"/>
            <w:vAlign w:val="bottom"/>
            <w:gridSpan w:val="2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Operations for the years ended December 31, 2012,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Comprehensive Income for the years ended December 31, 2012, 2011</w:t>
              </w:r>
            </w:hyperlink>
          </w:p>
        </w:tc>
        <w:tc>
          <w:tcPr>
            <w:tcW w:w="392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and 2010</w:t>
              </w:r>
            </w:hyperlink>
          </w:p>
        </w:tc>
        <w:tc>
          <w:tcPr>
            <w:tcW w:w="9940" w:type="dxa"/>
            <w:vAlign w:val="bottom"/>
            <w:gridSpan w:val="1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2012, 2011 and 2010</w:t>
              </w:r>
            </w:hyperlink>
          </w:p>
        </w:tc>
        <w:tc>
          <w:tcPr>
            <w:tcW w:w="4080" w:type="dxa"/>
            <w:vAlign w:val="bottom"/>
            <w:gridSpan w:val="7"/>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4"/>
        </w:trPr>
        <w:tc>
          <w:tcPr>
            <w:tcW w:w="1082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Members’ Equity for the years ended December 31, 2012,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4"/>
        </w:trPr>
        <w:tc>
          <w:tcPr>
            <w:tcW w:w="8020" w:type="dxa"/>
            <w:vAlign w:val="bottom"/>
            <w:tcBorders>
              <w:top w:val="single" w:sz="8" w:color="0000EE"/>
            </w:tcBorders>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2800" w:type="dxa"/>
            <w:vAlign w:val="bottom"/>
            <w:gridSpan w:val="2"/>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Supplemental Financial Information</w:t>
              </w:r>
            </w:hyperlink>
          </w:p>
        </w:tc>
        <w:tc>
          <w:tcPr>
            <w:tcW w:w="774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Quarterly Results</w:t>
              </w:r>
            </w:hyperlink>
          </w:p>
        </w:tc>
        <w:tc>
          <w:tcPr>
            <w:tcW w:w="8080" w:type="dxa"/>
            <w:vAlign w:val="bottom"/>
            <w:gridSpan w:val="15"/>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20"/>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20"/>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Condensed Statements of Financial Condition as of December 31, 2012 and 2011</w:t>
              </w:r>
            </w:hyperlink>
          </w:p>
        </w:tc>
        <w:tc>
          <w:tcPr>
            <w:tcW w:w="4660" w:type="dxa"/>
            <w:vAlign w:val="bottom"/>
            <w:gridSpan w:val="9"/>
          </w:tcPr>
          <w:p>
            <w:pPr>
              <w:spacing w:after="0"/>
              <w:rPr>
                <w:sz w:val="21"/>
                <w:szCs w:val="21"/>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64">
              <w:r>
                <w:rPr>
                  <w:rFonts w:ascii="Arial" w:cs="Arial" w:eastAsia="Arial" w:hAnsi="Arial"/>
                  <w:sz w:val="18"/>
                  <w:szCs w:val="18"/>
                  <w:color w:val="0000EE"/>
                  <w:w w:val="86"/>
                </w:rPr>
                <w:t>Condensed Statements of Operations for the years ended December 31, 2012, 2011 and 2010</w:t>
              </w:r>
            </w:hyperlink>
          </w:p>
        </w:tc>
        <w:tc>
          <w:tcPr>
            <w:tcW w:w="3840" w:type="dxa"/>
            <w:vAlign w:val="bottom"/>
            <w:gridSpan w:val="5"/>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Condensed Statements of Comprehensive Income for the years ended December 31, 2012, 2011 and 2010</w:t>
              </w:r>
            </w:hyperlink>
          </w:p>
        </w:tc>
        <w:tc>
          <w:tcPr>
            <w:tcW w:w="2940" w:type="dxa"/>
            <w:vAlign w:val="bottom"/>
            <w:gridSpan w:val="3"/>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8"/>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Condensed Statements of Cash Flows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3660" w:type="dxa"/>
            <w:vAlign w:val="bottom"/>
            <w:gridSpan w:val="9"/>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8"/>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Condensed Statements of Changes in Members’ Equity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60" w:type="dxa"/>
            <w:vAlign w:val="bottom"/>
            <w:tcBorders>
              <w:top w:val="single" w:sz="8" w:color="0000EE"/>
            </w:tcBorders>
            <w:gridSpan w:val="17"/>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Notes to Condensed Financial Statements</w:t>
              </w:r>
            </w:hyperlink>
          </w:p>
        </w:tc>
        <w:tc>
          <w:tcPr>
            <w:tcW w:w="252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58,617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1,279,675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1,292,454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from subsidiaries of Lazard Ltd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Property-net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1,908,988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1,967,086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9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 of Lazard Ltd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1,455,809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1,352,742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(92,393)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88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1,908,988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1,967,086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8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6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8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Equity in earnings of subsidiaries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336,214</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$398,933</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$475,100</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(4,602)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344,065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419,965</w:t>
            </w: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497,748</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84,343</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260,938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335,622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411,396</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160,634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120,324</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194,179</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6,030</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172,436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128,144</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210,165</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88,502</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207,478</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201,231</w:t>
            </w:r>
          </w:p>
        </w:tc>
        <w:tc>
          <w:tcPr>
            <w:tcW w:w="100" w:type="dxa"/>
            <w:vAlign w:val="bottom"/>
          </w:tcPr>
          <w:p>
            <w:pPr>
              <w:spacing w:after="0"/>
              <w:rPr>
                <w:sz w:val="19"/>
                <w:szCs w:val="19"/>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(benefit) for incomes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210,705</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194,544</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8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6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$ 87,609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210,705</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194,544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(9,241)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Unrealized gain (net of tax expense of $1,645)</w:t>
            </w:r>
          </w:p>
        </w:tc>
        <w:tc>
          <w:tcPr>
            <w:tcW w:w="20" w:type="dxa"/>
            <w:vAlign w:val="bottom"/>
          </w:tcPr>
          <w:p>
            <w:pPr>
              <w:spacing w:after="0"/>
              <w:rPr>
                <w:sz w:val="18"/>
                <w:szCs w:val="18"/>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for items reclassified to earnings (net of tax expense of $4,989)</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Actuarial gain (loss) (net of tax expense (benefit) of $(12,950), $(12,526) and $6,555 for the years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ended December 31, 2012, 2011 and 2010, respectively)</w:t>
            </w:r>
          </w:p>
        </w:tc>
        <w:tc>
          <w:tcPr>
            <w:tcW w:w="9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(40,298)</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(38,248)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w w:val="94"/>
              </w:rPr>
              <w:t>Adjustments for items reclassified to earnings (net of tax expense of $1,145, $1,031 and $975 for the</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20" w:type="dxa"/>
            <w:vAlign w:val="bottom"/>
          </w:tcPr>
          <w:p>
            <w:pPr>
              <w:ind w:left="1060"/>
              <w:spacing w:after="0"/>
              <w:rPr>
                <w:sz w:val="20"/>
                <w:szCs w:val="20"/>
                <w:color w:val="auto"/>
              </w:rPr>
            </w:pPr>
            <w:r>
              <w:rPr>
                <w:rFonts w:ascii="Arial" w:cs="Arial" w:eastAsia="Arial" w:hAnsi="Arial"/>
                <w:sz w:val="18"/>
                <w:szCs w:val="18"/>
                <w:color w:val="auto"/>
              </w:rPr>
              <w:t>years ended December 31, 2012, 2011 and 2010, respectively)</w:t>
            </w:r>
          </w:p>
        </w:tc>
        <w:tc>
          <w:tcPr>
            <w:tcW w:w="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(13,141)</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(44,229)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$ 74,468</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166,476</w:t>
            </w:r>
          </w:p>
        </w:tc>
        <w:tc>
          <w:tcPr>
            <w:tcW w:w="4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80"/>
              <w:spacing w:after="0" w:line="160" w:lineRule="exact"/>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80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87,609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210,705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$ 194,544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Noncash items included in net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of subsidiaries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(336,214)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(398,933)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Deferred tax benefit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(3,791)</w:t>
            </w:r>
          </w:p>
        </w:tc>
        <w:tc>
          <w:tcPr>
            <w:tcW w:w="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Investment gains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w w:val="90"/>
              </w:rPr>
              <w:t>Amortization of deferred expenses, share-based incentive compensation and interest rate hedge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340,157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282,897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715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 from subsidiaries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374,340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598,877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to/from subsidiaries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(10,494)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(46,997)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664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operating assets and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(101,460)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517,705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579,646</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Proceeds from sales of held-to-maturity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(20,079)</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Capital contribution to subsidiaries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(39,978)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(224,012)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(244,091)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83,035</w:t>
            </w: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Excess tax benefit from share-based incentive compensation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1,386</w:t>
            </w:r>
          </w:p>
        </w:tc>
        <w:tc>
          <w:tcPr>
            <w:tcW w:w="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 of intercompany receivable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(140,278)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(92,454)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(44,883)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(93,750)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(332,095)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(172,864)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(441,421)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(358,721)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(347,303)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(23,166)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104,145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80,979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$ 104,145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Members’</w:t>
            </w:r>
          </w:p>
        </w:tc>
        <w:tc>
          <w:tcPr>
            <w:tcW w:w="34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2"/>
                <w:szCs w:val="12"/>
                <w:color w:val="auto"/>
              </w:rPr>
            </w:pP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Lazard 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Members’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$ 214,163</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actuarial gain</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305,303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305,303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(122,000)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(149,981)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(149,981)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 connection with share-based incentive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(57,576)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(7,248)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Common membership interests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20,804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Lazard Ltd Class A common stock issued / issuable (including related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$ 404,588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(35,023)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380" w:type="dxa"/>
            <w:vAlign w:val="bottom"/>
          </w:tcPr>
          <w:p>
            <w:pPr>
              <w:ind w:left="5580"/>
              <w:spacing w:after="0"/>
              <w:rPr>
                <w:sz w:val="20"/>
                <w:szCs w:val="20"/>
                <w:color w:val="auto"/>
              </w:rPr>
            </w:pPr>
            <w:r>
              <w:rPr>
                <w:rFonts w:ascii="Arial" w:cs="Arial" w:eastAsia="Arial" w:hAnsi="Arial"/>
                <w:sz w:val="18"/>
                <w:szCs w:val="18"/>
                <w:color w:val="auto"/>
              </w:rPr>
              <w:t>F-6</w:t>
            </w: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8"/>
              </w:rPr>
              <w:t>Accumulated Other</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Members’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$ 404,588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right"/>
              <w:ind w:right="114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(38,248)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(92,454)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(172,864)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Delivery of Lazard Ltd Class A common stock in connection with share-based incentive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compensation and related tax benefits of $972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(92,778)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Common membership interests issued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Delivery of Lazard Ltd Class A common stock</w:t>
            </w:r>
          </w:p>
        </w:tc>
        <w:tc>
          <w:tcPr>
            <w:tcW w:w="720" w:type="dxa"/>
            <w:vAlign w:val="bottom"/>
          </w:tcPr>
          <w:p>
            <w:pPr>
              <w:jc w:val="right"/>
              <w:spacing w:after="0"/>
              <w:rPr>
                <w:sz w:val="20"/>
                <w:szCs w:val="20"/>
                <w:color w:val="auto"/>
              </w:rPr>
            </w:pPr>
            <w:r>
              <w:rPr>
                <w:rFonts w:ascii="Arial" w:cs="Arial" w:eastAsia="Arial" w:hAnsi="Arial"/>
                <w:sz w:val="18"/>
                <w:szCs w:val="18"/>
                <w:color w:val="auto"/>
              </w:rPr>
              <w:t>103,567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Lazard Ltd Class A common stock issuable (including related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$ 693,596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(79,252)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614,344</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020" w:type="dxa"/>
            <w:vAlign w:val="bottom"/>
          </w:tcPr>
          <w:p>
            <w:pPr>
              <w:ind w:left="5580"/>
              <w:spacing w:after="0"/>
              <w:rPr>
                <w:sz w:val="20"/>
                <w:szCs w:val="20"/>
                <w:color w:val="auto"/>
              </w:rPr>
            </w:pPr>
            <w:r>
              <w:rPr>
                <w:rFonts w:ascii="Arial" w:cs="Arial" w:eastAsia="Arial" w:hAnsi="Arial"/>
                <w:sz w:val="18"/>
                <w:szCs w:val="18"/>
                <w:color w:val="auto"/>
              </w:rPr>
              <w:t>F-7</w:t>
            </w: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3"/>
          </w:tcPr>
          <w:p>
            <w:pPr>
              <w:jc w:val="center"/>
              <w:ind w:right="438"/>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558"/>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3"/>
          </w:tcPr>
          <w:p>
            <w:pPr>
              <w:jc w:val="center"/>
              <w:ind w:right="43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Lazard Group</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Members’</w:t>
            </w:r>
          </w:p>
        </w:tc>
        <w:tc>
          <w:tcPr>
            <w:tcW w:w="1420" w:type="dxa"/>
            <w:vAlign w:val="bottom"/>
            <w:gridSpan w:val="3"/>
          </w:tcPr>
          <w:p>
            <w:pPr>
              <w:jc w:val="center"/>
              <w:ind w:right="43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300" w:type="dxa"/>
            <w:vAlign w:val="bottom"/>
            <w:gridSpan w:val="2"/>
          </w:tcPr>
          <w:p>
            <w:pPr>
              <w:jc w:val="center"/>
              <w:ind w:right="558"/>
              <w:spacing w:after="0"/>
              <w:rPr>
                <w:sz w:val="20"/>
                <w:szCs w:val="20"/>
                <w:color w:val="auto"/>
              </w:rPr>
            </w:pPr>
            <w:r>
              <w:rPr>
                <w:rFonts w:ascii="Arial" w:cs="Arial" w:eastAsia="Arial" w:hAnsi="Arial"/>
                <w:sz w:val="14"/>
                <w:szCs w:val="14"/>
                <w:b w:val="1"/>
                <w:bCs w:val="1"/>
                <w:color w:val="auto"/>
                <w:w w:val="85"/>
              </w:rPr>
              <w:t>Net of Tax</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2012</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$ 693,596</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(79,252)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614,344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82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87,609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87,609</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21,703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21,703</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640"/>
              <w:spacing w:after="0"/>
              <w:rPr>
                <w:sz w:val="20"/>
                <w:szCs w:val="20"/>
                <w:color w:val="auto"/>
              </w:rPr>
            </w:pPr>
            <w:r>
              <w:rPr>
                <w:rFonts w:ascii="Arial" w:cs="Arial" w:eastAsia="Arial" w:hAnsi="Arial"/>
                <w:sz w:val="18"/>
                <w:szCs w:val="18"/>
                <w:color w:val="auto"/>
              </w:rPr>
              <w:t>Amortization of interest rate hedge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38"/>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Net actuarial loss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78"/>
              <w:spacing w:after="0"/>
              <w:rPr>
                <w:sz w:val="20"/>
                <w:szCs w:val="20"/>
                <w:color w:val="auto"/>
              </w:rPr>
            </w:pPr>
            <w:r>
              <w:rPr>
                <w:rFonts w:ascii="Arial" w:cs="Arial" w:eastAsia="Arial" w:hAnsi="Arial"/>
                <w:sz w:val="18"/>
                <w:szCs w:val="18"/>
                <w:color w:val="auto"/>
              </w:rPr>
              <w:t>(40,298)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(40,298)</w:t>
            </w: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74,468</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310,348</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310,348</w:t>
            </w: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Distribution to members and noncontrolling interests</w:t>
            </w:r>
          </w:p>
        </w:tc>
        <w:tc>
          <w:tcPr>
            <w:tcW w:w="1240" w:type="dxa"/>
            <w:vAlign w:val="bottom"/>
            <w:gridSpan w:val="4"/>
          </w:tcPr>
          <w:p>
            <w:pPr>
              <w:jc w:val="right"/>
              <w:ind w:right="460"/>
              <w:spacing w:after="0"/>
              <w:rPr>
                <w:sz w:val="20"/>
                <w:szCs w:val="20"/>
                <w:color w:val="auto"/>
              </w:rPr>
            </w:pPr>
            <w:r>
              <w:rPr>
                <w:rFonts w:ascii="Arial" w:cs="Arial" w:eastAsia="Arial" w:hAnsi="Arial"/>
                <w:sz w:val="18"/>
                <w:szCs w:val="18"/>
                <w:color w:val="auto"/>
                <w:w w:val="98"/>
              </w:rPr>
              <w:t>(140,278)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(140,278)</w:t>
            </w:r>
          </w:p>
        </w:tc>
      </w:tr>
      <w:tr>
        <w:trPr>
          <w:trHeight w:val="230"/>
        </w:trPr>
        <w:tc>
          <w:tcPr>
            <w:tcW w:w="2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98"/>
              </w:rPr>
              <w:t>(332,095)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(332,095)</w:t>
            </w: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w w:val="96"/>
              </w:rPr>
              <w:t>Delivery of Lazard Ltd Class A common stock in connection with share-based incentive compensation</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and related tax benefit of $972</w:t>
            </w:r>
          </w:p>
        </w:tc>
        <w:tc>
          <w:tcPr>
            <w:tcW w:w="1240" w:type="dxa"/>
            <w:vAlign w:val="bottom"/>
            <w:gridSpan w:val="4"/>
          </w:tcPr>
          <w:p>
            <w:pPr>
              <w:jc w:val="right"/>
              <w:ind w:right="460"/>
              <w:spacing w:after="0"/>
              <w:rPr>
                <w:sz w:val="20"/>
                <w:szCs w:val="20"/>
                <w:color w:val="auto"/>
              </w:rPr>
            </w:pPr>
            <w:r>
              <w:rPr>
                <w:rFonts w:ascii="Arial" w:cs="Arial" w:eastAsia="Arial" w:hAnsi="Arial"/>
                <w:sz w:val="18"/>
                <w:szCs w:val="18"/>
                <w:color w:val="auto"/>
              </w:rPr>
              <w:t>(45,855)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(45,855)</w:t>
            </w: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of equity incentive compensation award</w:t>
            </w:r>
          </w:p>
        </w:tc>
        <w:tc>
          <w:tcPr>
            <w:tcW w:w="12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(26,922)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(26,922)</w:t>
            </w: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Delivery of Lazard Ltd Class A common stock</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Lazard Ltd Class A common stock issuable (including related amortization)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4,079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(5,195)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(5,195)</w:t>
            </w:r>
          </w:p>
        </w:tc>
      </w:tr>
      <w:tr>
        <w:trPr>
          <w:trHeight w:val="223"/>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Balance – December 31, 2012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$ 545,572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(92,393</w:t>
            </w:r>
          </w:p>
        </w:tc>
        <w:tc>
          <w:tcPr>
            <w:tcW w:w="520" w:type="dxa"/>
            <w:vAlign w:val="bottom"/>
          </w:tcPr>
          <w:p>
            <w:pPr>
              <w:jc w:val="right"/>
              <w:ind w:right="3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453,179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340" w:right="36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127,350,561, 129,766,090 and 129,766,090 common membership interests at December 31, 2010, 2011 and 2012, respectively. Also includes profit participation interests and two managing member interests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2012 and 2011, and for each of the three years in the period ended December 31, 2012,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71" w:name="page172"/>
    <w:bookmarkEnd w:id="171"/>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center"/>
              <w:ind w:left="277"/>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bottom w:val="single" w:sz="8" w:color="auto"/>
            </w:tcBorders>
            <w:gridSpan w:val="2"/>
          </w:tcPr>
          <w:p>
            <w:pPr>
              <w:jc w:val="center"/>
              <w:ind w:left="319"/>
              <w:spacing w:after="0" w:line="142" w:lineRule="exact"/>
              <w:rPr>
                <w:sz w:val="20"/>
                <w:szCs w:val="20"/>
                <w:color w:val="auto"/>
              </w:rPr>
            </w:pPr>
            <w:r>
              <w:rPr>
                <w:rFonts w:ascii="Arial" w:cs="Arial" w:eastAsia="Arial" w:hAnsi="Arial"/>
                <w:sz w:val="14"/>
                <w:szCs w:val="14"/>
                <w:b w:val="1"/>
                <w:bCs w:val="1"/>
                <w:color w:val="auto"/>
                <w:w w:val="89"/>
              </w:rPr>
              <w:t>2010</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121,593</w:t>
            </w: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(181,988)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116,255</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121,656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132,785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161,665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237,848</w:t>
            </w: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203,694</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113,280</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24,896</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116,255</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121,656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132,785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161,665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2.05(d)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3.03(e)</w:t>
            </w: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1.26(g)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Deficiency in the coverage of operating income (loss) before fixed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181,988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60" w:hanging="452"/>
        <w:spacing w:after="0" w:line="323"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pacing w:after="0" w:line="16" w:lineRule="exact"/>
        <w:rPr>
          <w:rFonts w:ascii="Arial" w:cs="Arial" w:eastAsia="Arial" w:hAnsi="Arial"/>
          <w:sz w:val="15"/>
          <w:szCs w:val="15"/>
          <w:color w:val="auto"/>
        </w:rPr>
      </w:pPr>
    </w:p>
    <w:p>
      <w:pPr>
        <w:ind w:left="460" w:right="28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Excluding the impact of such items, the ratio of earnings to fixed charges would have been 3.95.</w:t>
      </w:r>
    </w:p>
    <w:p>
      <w:pPr>
        <w:spacing w:after="0" w:line="59"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International</w:t>
            </w:r>
          </w:p>
        </w:tc>
        <w:tc>
          <w:tcPr>
            <w:tcW w:w="2040" w:type="dxa"/>
            <w:vAlign w:val="bottom"/>
          </w:tcPr>
          <w:p>
            <w:pPr>
              <w:spacing w:after="0" w:line="188" w:lineRule="exact"/>
              <w:rPr>
                <w:sz w:val="20"/>
                <w:szCs w:val="20"/>
                <w:color w:val="auto"/>
              </w:rPr>
            </w:pPr>
            <w:r>
              <w:rPr>
                <w:rFonts w:ascii="Arial" w:cs="Arial" w:eastAsia="Arial" w:hAnsi="Arial"/>
                <w:sz w:val="18"/>
                <w:szCs w:val="18"/>
                <w:color w:val="auto"/>
              </w:rPr>
              <w:t>Holdings, Inc.</w:t>
            </w: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333-174547 on Form S-3 of our reports dated February 28, 2013, relating to the consolidated financial statements and financial statement schedule of Lazard Group LLC, and the effectiveness of Lazard Group LLC’s internal control over financial reporting appearing in this Annual Report on Form 10-K of Lazard Group LLC for the year ended December 31,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ectPr>
          <w:pgSz w:w="11900" w:h="16838" w:orient="portrait"/>
          <w:cols w:equalWidth="0" w:num="1">
            <w:col w:w="11420"/>
          </w:cols>
          <w:pgMar w:left="240" w:top="12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lowerLetter"/>
      <w:start w:val="3"/>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lowerRoman"/>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1"/>
    </w:lvl>
  </w:abstractNum>
  <w:abstractNum w:abstractNumId="28">
    <w:nsid w:val="77AE35EB"/>
    <w:multiLevelType w:val="hybridMultilevel"/>
    <w:lvl w:ilvl="0">
      <w:lvlJc w:val="left"/>
      <w:lvlText w:val="(%1)"/>
      <w:numFmt w:val="lowerRoman"/>
      <w:start w:val="1"/>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Letter"/>
      <w:start w:val="1"/>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lowerLetter"/>
      <w:start w:val="2"/>
    </w:lvl>
  </w:abstractNum>
  <w:abstractNum w:abstractNumId="34">
    <w:nsid w:val="1DBABF00"/>
    <w:multiLevelType w:val="hybridMultilevel"/>
    <w:lvl w:ilvl="0">
      <w:lvlJc w:val="left"/>
      <w:lvlText w:val="(%1)"/>
      <w:numFmt w:val="lowerLetter"/>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lowerLetter"/>
      <w:start w:val="4"/>
    </w:lvl>
  </w:abstractNum>
  <w:abstractNum w:abstractNumId="38">
    <w:nsid w:val="5DB70AE5"/>
    <w:multiLevelType w:val="hybridMultilevel"/>
    <w:lvl w:ilvl="0">
      <w:lvlJc w:val="left"/>
      <w:lvlText w:val="(%1)"/>
      <w:numFmt w:val="lowerLetter"/>
      <w:start w:val="7"/>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1."/>
      <w:numFmt w:val="decimal"/>
      <w:start w:val="2"/>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3"/>
    </w:lvl>
  </w:abstractNum>
  <w:abstractNum w:abstractNumId="50">
    <w:nsid w:val="5DC79EA8"/>
    <w:multiLevelType w:val="hybridMultilevel"/>
    <w:lvl w:ilvl="0">
      <w:lvlJc w:val="left"/>
      <w:lvlText w:val="%1."/>
      <w:numFmt w:val="decimal"/>
      <w:start w:val="4"/>
    </w:lvl>
  </w:abstractNum>
  <w:abstractNum w:abstractNumId="51">
    <w:nsid w:val="540A471C"/>
    <w:multiLevelType w:val="hybridMultilevel"/>
    <w:lvl w:ilvl="0">
      <w:lvlJc w:val="left"/>
      <w:lvlText w:val="%1."/>
      <w:numFmt w:val="decimal"/>
      <w:start w:val="5"/>
    </w:lvl>
  </w:abstractNum>
  <w:abstractNum w:abstractNumId="52">
    <w:nsid w:val="7BD3EE7B"/>
    <w:multiLevelType w:val="hybridMultilevel"/>
    <w:lvl w:ilvl="0">
      <w:lvlJc w:val="left"/>
      <w:lvlText w:val="(%1)"/>
      <w:numFmt w:val="lowerLetter"/>
      <w:start w:val="1"/>
    </w:lvl>
  </w:abstractNum>
  <w:abstractNum w:abstractNumId="53">
    <w:nsid w:val="51D9C564"/>
    <w:multiLevelType w:val="hybridMultilevel"/>
    <w:lvl w:ilvl="0">
      <w:lvlJc w:val="left"/>
      <w:lvlText w:val="%1."/>
      <w:numFmt w:val="decimal"/>
      <w:start w:val="6"/>
    </w:lvl>
  </w:abstractNum>
  <w:abstractNum w:abstractNumId="54">
    <w:nsid w:val="613EFDC5"/>
    <w:multiLevelType w:val="hybridMultilevel"/>
    <w:lvl w:ilvl="0">
      <w:lvlJc w:val="left"/>
      <w:lvlText w:val="(%1)"/>
      <w:numFmt w:val="lowerLetter"/>
      <w:start w:val="1"/>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lowerLetter"/>
      <w:start w:val="1"/>
    </w:lvl>
  </w:abstractNum>
  <w:abstractNum w:abstractNumId="57">
    <w:nsid w:val="42963E5A"/>
    <w:multiLevelType w:val="hybridMultilevel"/>
    <w:lvl w:ilvl="0">
      <w:lvlJc w:val="left"/>
      <w:lvlText w:val="%1."/>
      <w:numFmt w:val="decimal"/>
      <w:start w:val="7"/>
    </w:lvl>
  </w:abstractNum>
  <w:abstractNum w:abstractNumId="58">
    <w:nsid w:val="A0382C5"/>
    <w:multiLevelType w:val="hybridMultilevel"/>
    <w:lvl w:ilvl="0">
      <w:lvlJc w:val="left"/>
      <w:lvlText w:val="%1."/>
      <w:numFmt w:val="decimal"/>
      <w:start w:val="8"/>
    </w:lvl>
  </w:abstractNum>
  <w:abstractNum w:abstractNumId="59">
    <w:nsid w:val="8F2B15E"/>
    <w:multiLevelType w:val="hybridMultilevel"/>
    <w:lvl w:ilvl="0">
      <w:lvlJc w:val="left"/>
      <w:lvlText w:val="%1."/>
      <w:numFmt w:val="decimal"/>
      <w:start w:val="9"/>
    </w:lvl>
  </w:abstractNum>
  <w:abstractNum w:abstractNumId="60">
    <w:nsid w:val="1A32234B"/>
    <w:multiLevelType w:val="hybridMultilevel"/>
    <w:lvl w:ilvl="0">
      <w:lvlJc w:val="left"/>
      <w:lvlText w:val="%1"/>
      <w:numFmt w:val="decimal"/>
      <w:start w:val="1"/>
    </w:lvl>
    <w:lvl w:ilvl="1">
      <w:lvlJc w:val="left"/>
      <w:lvlText w:val="(%2)"/>
      <w:numFmt w:val="lowerLetter"/>
      <w:start w:val="1"/>
    </w:lvl>
  </w:abstractNum>
  <w:abstractNum w:abstractNumId="61">
    <w:nsid w:val="3B0FD379"/>
    <w:multiLevelType w:val="hybridMultilevel"/>
    <w:lvl w:ilvl="0">
      <w:lvlJc w:val="left"/>
      <w:lvlText w:val="%1."/>
      <w:numFmt w:val="decimal"/>
      <w:start w:val="10"/>
    </w:lvl>
    <w:lvl w:ilvl="1">
      <w:lvlJc w:val="left"/>
      <w:lvlText w:val="%2"/>
      <w:numFmt w:val="lowerLetter"/>
      <w:start w:val="1"/>
    </w:lvl>
  </w:abstractNum>
  <w:abstractNum w:abstractNumId="62">
    <w:nsid w:val="68EB2F63"/>
    <w:multiLevelType w:val="hybridMultilevel"/>
    <w:lvl w:ilvl="0">
      <w:lvlJc w:val="left"/>
      <w:lvlText w:val="%1."/>
      <w:numFmt w:val="decimal"/>
      <w:start w:val="1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decimal"/>
      <w:start w:val="12"/>
    </w:lvl>
  </w:abstractNum>
  <w:abstractNum w:abstractNumId="65">
    <w:nsid w:val="6A5EE64"/>
    <w:multiLevelType w:val="hybridMultilevel"/>
    <w:lvl w:ilvl="0">
      <w:lvlJc w:val="left"/>
      <w:lvlText w:val="%1."/>
      <w:numFmt w:val="decimal"/>
      <w:start w:val="13"/>
    </w:lvl>
  </w:abstractNum>
  <w:abstractNum w:abstractNumId="66">
    <w:nsid w:val="14330624"/>
    <w:multiLevelType w:val="hybridMultilevel"/>
    <w:lvl w:ilvl="0">
      <w:lvlJc w:val="left"/>
      <w:lvlText w:val="%1."/>
      <w:numFmt w:val="decimal"/>
      <w:start w:val="14"/>
    </w:lvl>
  </w:abstractNum>
  <w:abstractNum w:abstractNumId="67">
    <w:nsid w:val="7FFFCA11"/>
    <w:multiLevelType w:val="hybridMultilevel"/>
    <w:lvl w:ilvl="0">
      <w:lvlJc w:val="left"/>
      <w:lvlText w:val="(%1)"/>
      <w:numFmt w:val="lowerLetter"/>
      <w:start w:val="1"/>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1"/>
    </w:lvl>
  </w:abstractNum>
  <w:abstractNum w:abstractNumId="70">
    <w:nsid w:val="100F59DC"/>
    <w:multiLevelType w:val="hybridMultilevel"/>
    <w:lvl w:ilvl="0">
      <w:lvlJc w:val="left"/>
      <w:lvlText w:val="%1."/>
      <w:numFmt w:val="decimal"/>
      <w:start w:val="15"/>
    </w:lvl>
  </w:abstractNum>
  <w:abstractNum w:abstractNumId="71">
    <w:nsid w:val="7FB7E0AA"/>
    <w:multiLevelType w:val="hybridMultilevel"/>
    <w:lvl w:ilvl="0">
      <w:lvlJc w:val="left"/>
      <w:lvlText w:val="(%1)"/>
      <w:numFmt w:val="lowerLetter"/>
      <w:start w:val="1"/>
    </w:lvl>
  </w:abstractNum>
  <w:abstractNum w:abstractNumId="72">
    <w:nsid w:val="6EB5BD4"/>
    <w:multiLevelType w:val="hybridMultilevel"/>
    <w:lvl w:ilvl="0">
      <w:lvlJc w:val="left"/>
      <w:lvlText w:val="%1."/>
      <w:numFmt w:val="decimal"/>
      <w:start w:val="16"/>
    </w:lvl>
  </w:abstractNum>
  <w:abstractNum w:abstractNumId="73">
    <w:nsid w:val="6F6DD9AC"/>
    <w:multiLevelType w:val="hybridMultilevel"/>
    <w:lvl w:ilvl="0">
      <w:lvlJc w:val="left"/>
      <w:lvlText w:val="%1."/>
      <w:numFmt w:val="decimal"/>
      <w:start w:val="17"/>
    </w:lvl>
  </w:abstractNum>
  <w:abstractNum w:abstractNumId="74">
    <w:nsid w:val="94211F2"/>
    <w:multiLevelType w:val="hybridMultilevel"/>
    <w:lvl w:ilvl="0">
      <w:lvlJc w:val="left"/>
      <w:lvlText w:val="%1."/>
      <w:numFmt w:val="decimal"/>
      <w:start w:val="19"/>
    </w:lvl>
  </w:abstractNum>
  <w:abstractNum w:abstractNumId="75">
    <w:nsid w:val="885E1B"/>
    <w:multiLevelType w:val="hybridMultilevel"/>
    <w:lvl w:ilvl="0">
      <w:lvlJc w:val="left"/>
      <w:lvlText w:val="%1."/>
      <w:numFmt w:val="decimal"/>
      <w:start w:val="20"/>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lowerLetter"/>
      <w:start w:val="2"/>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3"/>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lowerLetter"/>
      <w:start w:val="1"/>
    </w:lvl>
    <w:lvl w:ilvl="1">
      <w:lvlJc w:val="left"/>
      <w:lvlText w:val="%2."/>
      <w:numFmt w:val="decimal"/>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lowerLetter"/>
      <w:start w:val="1"/>
    </w:lvl>
    <w:lvl w:ilvl="1">
      <w:lvlJc w:val="left"/>
      <w:lvlText w:val="•"/>
      <w:numFmt w:val="bullet"/>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2019-12-07T10:22:25Z</dcterms:created>
  <dcterms:modified xsi:type="dcterms:W3CDTF">2019-12-07T10:22:25Z</dcterms:modified>
</cp:coreProperties>
</file>