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71"/>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339"/>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244"/>
        </w:trPr>
        <w:tc>
          <w:tcPr>
            <w:tcW w:w="288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52"/>
        </w:trPr>
        <w:tc>
          <w:tcPr>
            <w:tcW w:w="2880" w:type="dxa"/>
            <w:vAlign w:val="bottom"/>
          </w:tcPr>
          <w:p>
            <w:pPr>
              <w:spacing w:after="0"/>
              <w:rPr>
                <w:sz w:val="24"/>
                <w:szCs w:val="24"/>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365"/>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3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4" w:lineRule="exact"/>
        <w:rPr>
          <w:sz w:val="24"/>
          <w:szCs w:val="24"/>
          <w:color w:val="auto"/>
        </w:rPr>
      </w:pPr>
    </w:p>
    <w:p>
      <w:pPr>
        <w:sectPr>
          <w:pgSz w:w="11900" w:h="16838" w:orient="portrait"/>
          <w:cols w:equalWidth="0" w:num="3">
            <w:col w:w="5240" w:space="720"/>
            <w:col w:w="2020" w:space="100"/>
            <w:col w:w="3280"/>
          </w:cols>
          <w:pgMar w:left="240" w:top="230" w:right="29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As of April 30, 2009, there were 76,539,880 shares of the registrant’s Class A common stock (including 9,413,788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assets other than indirect ownership as of March 31, 2009 of approximately 62.6% of the common membership interests in Lazard Group and its controlling interest in Lazard Group.</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Please note that, pursuant to Rule 405 of Regulation S-T, Lazard is not required to file with the U.S. Securities and Exchange Commission, or post to its corporate Web site, any Interactive Data File prior to June 15,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Item 4. Submission of Matters to a Vote of Security Holders</w:t>
              </w:r>
            </w:hyperlink>
          </w:p>
        </w:tc>
        <w:tc>
          <w:tcPr>
            <w:tcW w:w="6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6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480" w:type="dxa"/>
            <w:vAlign w:val="bottom"/>
            <w:gridSpan w:val="7"/>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2009 and December 31,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w:t>
              </w:r>
            </w:hyperlink>
          </w:p>
        </w:tc>
        <w:tc>
          <w:tcPr>
            <w:tcW w:w="32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2009 and 2008</w:t>
              </w:r>
            </w:hyperlink>
          </w:p>
        </w:tc>
        <w:tc>
          <w:tcPr>
            <w:tcW w:w="47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 periods ended</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2009 and 2008</w:t>
              </w:r>
            </w:hyperlink>
          </w:p>
        </w:tc>
        <w:tc>
          <w:tcPr>
            <w:tcW w:w="4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Stockholders’ Equity for the three month period ended March 31,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Notes to Condensed Consolidated Financial Statements</w:t>
              </w:r>
            </w:hyperlink>
          </w:p>
        </w:tc>
        <w:tc>
          <w:tcPr>
            <w:tcW w:w="4700" w:type="dxa"/>
            <w:vAlign w:val="bottom"/>
            <w:tcBorders>
              <w:top w:val="single" w:sz="8" w:color="0000EE"/>
            </w:tcBorders>
            <w:gridSpan w:val="4"/>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826,599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909,707</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Fees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289,087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712,526</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212,228</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558,931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(net of accumulated amortization and depreciation of $212,991 and $213,249 at March 31, 2009 and December 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 respectively)</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161,745</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240" w:type="dxa"/>
            <w:vAlign w:val="bottom"/>
          </w:tcPr>
          <w:p>
            <w:pPr>
              <w:spacing w:after="0"/>
              <w:rPr>
                <w:sz w:val="20"/>
                <w:szCs w:val="20"/>
                <w:color w:val="auto"/>
              </w:rPr>
            </w:pPr>
            <w:r>
              <w:rPr>
                <w:rFonts w:ascii="Arial" w:cs="Arial" w:eastAsia="Arial" w:hAnsi="Arial"/>
                <w:sz w:val="18"/>
                <w:szCs w:val="18"/>
                <w:color w:val="auto"/>
                <w:w w:val="98"/>
              </w:rPr>
              <w:t>Goodwill and other intangible assets (net of accumulated amortization of $26,463 and $26,119 at March 31, 2009 and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December 31, 2008, respectively)</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177,717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32"/>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259,802</w:t>
            </w:r>
          </w:p>
        </w:tc>
        <w:tc>
          <w:tcPr>
            <w:tcW w:w="3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259,561</w:t>
            </w:r>
          </w:p>
        </w:tc>
        <w:tc>
          <w:tcPr>
            <w:tcW w:w="20" w:type="dxa"/>
            <w:vAlign w:val="bottom"/>
          </w:tcPr>
          <w:p>
            <w:pPr>
              <w:spacing w:after="0"/>
              <w:rPr>
                <w:sz w:val="20"/>
                <w:szCs w:val="20"/>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2,396,215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2,862,931</w:t>
            </w: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1,086,850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462,303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2,150,294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2,551,179</w:t>
            </w: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- 31,745 shares issued and outstanding at March 31, 2009 and December 31, 2008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Class A, par value $.01 per share (500,000,000 shares authorized; 76,539,880 and 76,294,912 shares issued at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March 31, 2009 and December 31, 2008, respectively, including shares held by a subsidiary as indicated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below)</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w w:val="89"/>
              </w:rPr>
              <w:t>Class B, par value $.01 per share (1 share authorized, issued and outstanding at March 31, 2009 and December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ind w:left="1080"/>
              <w:spacing w:after="0"/>
              <w:rPr>
                <w:sz w:val="20"/>
                <w:szCs w:val="20"/>
                <w:color w:val="auto"/>
              </w:rPr>
            </w:pPr>
            <w:r>
              <w:rPr>
                <w:rFonts w:ascii="Arial" w:cs="Arial" w:eastAsia="Arial" w:hAnsi="Arial"/>
                <w:sz w:val="18"/>
                <w:szCs w:val="18"/>
                <w:color w:val="auto"/>
              </w:rPr>
              <w:t>31, 2008)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492,097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159,444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554,771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572,432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Less - Class A common stock held by a subsidiary, at cost (9,534,578 and 9,376,162 shares at March 31, 2009 and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respectively)</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(323,768)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color w:val="auto"/>
              </w:rPr>
              <w:t>Total Lazard Ltd stockholders’ equity</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231,003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250,580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245,921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311,752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2,396,215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2,862,931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161,402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98,943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248,395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203,532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20,094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13,453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15,922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7,746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(90,769)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(86,594)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(53,496)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ind w:left="42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70,144,338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49,980,193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70,144,338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110,396,898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 (LOSS) PER SHARE OF COMMON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DIVIDENDS PAID PER SHARE OF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660"/>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0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(86,594)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Noncash charges included in net income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intangible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91,577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extinguishment of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286,997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(216,690)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(146,476)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(136,801)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(393,203)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(20,351)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Acquisition of joint venture interest and other equity method investments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available-for-sale securities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(136,318)</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Short-term borrowings-net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(35,273)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Repurchase of Class A common stock</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(116,851)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Settlement of vested RSUs and DSUs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0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(51,026)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(127,604)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(83,108)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(326,746)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909,707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1,055,844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826,599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729,098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and Class A common stock issuable in connection with acquisitions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Additional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3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Held By</w:t>
            </w: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Paid-in-</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Loss, Net of</w:t>
            </w: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A Subsidiary</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Stockholders’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Shares(*)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2"/>
              </w:rPr>
              <w:t>Tax</w:t>
            </w: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5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2009</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31,745</w:t>
            </w:r>
          </w:p>
        </w:tc>
        <w:tc>
          <w:tcPr>
            <w:tcW w:w="32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76,294,913</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$ 763</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429,694</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$ 221,410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(79,435)</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9,376,162</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250,580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61,172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30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(53,496)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(53,496)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(33,098)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w w:val="94"/>
              </w:rPr>
              <w:t>Other comprehensive income (loss) - net of tax:</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(12,304)</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(12,304)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(7,346)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1060"/>
              <w:spacing w:after="0" w:line="149" w:lineRule="exact"/>
              <w:rPr>
                <w:sz w:val="20"/>
                <w:szCs w:val="20"/>
                <w:color w:val="auto"/>
              </w:rPr>
            </w:pPr>
            <w:r>
              <w:rPr>
                <w:rFonts w:ascii="Arial" w:cs="Arial" w:eastAsia="Arial" w:hAnsi="Arial"/>
                <w:sz w:val="14"/>
                <w:szCs w:val="14"/>
                <w:color w:val="auto"/>
              </w:rPr>
              <w:t>Net unrealized loss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(5,817)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(5,817)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(3,472)</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5"/>
              </w:rPr>
              <w:t>Adjustment for items reclassified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5"/>
              </w:rPr>
              <w:t>Adjustment for items reclassified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vMerge w:val="restart"/>
          </w:tcPr>
          <w:p>
            <w:pPr>
              <w:ind w:left="200"/>
              <w:spacing w:after="0"/>
              <w:rPr>
                <w:sz w:val="20"/>
                <w:szCs w:val="20"/>
                <w:color w:val="auto"/>
              </w:rPr>
            </w:pPr>
            <w:r>
              <w:rPr>
                <w:rFonts w:ascii="Arial" w:cs="Arial" w:eastAsia="Arial" w:hAnsi="Arial"/>
                <w:sz w:val="14"/>
                <w:szCs w:val="14"/>
                <w:color w:val="auto"/>
              </w:rPr>
              <w:t>Comprehensive loss</w:t>
            </w: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(71,353)</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(43,759)</w:t>
            </w:r>
          </w:p>
        </w:tc>
        <w:tc>
          <w:tcPr>
            <w:tcW w:w="14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(115,112)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Preferred stock and Class A common stock</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issued/issuable in connection with prior business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acquisitions and LAM Merger and related</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8,057</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8,057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55,611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55,611</w:t>
            </w: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33,153</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and DSU dividend-equivalents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1,769</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(6,695)</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(6,695)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Purchase of Class A common stock by a subsidiary</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267,419</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(5,629)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w w:val="93"/>
              </w:rPr>
              <w:t>Lazard Group delivery of Class A common stock for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200"/>
              <w:spacing w:after="0" w:line="159" w:lineRule="exact"/>
              <w:rPr>
                <w:sz w:val="20"/>
                <w:szCs w:val="20"/>
                <w:color w:val="auto"/>
              </w:rPr>
            </w:pPr>
            <w:r>
              <w:rPr>
                <w:rFonts w:ascii="Arial" w:cs="Arial" w:eastAsia="Arial" w:hAnsi="Arial"/>
                <w:sz w:val="14"/>
                <w:szCs w:val="14"/>
                <w:color w:val="auto"/>
              </w:rPr>
              <w:t>settlement of vested RSUs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(5,663)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(109,003)</w:t>
            </w:r>
          </w:p>
        </w:tc>
        <w:tc>
          <w:tcPr>
            <w:tcW w:w="540" w:type="dxa"/>
            <w:vAlign w:val="bottom"/>
          </w:tcPr>
          <w:p>
            <w:pPr>
              <w:ind w:left="240"/>
              <w:spacing w:after="0" w:line="159" w:lineRule="exact"/>
              <w:rPr>
                <w:sz w:val="20"/>
                <w:szCs w:val="20"/>
                <w:color w:val="auto"/>
              </w:rPr>
            </w:pPr>
            <w:r>
              <w:rPr>
                <w:rFonts w:ascii="Arial" w:cs="Arial" w:eastAsia="Arial" w:hAnsi="Arial"/>
                <w:sz w:val="14"/>
                <w:szCs w:val="14"/>
                <w:color w:val="auto"/>
                <w:w w:val="79"/>
              </w:rPr>
              <w:t>3,713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(1,950)</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Class A common stock issued in exchange for Lazard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common membership interests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244,968</w:t>
            </w:r>
          </w:p>
        </w:tc>
        <w:tc>
          <w:tcPr>
            <w:tcW w:w="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(35,273)</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Adjustments between Lazard Ltd and noncontrolling</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interests</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2,388</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(2,388)</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Balance–March 31, 2009</w:t>
            </w: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31,745</w:t>
            </w:r>
          </w:p>
        </w:tc>
        <w:tc>
          <w:tcPr>
            <w:tcW w:w="3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76,539,881</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$ 765</w:t>
            </w:r>
          </w:p>
        </w:tc>
        <w:tc>
          <w:tcPr>
            <w:tcW w:w="140" w:type="dxa"/>
            <w:vAlign w:val="bottom"/>
          </w:tcPr>
          <w:p>
            <w:pPr>
              <w:ind w:left="80"/>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492,097</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$ 159,444</w:t>
            </w:r>
          </w:p>
        </w:tc>
        <w:tc>
          <w:tcPr>
            <w:tcW w:w="1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(97,535)</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3"/>
              </w:rPr>
              <w:t>9,534,578</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(323,768)</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231,003</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14,918</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245,921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140" w:hanging="332"/>
        <w:spacing w:after="0" w:line="258" w:lineRule="auto"/>
        <w:tabs>
          <w:tab w:leader="none" w:pos="34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Includes 76,539,880 and 76,294,912 shares of the Company’s Class A common stock issued at March 31, 2009 and January 1,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a preeminent international financial advisory and asset management firm that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indirectly held approximately 62.6% and 62.4% of all outstanding Lazard Group common membership interests as of March 31, 2009 and December 31, 2008, respectively. Lazard Ltd, through its control of the managing members of Lazard Group, controls Lazard Group. Lazard Group is governed by an Operating Agreement dated as of May 10, 2005, as amended (the “Operating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and alternative investment and private equity funds.</w:t>
      </w:r>
    </w:p>
    <w:p>
      <w:pPr>
        <w:spacing w:after="0" w:line="2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The Company also allocates outstanding indebtedness to its Corporate segment.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2008 (the “Form 10-K”). The accompanying December 31, 2008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undertake in the future, actual results may differ materially from the estimates. The consolidated results of operations for the three month period ended March 31, 2009 are not necessarily indicative of the results to be expected for any future period or the full fiscal year.</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Lazard &amp; Co., Limited (“LCL”), through Lazard &amp; Co., Holdings Limited, an English private limited company (“LCH”), together with their jointly owned affiliates and subsidiaries.</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under Accounting Principles Board Opinion No. 18, “</w:t>
      </w:r>
      <w:r>
        <w:rPr>
          <w:rFonts w:ascii="Arial" w:cs="Arial" w:eastAsia="Arial" w:hAnsi="Arial"/>
          <w:sz w:val="16"/>
          <w:szCs w:val="16"/>
          <w:i w:val="1"/>
          <w:iCs w:val="1"/>
          <w:color w:val="auto"/>
        </w:rPr>
        <w:t>The Equity Method of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Investments in Common Stock</w:t>
      </w:r>
      <w:r>
        <w:rPr>
          <w:rFonts w:ascii="Arial" w:cs="Arial" w:eastAsia="Arial" w:hAnsi="Arial"/>
          <w:sz w:val="16"/>
          <w:szCs w:val="16"/>
          <w:color w:val="auto"/>
        </w:rPr>
        <w:t>” (“APB Opinion No. 18”). All material intercompany transactions and balances have been eliminated.</w:t>
      </w:r>
    </w:p>
    <w:p>
      <w:pPr>
        <w:spacing w:after="0" w:line="102"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 xml:space="preserve">Certain prior period amounts have been reclassified to conform to the manner of presentation in the current period, including those amounts pertaining to noncontrolling (minority) interests in subsidiaries as required by Statement of Financial Accounting Standards (“SFAS”) No. 160, </w:t>
      </w:r>
      <w:r>
        <w:rPr>
          <w:rFonts w:ascii="Arial" w:cs="Arial" w:eastAsia="Arial" w:hAnsi="Arial"/>
          <w:sz w:val="15"/>
          <w:szCs w:val="15"/>
          <w:i w:val="1"/>
          <w:iCs w:val="1"/>
          <w:color w:val="auto"/>
        </w:rPr>
        <w:t>“Noncontrolling Interests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Consolidated Financial Statements—an amendment of ARB No. 51” </w:t>
      </w:r>
      <w:r>
        <w:rPr>
          <w:rFonts w:ascii="Arial" w:cs="Arial" w:eastAsia="Arial" w:hAnsi="Arial"/>
          <w:sz w:val="15"/>
          <w:szCs w:val="15"/>
          <w:color w:val="auto"/>
        </w:rPr>
        <w:t>(“SFAS No. 160”) (see Note 2 of Notes to Condensed Consolidated Financial Statements).</w:t>
      </w:r>
    </w:p>
    <w:p>
      <w:pPr>
        <w:spacing w:after="0" w:line="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January 1, 2009, the Company adopted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the provisions of which are applicable on a prospective basis. SFAS No. 141(R) replaces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and supersedes or amends other related authoritative literature although it retains the fundamental requirements in SFAS No. 141 that the acquisition method of accounting (which SFAS No. 141 called the </w:t>
      </w:r>
      <w:r>
        <w:rPr>
          <w:rFonts w:ascii="Arial" w:cs="Arial" w:eastAsia="Arial" w:hAnsi="Arial"/>
          <w:sz w:val="16"/>
          <w:szCs w:val="16"/>
          <w:i w:val="1"/>
          <w:iCs w:val="1"/>
          <w:color w:val="auto"/>
        </w:rPr>
        <w:t>purchase method</w:t>
      </w:r>
      <w:r>
        <w:rPr>
          <w:rFonts w:ascii="Arial" w:cs="Arial" w:eastAsia="Arial" w:hAnsi="Arial"/>
          <w:sz w:val="16"/>
          <w:szCs w:val="16"/>
          <w:color w:val="auto"/>
        </w:rPr>
        <w:t>) be used for all business combinations and for an acquirer to be identified for each business combination. SFAS No. 141(R)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SFAS No. 141(R) also requires the acquirer to expense, as incurred, costs relating to any acquisitions. The adoption of SFAS No. 141(R) on January 1, 2009 did not have any impact on the Company’s consolidated financial statements but may have an impact in the future to the extent the Company enters into a business combination.</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 2008, the Company adopted, on a prospective basis, the required provisions of SFAS No.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s” (“SFAS</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 157”), which, among other things, defined fair value, established a framework for measuring fair value and enhanced disclosure requirements about fair value measurements with respect to its financial assets and financial liabilities. On January 1, 2009,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adopted the remaining provisions of SFAS No. 157, as permitted by the Financial Accounting Standards Board (the “FASB”) Staff Position (“FSP”) Financial Accounting Standard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157-2”), which delayed the effective date of SFAS No. 157 for all nonfinancial assets and nonfinancial liabilities, except those that are recognized or disclosed at fair value in the financial statements on a recurring basis (at least annually). These nonfinancial items include, for example, reporting units required to be measured at fair value for annual goodwill impairment testing purposes and nonfinancial assets acquired and liabilities assumed in a business combination. Neither the partial adoption of the required provisions of SFAS No. 157 on January 1, 2008, nor the adoption of the remaining provisions of SFAS No. 157 on January 1, 2009, as permitted by FSP 157-2, had a material impact on the Company’s consolidated financial statements.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1, 2009, the Company adopted SFAS No. 160, the presentation and disclosure requirements of which were required to be applied retrospectively. SFAS No. 160 amends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establish accounting and reporting standards for the noncontrolling (minority) interest in a subsidiary and for the deconsolidation of a subsidiary. It clarifies that a noncontrolling interest in a subsidiary is an ownership interest in the consolidated entity that should be reported as equity in the consolidated financial statements. In addition, it also changes the way the consolidated income statement is presented by requiring consolidated net income to include amounts attributable to both the parent and the noncontrolling interest with separate disclosure of each component on the face of the consolidated income statement. It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1, 2009, the Company adopted SFAS No. 161, “</w:t>
      </w:r>
      <w:r>
        <w:rPr>
          <w:rFonts w:ascii="Arial" w:cs="Arial" w:eastAsia="Arial" w:hAnsi="Arial"/>
          <w:sz w:val="16"/>
          <w:szCs w:val="16"/>
          <w:i w:val="1"/>
          <w:iCs w:val="1"/>
          <w:color w:val="auto"/>
        </w:rPr>
        <w:t>Disclosures about Derivative Instruments and Hedging Activities—an amendment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No. 161”), on a prospective basis. SFAS No. 161 amends SFAS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(“SFAS No. 133”), to enhance the current disclosure framework in SFAS No. 133 for derivative instruments and hedging activities, including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See Note 4 of Notes to Condensed Consolidated Financial Statements for the additional disclosures provided pursuant to SFAS No. 161. The adoption of SFAS No. 161 did not materially impact the Company’s consolidated financial statements.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(“FSP 132(R)-1”), which amends SFAS No. 132 (revised 2003), “</w:t>
      </w:r>
      <w:r>
        <w:rPr>
          <w:rFonts w:ascii="Arial" w:cs="Arial" w:eastAsia="Arial" w:hAnsi="Arial"/>
          <w:sz w:val="16"/>
          <w:szCs w:val="16"/>
          <w:i w:val="1"/>
          <w:iCs w:val="1"/>
          <w:color w:val="auto"/>
        </w:rPr>
        <w:t>Employers’ Disclosures about Pensions and Other Postretirement Benefits—an amendment of FASB Statements No. 87,</w:t>
      </w:r>
      <w:r>
        <w:rPr>
          <w:rFonts w:ascii="Arial" w:cs="Arial" w:eastAsia="Arial" w:hAnsi="Arial"/>
          <w:sz w:val="16"/>
          <w:szCs w:val="16"/>
          <w:color w:val="auto"/>
        </w:rPr>
        <w:t xml:space="preserve"> </w:t>
      </w:r>
      <w:r>
        <w:rPr>
          <w:rFonts w:ascii="Arial" w:cs="Arial" w:eastAsia="Arial" w:hAnsi="Arial"/>
          <w:sz w:val="16"/>
          <w:szCs w:val="16"/>
          <w:i w:val="1"/>
          <w:iCs w:val="1"/>
          <w:color w:val="auto"/>
        </w:rPr>
        <w:t>88, and 106</w:t>
      </w:r>
      <w:r>
        <w:rPr>
          <w:rFonts w:ascii="Arial" w:cs="Arial" w:eastAsia="Arial" w:hAnsi="Arial"/>
          <w:sz w:val="16"/>
          <w:szCs w:val="16"/>
          <w:color w:val="auto"/>
        </w:rPr>
        <w:t>”, to require more detailed disclosures about an employer’s plan assets, including an employer’s investment strategies, major categories of plan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concentrations of risk within plan assets and valuation techniques used to measure the fair value of plan assets. The disclosures about plan assets required by FSP 132(R)-1 are required to be provided for fiscal years ending after December 15, 2009. Upon initial application, the provisions of FSP 132(R)-1 are not required for earlier periods that are presented for comparative purposes. Earlier application of the provisions of FSP 132(R)-1 is permitted. The adoption of FSP 132(R)-1 in 2009 will not materially impact the Company’s consolidated financial statements.</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April 1, 2009, the FASB issued FSP FAS 141(R)-1, “</w:t>
      </w:r>
      <w:r>
        <w:rPr>
          <w:rFonts w:ascii="Arial" w:cs="Arial" w:eastAsia="Arial" w:hAnsi="Arial"/>
          <w:sz w:val="18"/>
          <w:szCs w:val="18"/>
          <w:i w:val="1"/>
          <w:iCs w:val="1"/>
          <w:color w:val="auto"/>
        </w:rPr>
        <w:t>Accounting for Assets Acquired and Liabilities Assumed in a Business Combination That Arise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Contingencies</w:t>
      </w:r>
      <w:r>
        <w:rPr>
          <w:rFonts w:ascii="Arial" w:cs="Arial" w:eastAsia="Arial" w:hAnsi="Arial"/>
          <w:sz w:val="18"/>
          <w:szCs w:val="18"/>
          <w:color w:val="auto"/>
        </w:rPr>
        <w:t>” (“FSP 141(R)-1”), which amends and clarifies SFAS No. 141(R), to amend the initial recognition and measurement,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accounting, and disclosure of assets and liabilities arising from contingencies in a business combination. FSP 141(R)-1 is effective for assets or liabilities arising from contingencies in business combinations for which the acquisition date is on or after the beginning of the first annual reporting period beginning on or after December 15, 2008. The adoption of FSP 141(R)-1 did not impact the Company’s consolidated financial statements but may have an impact in the future to the extent the Company enters into a business combination.</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2009, the FASB issued several FSPs intended to provide additional application guidance and enhance disclosures regarding fair value measurements and impairments of debt securities. FSP FAS 157-4, “</w:t>
      </w:r>
      <w:r>
        <w:rPr>
          <w:rFonts w:ascii="Arial" w:cs="Arial" w:eastAsia="Arial" w:hAnsi="Arial"/>
          <w:sz w:val="18"/>
          <w:szCs w:val="18"/>
          <w:i w:val="1"/>
          <w:iCs w:val="1"/>
          <w:color w:val="auto"/>
        </w:rPr>
        <w:t>Determining Fair Value When the Volume and Level of Activity for the Asset or 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Have Significantly Decreased and Identifying Transactions That Are Not Orderly”</w:t>
      </w:r>
      <w:r>
        <w:rPr>
          <w:rFonts w:ascii="Arial" w:cs="Arial" w:eastAsia="Arial" w:hAnsi="Arial"/>
          <w:sz w:val="18"/>
          <w:szCs w:val="18"/>
          <w:color w:val="auto"/>
        </w:rPr>
        <w:t>, provides additional guidance on determining fair values when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 or when observable transactions or quoted prices represent distressed sales, and reaffirms that the objective of fair value measurement is to reflect the price at which an asset or liability would be sold or transferred in an orderly transaction (as opposed to a distressed or forced transaction) at market conditions prevailing at the date of the financial statements.</w:t>
      </w:r>
    </w:p>
    <w:p>
      <w:pPr>
        <w:spacing w:after="0" w:line="13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FSP FAS 107-1 and FSP APB 28-1, “</w:t>
      </w:r>
      <w:r>
        <w:rPr>
          <w:rFonts w:ascii="Arial" w:cs="Arial" w:eastAsia="Arial" w:hAnsi="Arial"/>
          <w:sz w:val="15"/>
          <w:szCs w:val="15"/>
          <w:i w:val="1"/>
          <w:iCs w:val="1"/>
          <w:color w:val="auto"/>
        </w:rPr>
        <w:t>Interim Disclosures about Fair Value of Financial Instruments”</w:t>
      </w:r>
      <w:r>
        <w:rPr>
          <w:rFonts w:ascii="Arial" w:cs="Arial" w:eastAsia="Arial" w:hAnsi="Arial"/>
          <w:sz w:val="15"/>
          <w:szCs w:val="15"/>
          <w:color w:val="auto"/>
        </w:rPr>
        <w:t xml:space="preserve"> (“FSP 107-1” and “FSP APB 28-1”, respectively), relate to fair value disclosures for any financial instruments that are not currently reflected on the balance sheet of companies at fair value. Prior to issuing these FSPs, fair values for these assets and liabilities were only disclosed once a year. FSP 107-1 and FSP APB 28-1 now require these disclosures on a quarterly basis, providing qualitative and quantitative information about fair value estimates for all those financial instruments not measured on the balance sheet at fair value.</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FSP FAS 115-2 and FSP FAS 124-2, “</w:t>
      </w:r>
      <w:r>
        <w:rPr>
          <w:rFonts w:ascii="Arial" w:cs="Arial" w:eastAsia="Arial" w:hAnsi="Arial"/>
          <w:sz w:val="18"/>
          <w:szCs w:val="18"/>
          <w:i w:val="1"/>
          <w:iCs w:val="1"/>
          <w:color w:val="auto"/>
        </w:rPr>
        <w:t>Recognition and Presentation of Other-Than-Temporary Impairments”,</w:t>
      </w:r>
      <w:r>
        <w:rPr>
          <w:rFonts w:ascii="Arial" w:cs="Arial" w:eastAsia="Arial" w:hAnsi="Arial"/>
          <w:sz w:val="18"/>
          <w:szCs w:val="18"/>
          <w:color w:val="auto"/>
        </w:rPr>
        <w:t xml:space="preserve"> are intended to bring greater consistency to the timing of impairment recognition and provide greater clarity about the credit and noncredit components of debt securities whose fair value is below amortized cost and that are not expected to be sold, and also require increased disclosures regarding expected cash flows, credit losses and an aging of securities with unrealized losses.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pronouncements described in the three paragraphs above are effective for interim and annual periods ending after June 15, 2009. The Company is currently assessing the impact of these FSPs on its consolidated financial statements.</w:t>
      </w:r>
    </w:p>
    <w:p>
      <w:pPr>
        <w:spacing w:after="0" w:line="11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banks, fees, customers and other and related parties.</w:t>
      </w:r>
    </w:p>
    <w:p>
      <w:pPr>
        <w:spacing w:after="0" w:line="15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Receivables from banks represent those related to LFB’s short-term inter-bank deposits. The level of these inter-bank deposits is primarily driven by the level of LFB customer-related interest-bearing time and demand deposits and short-term inter-bank deposits from banks held at LFB, which can fluctuate significantly on a daily basis. As the amount of deposits held at LFB change, there is generally a corresponding, but indirect, impact on the level of short-term inter-bank deposits with banks.</w:t>
      </w:r>
    </w:p>
    <w:p>
      <w:pPr>
        <w:spacing w:after="0" w:line="13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Customers and other receivables at March 31, 2009 and December 31, 2008 include $12,355 and $13,109, respectively, of loans by LFB to managing directors and employees in France that are made in the ordinary course of business at market terms and $11,285 and $16,444, respectively, pertaining to a receivable from the Reserve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March 31, 2009, the Company had recovered partial distributions from the Primary Fund aggregating $66,432 of its $77,717 investments in the Primary Fund as of September 15, 2008, and, in April 2009, the Company received additional payments from the Primary Fund aggregating $3,488.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Receivables are stated net of an estimated allowance for doubtful accounts of $10,690 and $15,883 at March 31, 2009 and December 31, 2008, respectively, for past due amounts and for specific accounts deemed uncollectible. The Company recorded bad debt expense (recoveries) of $(548) and $3,474 for the three month periods ended March 31, 2009 and 2008, respectively, and recorded charge-offs, foreign currency translation and other adjustments, which resulted in a net decrease to the allowance for doubtful accounts of $4,645 and $262 for the three month periods ended March 31, 2009 and 2008, respectively. At March 31, 2009 and December 31, 2008, the Company had $11,224 and $17,916, respectively, of receivables deemed past due or uncollectible.</w:t>
      </w:r>
    </w:p>
    <w:p>
      <w:pPr>
        <w:spacing w:after="0" w:line="1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2009 and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264,462</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296,041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4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50,662</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General Partner (“GP”) interests owned by Lazard</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by Lazard</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Private equity investments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212,228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558,931</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equity method investments</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482,938</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1,849</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380" w:type="dxa"/>
            <w:vAlign w:val="bottom"/>
            <w:vMerge w:val="restart"/>
          </w:tcPr>
          <w:p>
            <w:pPr>
              <w:jc w:val="right"/>
              <w:ind w:right="3592"/>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Debt securities primarily consist of investments by LFB, which typically holds them long-term, as part of its asset-liability management program. Such securities primarily consist of fixed and floating rate European corporate bonds and French government debt securities. Debt securities are accounted for as either “trading” or “available-for-sale” securities and consisted of the following at March 31, 2009 and December 31,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4,831</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2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36,410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43,969</w:t>
            </w: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259,631</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296,041</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 party asset managers.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Pursuant to SFAS No. 160, noncontrolling interests are presented within “stockholders’ equity” on the condensed consolidated statements of financial condition (see Note 10 of Notes to Condensed Consolidated Financial Statements).</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Private equity investments are primarily comprised of investments in private equity funds and direct private equity interests. Such investments primarily include (i) a mezzanine fund, which invests in small- and mid-cap buy-out funds and small- and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9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Equity method investments include investments made in the first quarter of 2008 in Sapphire Industrials Corp. (“Sapphire”) (see Note 9 of Notes to Condensed Consolidated Financial Statements) and Merchant Bankers Asociados (“MBA”).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categorization of investments and certain other assets and liabilities measured at fair value on a recurring basis as of March 31, 2009 and December 31, 2008 into a three-level fair value hierarchy in accordance with SFAS No. 157: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87"/>
              </w:rPr>
              <w:t>Fair Value Measurements on a Recurring Basis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9"/>
              </w:rPr>
              <w:t>As of March 31, 2009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36,410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$ 259,631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36,759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86,324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73,169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$ 326,222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86,585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2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87"/>
              </w:rPr>
              <w:t>Fair Value Measurements on a Recurring Basis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7"/>
              </w:rPr>
              <w:t>As of December 31, 2008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43,969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$ 289,101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54,108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83,931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98,077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$ 364,472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86,384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180" w:type="dxa"/>
            <w:vAlign w:val="bottom"/>
            <w:vMerge w:val="restart"/>
          </w:tcPr>
          <w:p>
            <w:pPr>
              <w:jc w:val="right"/>
              <w:ind w:right="141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periods ended March 31,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left="684"/>
              <w:spacing w:after="0"/>
              <w:rPr>
                <w:sz w:val="20"/>
                <w:szCs w:val="20"/>
                <w:color w:val="auto"/>
              </w:rPr>
            </w:pPr>
            <w:r>
              <w:rPr>
                <w:rFonts w:ascii="Arial" w:cs="Arial" w:eastAsia="Arial" w:hAnsi="Arial"/>
                <w:sz w:val="14"/>
                <w:szCs w:val="14"/>
                <w:b w:val="1"/>
                <w:bCs w:val="1"/>
                <w:color w:val="auto"/>
                <w:w w:val="85"/>
              </w:rPr>
              <w:t>Level 3 Assets and Liabilities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9"/>
              </w:rPr>
              <w:t>For the Three Months Ended March 31, 2009</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1"/>
                <w:szCs w:val="11"/>
                <w:color w:val="auto"/>
              </w:rPr>
            </w:pPr>
          </w:p>
        </w:tc>
        <w:tc>
          <w:tcPr>
            <w:tcW w:w="10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Realized</w:t>
            </w: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Beginning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6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Revenue – Other</w:t>
            </w: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Settlements</w:t>
            </w:r>
          </w:p>
        </w:tc>
        <w:tc>
          <w:tcPr>
            <w:tcW w:w="8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$ 2,453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600" w:type="dxa"/>
            <w:vAlign w:val="bottom"/>
          </w:tcPr>
          <w:p>
            <w:pPr>
              <w:jc w:val="right"/>
              <w:spacing w:after="0"/>
              <w:rPr>
                <w:sz w:val="20"/>
                <w:szCs w:val="20"/>
                <w:color w:val="auto"/>
              </w:rPr>
            </w:pPr>
            <w:r>
              <w:rPr>
                <w:rFonts w:ascii="Arial" w:cs="Arial" w:eastAsia="Arial" w:hAnsi="Arial"/>
                <w:sz w:val="18"/>
                <w:szCs w:val="18"/>
                <w:color w:val="auto"/>
              </w:rPr>
              <w:t>83,931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86,324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$ 86,384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left="684"/>
              <w:spacing w:after="0"/>
              <w:rPr>
                <w:sz w:val="20"/>
                <w:szCs w:val="20"/>
                <w:color w:val="auto"/>
              </w:rPr>
            </w:pPr>
            <w:r>
              <w:rPr>
                <w:rFonts w:ascii="Arial" w:cs="Arial" w:eastAsia="Arial" w:hAnsi="Arial"/>
                <w:sz w:val="14"/>
                <w:szCs w:val="14"/>
                <w:b w:val="1"/>
                <w:bCs w:val="1"/>
                <w:color w:val="auto"/>
                <w:w w:val="85"/>
              </w:rPr>
              <w:t>Level 3 Assets and Liabilities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9"/>
              </w:rPr>
              <w:t>For the Three Months Ended March 31, 2008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1"/>
                <w:szCs w:val="11"/>
                <w:color w:val="auto"/>
              </w:rPr>
            </w:pPr>
          </w:p>
        </w:tc>
        <w:tc>
          <w:tcPr>
            <w:tcW w:w="10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Realized</w:t>
            </w: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Beginning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6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26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Revenue – Other</w:t>
            </w: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Settlements</w:t>
            </w:r>
          </w:p>
        </w:tc>
        <w:tc>
          <w:tcPr>
            <w:tcW w:w="8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6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$ 4,469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10,790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89,473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$ 78,520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10,790</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realized gains or losses included in income for the three month periods ended March 31, 2009 and 2008 with respect to Level 3 assets and liabilities.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Except for derivatives hedging “available-for-sale” securities under SFAS No.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the Company elected to not apply hedge accounting under SFAS No. 133 to its other derivative instruments held. Gains and losses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not designated as hedging instruments, as well as gains and losses on derivatives accounted for as fair value hedges under SFAS No. 133, are included in “interest income” and “interest expense”, respectively, or “revenue – other”, depending on the nature of the underlying item, on the condensed consolidated statements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March 31, 2009 and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5"/>
              <w:spacing w:after="0"/>
              <w:rPr>
                <w:sz w:val="20"/>
                <w:szCs w:val="20"/>
                <w:color w:val="auto"/>
              </w:rPr>
            </w:pPr>
            <w:r>
              <w:rPr>
                <w:rFonts w:ascii="Arial" w:cs="Arial" w:eastAsia="Arial" w:hAnsi="Arial"/>
                <w:sz w:val="14"/>
                <w:szCs w:val="14"/>
                <w:b w:val="1"/>
                <w:bCs w:val="1"/>
                <w:color w:val="auto"/>
                <w:w w:val="85"/>
              </w:rPr>
              <w:t>Derivatives Designated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Derivatives Not Designated</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5"/>
              <w:spacing w:after="0"/>
              <w:rPr>
                <w:sz w:val="20"/>
                <w:szCs w:val="20"/>
                <w:color w:val="auto"/>
              </w:rPr>
            </w:pPr>
            <w:r>
              <w:rPr>
                <w:rFonts w:ascii="Arial" w:cs="Arial" w:eastAsia="Arial" w:hAnsi="Arial"/>
                <w:sz w:val="14"/>
                <w:szCs w:val="14"/>
                <w:b w:val="1"/>
                <w:bCs w:val="1"/>
                <w:color w:val="auto"/>
                <w:w w:val="88"/>
              </w:rPr>
              <w:t>Under SFAS No. 133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Under SFAS No. 133</w:t>
            </w:r>
          </w:p>
        </w:tc>
        <w:tc>
          <w:tcPr>
            <w:tcW w:w="0" w:type="dxa"/>
            <w:vAlign w:val="bottom"/>
          </w:tcPr>
          <w:p>
            <w:pPr>
              <w:spacing w:after="0"/>
              <w:rPr>
                <w:sz w:val="1"/>
                <w:szCs w:val="1"/>
                <w:color w:val="auto"/>
              </w:rPr>
            </w:pPr>
          </w:p>
        </w:tc>
      </w:tr>
      <w:tr>
        <w:trPr>
          <w:trHeight w:val="129"/>
        </w:trPr>
        <w:tc>
          <w:tcPr>
            <w:tcW w:w="6920" w:type="dxa"/>
            <w:vAlign w:val="bottom"/>
          </w:tcPr>
          <w:p>
            <w:pPr>
              <w:spacing w:after="0"/>
              <w:rPr>
                <w:sz w:val="11"/>
                <w:szCs w:val="11"/>
                <w:color w:val="auto"/>
              </w:rPr>
            </w:pPr>
          </w:p>
        </w:tc>
        <w:tc>
          <w:tcPr>
            <w:tcW w:w="8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March 31,</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2,752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3,038</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11,698</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8"/>
        </w:trPr>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16,758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13,018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SFAS No. 133 on the accompanying condensed consolidated statement of operations for the three month period ended March 31, 2009, by type of derivative,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88"/>
              </w:rPr>
              <w:t>Amount of Gain (Loss)</w:t>
            </w:r>
          </w:p>
        </w:tc>
      </w:tr>
      <w:tr>
        <w:trPr>
          <w:trHeight w:val="149"/>
        </w:trPr>
        <w:tc>
          <w:tcPr>
            <w:tcW w:w="100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For The Three Months</w:t>
            </w:r>
          </w:p>
        </w:tc>
      </w:tr>
      <w:tr>
        <w:trPr>
          <w:trHeight w:val="161"/>
        </w:trPr>
        <w:tc>
          <w:tcPr>
            <w:tcW w:w="100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Ended March 31, 2009</w:t>
            </w: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29"/>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Equity swaps</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0" w:type="dxa"/>
            <w:vAlign w:val="bottom"/>
          </w:tcPr>
          <w:p>
            <w:pPr>
              <w:spacing w:after="0"/>
              <w:rPr>
                <w:sz w:val="19"/>
                <w:szCs w:val="19"/>
                <w:color w:val="auto"/>
              </w:rPr>
            </w:pPr>
          </w:p>
        </w:tc>
      </w:tr>
      <w:tr>
        <w:trPr>
          <w:trHeight w:val="223"/>
        </w:trPr>
        <w:tc>
          <w:tcPr>
            <w:tcW w:w="1008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4,188</w:t>
            </w:r>
          </w:p>
        </w:tc>
      </w:tr>
      <w:tr>
        <w:trPr>
          <w:trHeight w:val="20"/>
        </w:trPr>
        <w:tc>
          <w:tcPr>
            <w:tcW w:w="10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Gains or (losses) with respect to the derivatives disclosed in the table above are predominantly reflected in “revenue – other” on the condensed consolidated statement of operations.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With respect to derivatives designated as hedging instruments under SFAS No. 133, such derivatives relate to interest rate swaps that hedge “available-for-sale” securities and are being accounted for as fair value hedges. For the three month period ended March 31, 2009, net pre-tax losses of $3,333 pertaining to the interest rate swaps were offset by net pre-tax gains of an equivalent amount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25, 2008, Lazard Ltd, LAM and LAZ Sub I, LLC, a newly-formed subsidiary of LFNY, completed the merger of LAZ Sub I, LLC with and into LAM (the “LAM Merger”). Prior to the LAM Merger,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common equity interests of LAM were held by LFNY and certain other equity interests of LAM, representing contingent payments should a fundamental transaction occur, as described below, were held by present and former employees of LAM. Following the LAM Merger, all equity interests of LAM are owned directly or indirectly by LFNY. The equity interests of LAM that were held, prior to the LAM Merger, by the 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as of March 31, 2009 and December 31, 2008, have been recorded in “accrued compensation and benefits” and “other liabilities”, and amounted to $13,917 and $61,772, respectively, as of March 31, 2009, and $16,013 and $60,324, respectively, as of December 31, 2008.</w:t>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 See Note 10 of Notes to the Condensed Consolidated Financial Statements for additional information regarding the Series A preferred stock and Series B preferred stock.</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aggregate non-contingent consideration relating to the GAHL and the CWC acquisitions (before transaction costs) consisted of cash and Lazard Ltd stock and aggregated to approximately $220,500 and $216,200 through March 31, 2009 and December 31, 2008, respectively. At March 31, 2009 and December 31, 2008, 993,024 shares of Class A common stock were issuable on a non-contingent basis. Additionally, at March 31, 2009 and December 31, 2008, 9,724 and 7,293 shares of Series A preferred stock, respectively, were convertible into Class A common shares on a non-contingent basis, with the number of Class A common shares dependent, in part, upon future prices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Class A common stock. At March 31, 2009 and December 31, 2008, 948,631 shares of Class A common stock were contingently issuable and, at March 31, 2009 and December 31, 2008, 22,021 and 24,452 shares of Series A preferred stock, respectively, were contingently convertible into shares of Class A common stock as of each respective date, dependent upon the future performance of GAHL and CWC.</w:t>
      </w:r>
    </w:p>
    <w:p>
      <w:pPr>
        <w:spacing w:after="0" w:line="12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components of goodwill and other intangible assets at March 31, 2009 and December 31, 2008, which primarily pertain to the Company’s Financial Advisory segment, are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$173,194</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170,277</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177,717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175,144</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2009 and 2008,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$ 170,277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178,446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Prior business acquisitions, including additional contingent consideration earned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Balance, March 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$ 173,194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191,967</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2009 and December 31,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March 31, 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December 31, 2008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 fee contracts</w:t>
            </w: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$ 23,969</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23,969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$ 23,969</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4,523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$ 30,986</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$ 30,986</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60" w:type="dxa"/>
            <w:vAlign w:val="bottom"/>
            <w:vMerge w:val="restart"/>
          </w:tcPr>
          <w:p>
            <w:pPr>
              <w:jc w:val="right"/>
              <w:ind w:right="492"/>
              <w:spacing w:after="0"/>
              <w:rPr>
                <w:sz w:val="20"/>
                <w:szCs w:val="20"/>
                <w:color w:val="auto"/>
              </w:rPr>
            </w:pPr>
            <w:r>
              <w:rPr>
                <w:rFonts w:ascii="Arial" w:cs="Arial" w:eastAsia="Arial" w:hAnsi="Arial"/>
                <w:sz w:val="18"/>
                <w:szCs w:val="18"/>
                <w:color w:val="auto"/>
              </w:rPr>
              <w:t>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2009 and 2008 was $344 and $1,220, respectively. Estimated future amortization expense is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60" w:type="dxa"/>
            <w:vAlign w:val="bottom"/>
            <w:gridSpan w:val="3"/>
          </w:tcPr>
          <w:p>
            <w:pPr>
              <w:ind w:left="288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(April 1 through December 31)</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March 31, 2009 and December 31,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Principal</w:t>
            </w: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5"/>
              </w:rPr>
              <w:t>Maturity</w:t>
            </w:r>
          </w:p>
        </w:tc>
        <w:tc>
          <w:tcPr>
            <w:tcW w:w="11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2015</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6.85% Senior Notes(a)</w:t>
            </w:r>
          </w:p>
        </w:tc>
        <w:tc>
          <w:tcPr>
            <w:tcW w:w="282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2017</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2010</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1,086,850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1,087,750</w:t>
            </w: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three month period ended March 31, 2009, the Company repurchased $900 principal amount of the 6.85% Senior Notes at a cost, excluding accrued interest, of $635 and, after the write-off of unamortized debt issuance costs of $7, recognized a pre-tax gain of $258.</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March 31, 2009 and December 31, 2008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will become convertible on and after July 1, 2009 and the last one-third on and after July 1, 2010, and no principal amount will be convertible after June 30, 2011. As of March 31, 2009 there have been no conversions of the note.</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maintains a $150,000 senior revolving credit facility with a group of lenders (the “Lazard Group Credit Facility”) which contains certain financial condition covenants. In addition, the Lazard Group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2009, the Company was in compliance with all of these provisions. All of the Company’s senior and subordinated debt obligations are unsecured.</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2009, the Company had approximately $212,000 in unused lines of credit available to it, including approximately $41,000 of unused lines of credit available to LFB. In addition, LFB has access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liquidity facilities of the Banque de France. As of March 31, 2009 and December 31, 2008, LFB had no outstanding borrowings under such facilities.</w:t>
      </w:r>
    </w:p>
    <w:p>
      <w:pPr>
        <w:spacing w:after="0" w:line="18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March 31, 2009, aggregate to $15,130. These managing directors have pledged their interests in LAZ-MD Holdings, an entity owned by Lazard Group’s current and former managing directors (“LAZ-MD Holdings”) (which are exchangeable into shares of Class A common stock) and unsold shares of Class A common stock received in exchange for such interests to collateralize such guarantee, with the value of such collateral in each case exceeding the guarantee provided by Lazard.</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March 31, 2009, LFB had $7,628 of such indemnifications and held $4,793 of collateral/counter-guarantees to secure these commitments. The Company believes the likelihood of loss with respect to these indemnities is remote. Accordingly, no liability is recorded in the condensed consolidated statements of financial condition.</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Private Equity Funding Commitments</w:t>
      </w:r>
      <w:r>
        <w:rPr>
          <w:rFonts w:ascii="Arial" w:cs="Arial" w:eastAsia="Arial" w:hAnsi="Arial"/>
          <w:sz w:val="16"/>
          <w:szCs w:val="16"/>
          <w:color w:val="auto"/>
        </w:rPr>
        <w:t>—At March 31, 2009, the principal commitments by the Company for capital contributions to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were as set forth below. Senior Housing is managed by Lazard Alternative Investments Holdings LLC (“LAI”), a subsidiary of LFCM Holdings LLC (“LFCM Holdings”). LAI owns and operates the alternative investments of LFCM Holdings (an entity that includes Lazard’s former Capital Markets and Other business segment as well as other specified non-operating assets and liabilities transferred pursuant to or in anticipation of the separation from the Company on May 10, 2005). CP II was managed by a subsidiary of LAI until February 16, 2009; however, effective February 17, 2009, ownership and control of CP II was transferred to the investment professionals who manage CP II.</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Total Lazard Commitment (b)</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Funding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w w:val="91"/>
              </w:rPr>
              <w:t>Unfunded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2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Institutional</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Maximum</w:t>
            </w:r>
          </w:p>
        </w:tc>
        <w:tc>
          <w:tcPr>
            <w:tcW w:w="54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Name of Fund</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Commitment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Commitment</w:t>
            </w:r>
          </w:p>
        </w:tc>
        <w:tc>
          <w:tcPr>
            <w:tcW w:w="54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CP II</w:t>
            </w:r>
          </w:p>
        </w:tc>
        <w:tc>
          <w:tcPr>
            <w:tcW w:w="5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500,000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9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2010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Senior Housing</w:t>
            </w: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201,000</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2009(a)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701,000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Funding expiration date is July 6, 2009. However, under certain circumstances, $829 may be called at any time prior to the fund liquidation.</w:t>
      </w:r>
    </w:p>
    <w:p>
      <w:pPr>
        <w:spacing w:after="0" w:line="9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table above excludes other unfunded commitments by Lazard at March 31, 2009 of (i) $3,367 to Company-sponsored private equity investment funds (including $2,531 in connection with the Company’s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compensation plans), which are contingent upon certain events and have no definitive final payment dates, and (ii) with respect to Lazard Technology Partners III, a fund that has not been formed, for which Lazard has a minimum and maximum commitment of $15,000 and $20,000 respectively, contingent upon the formation of such fund.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March 31, 2009 were $18,991. This amount may not represent future cash requirements as commitments may expire without being drawn upon.</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24, 2008, Sapphire, a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consists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(collectively referred to as the “Initial Business Combination”).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formation of Sapphire, Lazard Funding purchased from Sapphire 15,144,000 units (“Founders’ Units”) at a total cost of approximately $95. Each Founders’ Unit consists of one share of Sapphire common stock and one warrant, with such warrant entitling the holder to purchase one share of Sapphire common stock for $7.50. On January 24, 2008, in connection with the Sapphire IPO, Lazard Funding purchased (i) 5,000,000 units in the Sapphire IPO at a purchase price equal to the public offering price of $10.00 per unit (for an aggregate purchase price of $50,000), and (ii) an aggregate of 12,500,000 warrants from Sapphire at a price of $1.00 per warrant (for a total purchase price of $12,500). Furthermore, Lazard Funding entered into an agreement with the underwriter to purchase, subsequent to the Sapphire IPO and prior to the closing of the Initial Business Combination, up to an additional $37,500 worth of Sapphire common shares in open market purchases.</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Sapphire IPO, and pursuant to certain rights afforded LFCM Holdings under the business alliance agreement, dated as of May 10, 2005, between Lazard Group and LFCM Holdings (the “business alliance agreement”), Lazard Funding offered CP II the right, through the date of a public announcement of the Initial Business Combination, to purchase from Lazard Funding, at a cost of $10.00 per unit, up to 2,000,000 Sapphire units (for an aggregate purchase price of up to $20,000).</w:t>
      </w:r>
    </w:p>
    <w:p>
      <w:pPr>
        <w:spacing w:after="0" w:line="13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See Notes 5 and 6 of Notes to Condensed Consolidated Financial Statements for information regarding commitments relating to the LAM Merger and business acquisitions, respectively. See Note 12 of Notes to Condensed Consolidated Financial Statements for information regarding obligations to fund our pension plans in the U.K.</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condensed consolidated financial position or results of operations. In addition, from time-to-time,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March 31, 2009 and 2008, Lazard Group common membership interests held by subsidiaries of Lazard Ltd amounted to 62.6% and 48.3%, respectively, and by LAZ-MD Holdings amounted to 37.4% and 51.7%,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three month periods ended March 31, 2009 and 2008, Lazard Group distributed $4,594 and $5,532, respectively, to LAZ-MD Holdings and $6,695 and $4,978, respectively, to the subsidiaries of Lazard Ltd, which latter amounts were used by Lazard Ltd to pay dividends to third-party holders of its Class A common stock. In addition, during the three month periods ended March 31, 2009 and 2008, Lazard Group made tax distributions of $67,360 and $10,213, respectively, including $25,316 and $5,277, respectively, paid to LAZ-MD Holdings and $42,044 and $4,936, respectively, paid to subsidiaries of Lazard Ltd.</w:t>
      </w:r>
    </w:p>
    <w:p>
      <w:pPr>
        <w:spacing w:after="0" w:line="10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April 27, 2009, the Board of Directors of Lazard Ltd declared a quarterly dividend of $0.10 per share on its Class A common stock, totaling $7,654, payable on May 29, 2009 to stockholders of record on May 8,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below for additional information regarding Lazard Ltd’s and LAZ-MD Holdings’ ownership interests in Lazard Group.</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—On March 6, 2009, Lazard Ltd issued 244,968 shares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 connection with the exchange of a like number of common membership interests of Lazard Group (received in exchange for their membership interests in LAZ-MD Holdings).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Board of Directors of Lazard Ltd has authorized, on a cumulative basis, the repurchase of up to $500,000 in aggregate cost of its Class A common stock and Lazard Group common membership interests through December 31, 2009. 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 Purchases may be made in the open market or through privately negotiated transactions. Pursuant to this authorization, since inception of the program in February 2006 through March 31, 2009, Lazard Group purchased an aggregate of 10,369,189 shares of Class A common stock at an average price of $34.23 per share (including, during the three month period ended March 31, 2009, 267,419 shares at an average price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$21.05 per share) and an aggregate of 655,751 Lazard Group common membership interests at an average price of $37.21 per common membership interest. As a result of Lazard Group’s delivery of an aggregate of 834,611 shares for the settlement of vested restricted stock unit grants (“RSUs”) and deferred stock unit grants (“DSUs”) during the two year period ended December 31, 2008 and the three month period ended March 31, 2009, there were 9,534,578 and 9,376,162 shares of Class A common stock held by Lazard Group at March 31, 2009 and December 31, 2008, respectively. Such Class A common shares are reported, at cost, as “Class A common stock held by a subsidiary” on the condensed consolidated statements of financial condition.</w:t>
      </w:r>
    </w:p>
    <w:p>
      <w:pPr>
        <w:spacing w:after="0" w:line="102" w:lineRule="exact"/>
        <w:rPr>
          <w:sz w:val="20"/>
          <w:szCs w:val="20"/>
          <w:color w:val="auto"/>
        </w:rPr>
      </w:pPr>
    </w:p>
    <w:p>
      <w:pPr>
        <w:ind w:left="240" w:right="1300" w:firstLine="228"/>
        <w:spacing w:after="0" w:line="375" w:lineRule="auto"/>
        <w:rPr>
          <w:sz w:val="20"/>
          <w:szCs w:val="20"/>
          <w:color w:val="auto"/>
        </w:rPr>
      </w:pPr>
      <w:r>
        <w:rPr>
          <w:rFonts w:ascii="Arial" w:cs="Arial" w:eastAsia="Arial" w:hAnsi="Arial"/>
          <w:sz w:val="18"/>
          <w:szCs w:val="18"/>
          <w:color w:val="auto"/>
        </w:rPr>
        <w:t xml:space="preserve">As of March 31, 2009, $120,677 of the initial $500,000 repurchase authorization remained available under the share repurchase program.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Ltd has 15,000,000 authorized shares of preferred stock, par value $0.01 per share, inclusive of its Series A preferred stock and Series B preferred stock. As of March 31, 2009 and December 31, 2008, 31,745 shares of Series A preferred stock and no shares of Series B preferred stock were outstanding. These shares of preferred stock have no voting or dividend rights.</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At March 31, 2009 and December 31, 2008, 9,724 and 7,293 of the Series A preferred shares outstanding, respectively, were convertible into shares of Class A common stock. The remaining 22,021 and 24,452 shares of Series A preferred stock outstanding at March 31, 2009 and December 31, 2008, respectively, may be convertible into shares of Class A common stock upon completion or satisfaction of specified obligations in the CWC acquisition agreement.</w:t>
      </w:r>
    </w:p>
    <w:p>
      <w:pPr>
        <w:spacing w:after="0" w:line="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net of tax” at March 31, 2009 and December 31, 2008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(50,605)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rate hedge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(6,581)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available-for-sale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(50,547)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Employee benefit plans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(45,848)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 net of tax</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(153,581)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Less amount attributable to noncontrolling interests (see below)</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56,046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accumulated other comprehensive loss, net of tax</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(97,535)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that the Company is deemed 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March 31, 2009 and December 31, 2008, LAZ-MD Holdings held approximately 37.4% and 37.6%, respectively, of the outstanding Lazard Group common membership interests. Additionally, LAZ-MD Holdings was the sole owner of the one issued and outstanding share of Lazard Ltd’s Class B common stock, which provided LAZ-MD Holdings with approximately 37.4% and 37.6%, of the voting power but no economic rights in the Company as of March 31, 2009 and December 31, 2008, respectively. Subject to certain limitations, LAZ-MD Holdings’ interests in Lazard Group are exchangeable for Class A common stock.</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the changes in ownership interests in Lazard Group held by Lazard Ltd and LAZ-MD Holdings during the three month periods ended March 31, 2009 and 2008: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Lazard Ltd</w:t>
            </w:r>
          </w:p>
        </w:tc>
        <w:tc>
          <w:tcPr>
            <w:tcW w:w="23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LAZ-MD Holdings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Ownership</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Interests</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Ownership</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 Period Ended March 31, 2008:</w:t>
            </w: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Balance, January 1, 2008 and March 31,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51,745,825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55,322,792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107,068,617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 Period Ended March 31, 2009:</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Balance, January 1, 2009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76,294,912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62.4%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45,938,752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37.6%</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122,233,664</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Activity January 1, 2009 to March 31, 2009:</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88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Exchanges for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244,968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(244,968)</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2009</w:t>
            </w: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62.6%</w:t>
            </w: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37.4%</w:t>
            </w: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76,539,880</w:t>
            </w: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45,693,784</w:t>
            </w:r>
          </w:p>
        </w:tc>
        <w:tc>
          <w:tcPr>
            <w:tcW w:w="1120" w:type="dxa"/>
            <w:vAlign w:val="bottom"/>
            <w:gridSpan w:val="2"/>
            <w:vMerge w:val="continue"/>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122,233,664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changes in the ownership interests in Lazard Group held by Lazard Ltd and LAZ-MD Holdings in the period.</w:t>
      </w:r>
    </w:p>
    <w:p>
      <w:pPr>
        <w:spacing w:after="0" w:line="15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 ended March 31, 2009 did not materially impact Lazard Ltd’s stockholders’ equity.</w:t>
      </w:r>
    </w:p>
    <w:p>
      <w:pPr>
        <w:spacing w:after="0" w:line="11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2009 and 2008,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2005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and convert into Class A common stock on a one-for-one basis after the stipulated vesting periods. The grant date fair value of the RSUs, net of an estimated forfeiture rate, is amortized over the vesting periods or requisite service periods as required under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and, for purposes of calculating diluted net income per share, are included in the diluted weighted average shares of Class A common stock outstanding using the treasury stock method. Expense relating to RSUs is charged to “compensation and benefits” expense (and, in the 2009 period, “restructuring” expense, with respect to the expense associated with the acceleration of unrecognized expense pertaining to RSUs granted previously to individuals who were terminated in the restructuring) within the condensed consolidated statements of operations, and amounted to $88,687 (including $24,239 in restructuring expense) and $55,622 for the three month periods ended March 31, 2009 and 2008,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2009 and 2008, dividend participation rights required the issuance of 81,167 and 51,432 RSUs, respectively, and resulted in a charge to “retained earnings” and a credit to “additional paid-in-capital”, net of estimated forfeitures, of $1,769 and $1,967, during the respective periods.</w:t>
      </w:r>
    </w:p>
    <w:p>
      <w:pPr>
        <w:spacing w:after="0" w:line="111"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During the three month periods ended March 31, 2009 and 2008, 178,720 and 71,742 RSUs vested, respectively. In connection therewith, and after considering the withholding tax obligations pertaining thereto, 109,003 and 47,316 shares of Class A common stock held by Lazard Group were delivered,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Stock Unit Grants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amounted to none and 897 DSUs granted during the three month periods ended March 31,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three months ended March 31, 2009 and 2008. DSU awards are expensed at their fair value on their date of grant, which, inclusive of amounts related to the Directors’ Fee Deferral Unit Plan, totaled $77 and $67 during the three months ended March 31, 2009 and 2008, respectively.</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2009 and 2008, 2,609 and 1,001 DSUs, respectively, had been granted pursuant to such Plan.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2009 and 2008: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RSUs</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DSUs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 (including 81,167 RSUs relating to dividend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6,816,601</w:t>
            </w:r>
          </w:p>
        </w:tc>
        <w:tc>
          <w:tcPr>
            <w:tcW w:w="240" w:type="dxa"/>
            <w:vAlign w:val="bottom"/>
          </w:tcPr>
          <w:p>
            <w:pPr>
              <w:spacing w:after="0"/>
              <w:rPr>
                <w:sz w:val="18"/>
                <w:szCs w:val="18"/>
                <w:color w:val="auto"/>
              </w:rPr>
            </w:pP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2,609</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(259,593)</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(178,720)</w:t>
            </w: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28,519,756</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67,865</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w w:val="96"/>
              </w:rPr>
              <w:t>DSUs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5"/>
              </w:rPr>
              <w:t>Weighted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9,507,935</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 (including 51,432 RSUs relating to dividend 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11,963,072</w:t>
            </w:r>
          </w:p>
        </w:tc>
        <w:tc>
          <w:tcPr>
            <w:tcW w:w="24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37.33</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(48,632)</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(71,742)</w:t>
            </w:r>
          </w:p>
        </w:tc>
        <w:tc>
          <w:tcPr>
            <w:tcW w:w="24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37.81</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(5,839)</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11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21,350,633</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31,369</w:t>
            </w:r>
          </w:p>
        </w:tc>
        <w:tc>
          <w:tcPr>
            <w:tcW w:w="360" w:type="dxa"/>
            <w:vAlign w:val="bottom"/>
            <w:tcBorders>
              <w:lef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2009, unrecognized RSU compensation expense, adjusted for estimated forfeitures, was approximately $542,671, with such unrecognized compensation expense expected to be recognized over a weighted average period of approximately 2.4 years subsequent to March 31, 2009.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 portion of the incentive awards granted in February 2009 included a deferred cash component aggregating $146,582, which vests over a maximum period of four years. Such deferred cash awards vest and are payable as follows: $47,925 on November 30, 2009, $34,990 on each of November 30, 2010 and February 28, 2012 and $28,677 on February 28, 2013. Payments are subject to the employee meeting the vesting requirements,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except for the November 30, 2009 payment, earn interest at an annual rate of 5%. The compensation expense with respect to the deferred cash component award, net of estimated forfeitures, is being recognized over weighted average period of 2.2 years.</w:t>
      </w:r>
    </w:p>
    <w:p>
      <w:pPr>
        <w:spacing w:after="0" w:line="1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through its subsidiaries, provides retirement and other post-employment benefits to certain of its employees through defined contribution and defined benefit pension plans and other post-retirement benefit plans. The Company has the right to amend or terminate its benefit plans at any time subject to the terms of such plans. Expenses (benefits) related to the Company’s employee benefit plans are included in “compensation and benefits” expense on the condensed consolidated statements of operations. The Company uses December 31 as the measurement date for its employee benefit plans.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There have been no contributions to the defined benefit plans made by the Company during the three 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ended March 31, 2009 and 2008.</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contingently obligated to make further contributions to its U.K. pension plans depending on the cumulative performance of the plans’ assets against specific benchmarks as measured on June 1, 2009 (the “measurement date”) and June 1, 2010 (the “remeasurement date”). Any liability, as determined on the measurement date, would be funded over four years in equal monthly installments and will be subject to further adjustment on the remeasurement date. Any remaining liability as of the remeasurement date will be payable over the subsequent four years in equal monthly installments. If March 31, 2009 had been the measurement date of the plans’ assets, the estimated liability related to the cumulative underperformance as of that date would amount to approximately $29,400.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total benefit cost (credit) for the three month periods ended March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Pension Plan</w:t>
            </w:r>
          </w:p>
        </w:tc>
        <w:tc>
          <w:tcPr>
            <w:tcW w:w="100" w:type="dxa"/>
            <w:vAlign w:val="bottom"/>
          </w:tcPr>
          <w:p>
            <w:pPr>
              <w:spacing w:after="0"/>
              <w:rPr>
                <w:sz w:val="14"/>
                <w:szCs w:val="14"/>
                <w:color w:val="auto"/>
              </w:rPr>
            </w:pPr>
          </w:p>
        </w:tc>
        <w:tc>
          <w:tcPr>
            <w:tcW w:w="15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Supplement</w:t>
            </w: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Medical Plans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10"/>
          </w:tcPr>
          <w:p>
            <w:pPr>
              <w:jc w:val="right"/>
              <w:spacing w:after="0" w:line="142" w:lineRule="exact"/>
              <w:rPr>
                <w:sz w:val="20"/>
                <w:szCs w:val="20"/>
                <w:color w:val="auto"/>
              </w:rPr>
            </w:pPr>
            <w:r>
              <w:rPr>
                <w:rFonts w:ascii="Arial" w:cs="Arial" w:eastAsia="Arial" w:hAnsi="Arial"/>
                <w:sz w:val="14"/>
                <w:szCs w:val="14"/>
                <w:b w:val="1"/>
                <w:bCs w:val="1"/>
                <w:color w:val="auto"/>
              </w:rPr>
              <w:t>For The Three Months Ended March 31,</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5,503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7,772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(8,974)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Prior service credit</w:t>
            </w: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(1,107)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2009, the Company announced a restructuring plan to optimize its mix of personnel, which included certain staff reductions and realignments of personnel. In connection with such plan, the Company recorded an increase to the after-tax loss attributable to Lazard Ltd in the three month period ended March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2009 of $35,074, as a result of a charge of $62,550 (principally consisting of compensation-related expenses, including the acceleration of unrecognized expense pertaining to RSUs previously granted to individuals who were terminated pursuant to the restructuring), with this charge partially offset by associated income tax and noncontrolling interest credits of $6,401 and $21,075, respectively.</w:t>
      </w:r>
    </w:p>
    <w:p>
      <w:pPr>
        <w:spacing w:after="0" w:line="12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As of March 31, 2009, the remaining liability associated with the restructuring plan was approximately $32,000 and primarily relates to severance and benefit payments and other costs associated with the restructuring. Such aggregate amount is reported within “accrued compensation and benefits” and “other liabilities” on the accompanying condensed consolidated statement of financial condition as of March 31, 2009. The Company expects to deliver the shares of Class A common stock underlying the above-mentioned RSUs during the second and third quarters of 2009.</w:t>
      </w:r>
    </w:p>
    <w:p>
      <w:pPr>
        <w:spacing w:after="0" w:line="9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The Company had an income tax benefit of $4,175 and an income tax provision of $4,840 for the three month periods ended March 31, 2009 and 2008, respectively, representing effective tax rates of 4.6% and 26.9%, respectively. The effective tax rates above are comprised of (i) effective tax rates of 4.3% and 25.0% for the three month periods ended March 31, 2009 and 2008, respectively, on Lazard Ltd’s ownership interest in Lazard Group’s operating income (loss) (excluding its applicable share of LAM GP-related gains and losses) and (ii) effective tax rates of 5.0% and 24.4% for the three month periods ended March 31, 2009 and 2008, respectively, applicable to the ownership interest in Lazard Group not held by Lazard Ltd. Excluding the income tax benefit of $6,401 related to the $62,550 restructuring charge in the first quarter of 2009, the Company had an income tax provision of $2,226.</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With respect to Lazard Ltd’s ownership interest in Lazard Group, the difference between the U.S. federal statutory rate of 35.0% and the effective tax rates described above principally relates to (i) foreign source income (loss) not subject to U.S. income taxes, (ii) the amortization associated with the tax basis step-up resulting from the Company’s separation and recapitalization that occurred in May 2005 and from the exchange of LAZ-MD Holdings exchangeable interests for shares of Class A common stock in connection with the 2006 and 2008 secondary offerings, (iii) the 2009 loss for which a valuation allowance has been established, and (iv) U.S. state and local taxes, which are incremental to the U.S. federal statutory tax rate, partially offsetting (i) and (ii) above.</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 respect to the ownership interests in Lazard Group not held by Lazard Ltd, while a portion of Lazard Group’s income is subject to U.S. federal income taxes, the principal difference between the U.S. federal statutory tax rate of 35.0% and Lazard Group’s effective tax rates above is due to Lazard Group primarily operating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Lazard Group, however, is subject to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redemption of historical partner interests in connection with the Company’s separation and recapitalization that occurred in May 2005 and the exchanges of LAZ-MD Holdings exchangeable interests for shares of Class A common stock in connection with the 2006 and 2008 secondary offerings have resulted, and future exchanges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periods ended March 31, 2009 and 2008. If any provision is required pursuant to the tax receivable agreement, such amount would be fully offset by a reduction in the Company’s income tax expense.</w:t>
      </w:r>
    </w:p>
    <w:p>
      <w:pPr>
        <w:spacing w:after="0" w:line="9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periods ended March 31, 2009 and 2008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three month periods ended March 31, 2009 and 2008, plus applicable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such net income (loss) associated with the inclusion of shares of Class A common stock issuable in connection with both the LAM Merger and business acquisitions, as described in Notes 5 and 6, respectively, of Notes to Condensed Consolidated Financial Statements.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periods ended March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2008,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Numerator</w:t>
      </w:r>
      <w:r>
        <w:rPr>
          <w:rFonts w:ascii="Arial" w:cs="Arial" w:eastAsia="Arial" w:hAnsi="Arial"/>
          <w:sz w:val="15"/>
          <w:szCs w:val="15"/>
          <w:color w:val="auto"/>
        </w:rPr>
        <w:t>—utilizes net income (loss) attributable to Lazard Ltd for the three month periods ended March 31, 2009 and 2008 as in the basic net income</w:t>
      </w:r>
      <w:r>
        <w:rPr>
          <w:rFonts w:ascii="Arial" w:cs="Arial" w:eastAsia="Arial" w:hAnsi="Arial"/>
          <w:sz w:val="15"/>
          <w:szCs w:val="15"/>
          <w:i w:val="1"/>
          <w:iCs w:val="1"/>
          <w:color w:val="auto"/>
        </w:rPr>
        <w:t xml:space="preserve"> </w:t>
      </w:r>
      <w:r>
        <w:rPr>
          <w:rFonts w:ascii="Arial" w:cs="Arial" w:eastAsia="Arial" w:hAnsi="Arial"/>
          <w:sz w:val="15"/>
          <w:szCs w:val="15"/>
          <w:color w:val="auto"/>
        </w:rPr>
        <w:t>(loss) per share calculation described above, plus, to the extent applicable and dilutive, (i) interest expense on convertible debt and equity security units (“ESUs”),</w:t>
      </w:r>
    </w:p>
    <w:p>
      <w:pPr>
        <w:ind w:right="520" w:firstLine="8"/>
        <w:spacing w:after="0" w:line="255"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net income (loss) attributable to noncontrolling interests resulting from assumed share issuances in connection with DSUs, RSUs, ESUs, convertible debt, convertible preferred stock and, on an “as-if-exchanged” basis, amounts applicable to LAZ-MD Holdings exchangeable interests and (iii) income tax related to (i) and (ii) above.</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periods ended March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2008 as in the basic net income (loss) per share calculation described above, plus, to the extent dilutive, the incremental number of shares of Class A common stock to settle DSU and RSU awards, ESUs, convertible debt, convertible preferred stock and LAZ-MD Holdings exchangeable interests, using the treasury stock method, the “if converted” method or the “as-if-exchanged” method,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calculations of the Company’s basic and diluted net income (loss) per share and weighted average shares outstanding for the three 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2009 and 2008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 — adjustment associated with Class A common stock issuable relating to the LAM Merger and business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(54,311)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income relating to interest expense and changes in net income (loss) attributable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noncontrolling interests resulting from assumed share issuances in connection with DSUs, RSUs, ESUs,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debt, convertible preferred stock and exchangeable interests, net of tax</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 Ltd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(54,311)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66,949,857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48,794,911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relating to the LAM Merger and business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3,194,481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1,185,282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70,144,338</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49,980,193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incremental shares issuable from DSUs, RSUs, ESUs, convertible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preferred stock and exchangeable interests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60,416,705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70,144,338</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110,396,898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jc w:val="right"/>
              <w:ind w:right="285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March 31, 2009 and December 31, 2008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7,546</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10,377</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46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r>
      <w:tr>
        <w:trPr>
          <w:trHeight w:val="20"/>
        </w:trPr>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1"/>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LFCM Holdings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17,260</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36,815</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2"/>
        </w:trPr>
        <w:tc>
          <w:tcPr>
            <w:tcW w:w="9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17,326</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37,211</w:t>
            </w:r>
          </w:p>
        </w:tc>
      </w:tr>
      <w:tr>
        <w:trPr>
          <w:trHeight w:val="20"/>
        </w:trPr>
        <w:tc>
          <w:tcPr>
            <w:tcW w:w="9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employee benefits, administrative services, business alliance and lease indemnity agreements, all of which are described in the Company’s Form 10-K.</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three month periods ended March 31, 2009 and 2008, amounts recorded by Lazard Group relating to administrative and support services under the administrative services agreement (the “administrative services agreement”) amounted to $1,457 and $972, respectively, and net referral fees for underwriting, private placement, M&amp;A and restructuring transactions under the business alliance agreement amounted to $157 and $9,767 respectively. Such amounts are reported as reductions to operating expenses and as other revenue, respectively.</w:t>
      </w:r>
    </w:p>
    <w:p>
      <w:pPr>
        <w:spacing w:after="0" w:line="9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With respect to the lease indemnity agreement, the net present value of the receivable due from LFCM Holdings with respect to its indemnification for obligations relating to abandoned lease space in the U.K. at March 31, 2009 and December 31, 2008 was $4,161 and $4,085, respectively. The balance is due based on a schedule of periodic payments through May 10, 2010.</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remaining receivables from LFCM Holdings and its subsidiaries as of March 31, 2009 and December 31, 2008 primarily include $1,437 and $4,949, respectively, related to administrative and support services and reimbursement of expenses incurred on behalf of LFCM Holdings and $1,544 and $1,087, respectively, related to referral fees for underwriting and private placement transactions. Payables to LFCM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Holdings and its subsidiaries at March 31, 2009 and December 31, 2008 principally relates to obligations pursuant to the tax receivable agreement described in Note 14 of Notes to Condensed Consolidated Financial Statements.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2009 and 2008 such charges amounted to $188 in each period.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month periods ended March 31, 2009 and 2008, expenses recorded by Lazard Group relating to referral fees for restructuring transactions and fee sharing with MBA amounted to $219 and $0, respectively. At March 31, 2009 and December 31, 2008, the balance of such related party transactions are included within “related party payables” in the accompanying condensed consolidated statement of financial condition and amounted to $66 and $396,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see Note 9 of Notes to Condensed Consolidated Financial Statements for information regarding CP II and the Sapphire IPO.</w:t>
      </w:r>
    </w:p>
    <w:p>
      <w:pPr>
        <w:spacing w:after="0" w:line="15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2009, LFNY’s regulatory net capital was $126,311, which exceeded the minimum requirement by $120,070.</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2009, the aggregate regulatory net capital of the U.K. Subsidiaries was $199,783, which exceeded the minimum requirement by $164,437.</w:t>
      </w:r>
    </w:p>
    <w:p>
      <w:pPr>
        <w:spacing w:after="0" w:line="127"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and Fonds Partenaires Gestion (private equity), are subject to regulation and supervision by the Autorité des Marchés Financiers. At March 31, 2009, the consolidated regulatory net capital of CFLF was $176,963, which exceeded the minimum requirement set for regulatory capital levels by $79,581.</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2009, for those subsidiaries with regulatory capital requirements, their aggregate net capital was $70,153, which exceeded the minimum required capital by $51,056.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2009, each of these subsidiaries individually was in compliance with its regulatory capital requirements.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Effective April 1, 2008, Lazard Ltd became subject to supervision by the SEC as a Supervised Investment Bank Holding Company (“SIBHC”). As a SIBHC, Lazard Ltd is subject to group-wide supervision, which requires it to compute allowable capital and risk allowances on a consolidated basis. Reporting as a SIBHC began in the second quarter of 2008. We believe that Lazard Ltd is the only institution currently subject to supervision by the SEC as a SIBHC. We are currently in discussions with the SEC regarding the scope and nature of Lazard Ltd’s reporting and other obligations under the SIBHC program.</w:t>
      </w:r>
    </w:p>
    <w:p>
      <w:pPr>
        <w:spacing w:after="0" w:line="9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advice on M&amp;A and strategic advisory matters, restructurings and capital structure advisory services, capital raising and other transactions),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2009 and 2008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(loss).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(loss) and believes that the following information provides a reasonable representation of each segment’s contribution to operations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177,621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174,760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760" w:type="dxa"/>
            <w:vAlign w:val="bottom"/>
            <w:gridSpan w:val="3"/>
          </w:tcPr>
          <w:p>
            <w:pPr>
              <w:spacing w:after="0"/>
              <w:rPr>
                <w:sz w:val="20"/>
                <w:szCs w:val="20"/>
                <w:color w:val="auto"/>
              </w:rPr>
            </w:pPr>
            <w:r>
              <w:rPr>
                <w:rFonts w:ascii="Arial" w:cs="Arial" w:eastAsia="Arial" w:hAnsi="Arial"/>
                <w:sz w:val="18"/>
                <w:szCs w:val="18"/>
                <w:color w:val="auto"/>
              </w:rPr>
              <w:t>Asset Management</w:t>
            </w:r>
          </w:p>
        </w:tc>
        <w:tc>
          <w:tcPr>
            <w:tcW w:w="784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101,523</w:t>
            </w:r>
          </w:p>
        </w:tc>
        <w:tc>
          <w:tcPr>
            <w:tcW w:w="4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165,031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(16,105)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(69,215)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 (Loss)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(87,208)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(69,869)</w:t>
            </w:r>
          </w:p>
        </w:tc>
        <w:tc>
          <w:tcPr>
            <w:tcW w:w="0" w:type="dxa"/>
            <w:vAlign w:val="bottom"/>
          </w:tcPr>
          <w:p>
            <w:pPr>
              <w:spacing w:after="0"/>
              <w:rPr>
                <w:sz w:val="1"/>
                <w:szCs w:val="1"/>
                <w:color w:val="auto"/>
              </w:rPr>
            </w:pPr>
          </w:p>
        </w:tc>
      </w:tr>
      <w:tr>
        <w:trPr>
          <w:trHeight w:val="330"/>
        </w:trPr>
        <w:tc>
          <w:tcPr>
            <w:tcW w:w="1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40" w:type="dxa"/>
            <w:vAlign w:val="bottom"/>
          </w:tcPr>
          <w:p>
            <w:pPr>
              <w:ind w:left="40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248,395</w:t>
            </w:r>
          </w:p>
        </w:tc>
        <w:tc>
          <w:tcPr>
            <w:tcW w:w="4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308,079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339,164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290,057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(90,769)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 the three month period ended March 31, 2009, restructuring expense of $62,550 (see Note 13 of Notes to Condensed Consolidated Financial Statements).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673,343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1,346,663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1,703,629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2,396,215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2,862,931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0" w:type="dxa"/>
            <w:vAlign w:val="bottom"/>
            <w:vMerge w:val="restart"/>
          </w:tcPr>
          <w:p>
            <w:pPr>
              <w:jc w:val="right"/>
              <w:ind w:right="361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Management’s Discussion and Analysis of Financial Condition and Results of Operations (the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Annual Report on Form 10-K for the year ended December 31, 2008 (the “Form 10-K”) under the caption “Risk Factors,” including the following:</w:t>
      </w:r>
    </w:p>
    <w:p>
      <w:pPr>
        <w:spacing w:after="0" w:line="25"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recruitment and retention of managing directors and employees,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tax 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 with respect to the economy, securities markets, the market for mergers, acquisitions and strategic advisory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its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www.lazard.com</w:t>
      </w:r>
      <w:r>
        <w:rPr>
          <w:rFonts w:ascii="Arial" w:cs="Arial" w:eastAsia="Arial" w:hAnsi="Arial"/>
          <w:sz w:val="16"/>
          <w:szCs w:val="16"/>
          <w:color w:val="auto"/>
        </w:rPr>
        <w:t>. Our websites and the information contained therein or connected thereto are not incorporated into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or “our bank”). The Company also allocates outstanding indebtedness to its Corporate segment.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Paris House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September 25, 2008, pursuant to a definitive merger agreement dated August 14, 2008, the Company, LAM, and LAZ Sub I, LLC, a newly formed subsidiary of Lazard Frères &amp; Co. LLC (“LFNY”), completed the merger of LAZ Sub I, LLC with and into LAM (the “LAM Merger”). See Note 5 of Notes to Condensed Consolidated Financial Statements for additional information relating to the LAM Merger.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investment activities, except for Fonds Partenaires Gestion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See Note 9 of Notes to Condensed Consolidated Financial Statements for additional information regarding alternative investments.</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 periods ended March 31, 2009 and 2008, the Company’s consolidated net revenue was derived from the following segments: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9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2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82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2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82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vMerge w:val="continue"/>
          </w:tcPr>
          <w:p>
            <w:pPr>
              <w:spacing w:after="0"/>
              <w:rPr>
                <w:sz w:val="19"/>
                <w:szCs w:val="19"/>
                <w:color w:val="auto"/>
              </w:rPr>
            </w:pPr>
          </w:p>
        </w:tc>
        <w:tc>
          <w:tcPr>
            <w:tcW w:w="1820" w:type="dxa"/>
            <w:vAlign w:val="bottom"/>
            <w:gridSpan w:val="2"/>
          </w:tcPr>
          <w:p>
            <w:pPr>
              <w:jc w:val="right"/>
              <w:ind w:right="1072"/>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The global financial markets have experienced extraordinary disruption and volatility during 2008 and the three month period ended March 31, 2009, and therefore challenging market conditions persisted throughout most of such period. Contraction in worldwide credit markets due in part to sub-prime lending issues, volatile currency and commodity markets, major write-downs within the financial sector and volatile oil prices have raised significant uncertainty about the state of the U.S. and global economies. These economic and market conditions have negatively affected our financial performance in both the Financial Advisory and Asset Management businesses, particularly in the second half of 2008 and through March 31, 2009, and may continue to further adversely affect our financial performance in 2009. The deterioration of the equity and credit markets has also negatively impacted our bank’s portfolio of debt securities in the Corporate segment.</w:t>
      </w:r>
    </w:p>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the Form 10-K. Furthermore, net income (loss)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M&amp;A activity for the three month period ended March 31, 2009 decreased substantially versus the corresponding period in 2008 for global completed transactions as well as global and trans-atlantic announced transactions, while activity in financial restructuring accelerated during the 2009 period driven by a significant increase in the number of corporate debt defaults. According to Moody’s Investors Service, Inc., in the three month period ended March 31, 2009, a total of 79 issuers defaulted as compared to 16 in the corresponding period in 2008. Moody’s is expecting further increases in the default rates throughout 2009. The following table sets forth industry statistics regarding the volume of M&amp;A transactions in the 2008 to 2009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88"/>
              </w:rPr>
              <w:t>Three Months Ended March 31,</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r>
      <w:tr>
        <w:trPr>
          <w:trHeight w:val="161"/>
        </w:trPr>
        <w:tc>
          <w:tcPr>
            <w:tcW w:w="760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Incr /(Decr)</w:t>
            </w:r>
          </w:p>
        </w:tc>
        <w:tc>
          <w:tcPr>
            <w:tcW w:w="22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87"/>
              </w:rPr>
              <w:t>($ in billions)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Global</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  466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797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82"/>
        </w:trPr>
        <w:tc>
          <w:tcPr>
            <w:tcW w:w="76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Trans-Atlantic</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April 13, 200</w:t>
      </w:r>
      <w:r>
        <w:rPr>
          <w:rFonts w:ascii="Arial" w:cs="Arial" w:eastAsia="Arial" w:hAnsi="Arial"/>
          <w:sz w:val="18"/>
          <w:szCs w:val="18"/>
          <w:color w:val="auto"/>
        </w:rPr>
        <w:t>9</w:t>
      </w:r>
    </w:p>
    <w:p>
      <w:pPr>
        <w:spacing w:after="0" w:line="15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continued to decline in the first three months of 2009 and the industry outlook for the remainder of 2009 remains challenging, we believe that even in the current environment we are relatively well positioned, due to the expertise and insights of our bankers, the investments we have made in our business and the diversity of our products. Nevertheless, we expect 2009 to be a challenging year.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expect that our Financial Restructuring practice should benefit over the next several years from the significant acceleration in the level of corporate defaults, as well as from advising companies during this period of volatility on matters relating to debt and financing restructuring and other on- and off-balance sheet assignments. Our Financial Restructuring assignments normally are executed over a six- to eighteen-month period.</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April 2009, governmental officials in New York announced a new policy banning the use of placement agents by funds seeking investment contributions from the New York State and New York City public pension funds. Our Private Fund Advisory Group, which is part of our Financial Advisory segment, acts as placement agent for investment funds, including investment funds that have historically received capital from these New York public pension funds. We are currently evaluating the potential impact of this new policy on our Private Fund Advisory Group.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March 31, 2009 decreased significantly as compared to such indices at both December 31, 2008 and March 31, 2008, principally as a result of the continued deterioration in the global equity markets.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Percentage Change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872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31, 2009 vs.</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8720" w:type="dxa"/>
            <w:vAlign w:val="bottom"/>
          </w:tcPr>
          <w:p>
            <w:pPr>
              <w:spacing w:after="0"/>
              <w:rPr>
                <w:sz w:val="11"/>
                <w:szCs w:val="11"/>
                <w:color w:val="auto"/>
              </w:rPr>
            </w:pPr>
          </w:p>
        </w:tc>
        <w:tc>
          <w:tcPr>
            <w:tcW w:w="188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1"/>
                <w:szCs w:val="11"/>
                <w:color w:val="auto"/>
              </w:rPr>
            </w:pPr>
          </w:p>
        </w:tc>
      </w:t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CAC 40</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FTSE 100</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MSCI Emerging Market</w:t>
            </w: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NASDAQ</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bl>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Because the fees that we receive for providing investment management and advisory services are primarily driven by the level of AUM, market downturns or volatility in foreign currencies that reduce the level of our AUM reduce the revenues we receive from our Asset Management business. Market depreciation reflected in the changes in Lazard’s AUM during the three month period ended March 31, 2009 generally corresponded to the changes in global market indices. During the first three months of 2009, our Asset Management business continued to be adversely impacted by a reduction in our AUM and may be impacted further should there be a sustained market downturn.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financial restructuring or capital raising activity, the timing of which is uncertain and is not subject to Lazard’s control.</w:t>
      </w:r>
    </w:p>
    <w:p>
      <w:pPr>
        <w:spacing w:after="0" w:line="11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(“LFG”) and FPG.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paid at the end of the measurement period, and those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 Incentive fees earned on our private equity funds are generally not recorded until potential uncertainties regarding the ultimate realizable amounts have been determined. For most of our alternative investment strategies, the determination date is at year-end (unless an account terminates during the year), and therefore such incentive fees are recorded in the fourth quarter of Lazard’s fiscal year.</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LAM-managed equity funds and principal investments in equities and alternative investment funds managed by LAI and FPG, and on debt securities at our bank. Interest expense is also included in Corporate net revenue. Corporate net revenue can fluctuate due to changes in the fair value of investments classified as “trading”, and with respect to “available-for-sale”, when realized, or when a decline is determined to be other than temporary, as well as due to changes in interest and currency exchange rates and in the levels of cash, investments and indebtedness.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Effective July 1, 2008, as permitted by Statement of Financial Accounting Standards (“SFAS”) No. 115, </w:t>
      </w:r>
      <w:r>
        <w:rPr>
          <w:rFonts w:ascii="Arial" w:cs="Arial" w:eastAsia="Arial" w:hAnsi="Arial"/>
          <w:sz w:val="16"/>
          <w:szCs w:val="16"/>
          <w:i w:val="1"/>
          <w:iCs w:val="1"/>
          <w:color w:val="auto"/>
        </w:rPr>
        <w:t>“Accounting for Certain Investments in Debt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(“SFAS No. 115”), the portion of our bank’s corporate debt portfolio that had been previously designated as “trading” was re-designated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“available-for-sale”. During the three month period ended March 31, 2009, the Company recorded markdowns of $9 million in “accumulated other comprehensive income (loss), net of tax” (“AOCI”) related to such re-designated debt securities.</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Although Corporate segment net revenue during the three month period ended March 31, 2009 represented (7)% of Lazard’s net revenue, total assets in Corporate represented 56% of Lazard’s consolidated total assets as of March 31, 2009, principally attributable to assets associated with LFB, and, to a lesser extent, investments in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We have a policy that targets our ongoing compensation and benefits expense in our traditional businesses, excluding special items, to not exceed 57.5% of operating revenue each year, including compensation and benefits payable to our managing directors and amortization of the relevant portion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restricted stock unit awards (“RSUs”) under the Lazard Ltd 2005 Equity Incentive Plan, the Lazard Ltd 2008 Incentive Compensation Plan and the related deferred cash component of such incentive awards, with such amortization determined on a straight-line basis over the vesting periods and not on the basis of revenue recognition (see Note 11 of Notes to Condensed Consolidated Financial Statements). As discussed in our Form 10-K, there can be no guarantee that this target ratio will continue to be achieved in future periods or that our policy may not change in the future, including to adapt to changes in the economic environment, or that a change may not be necessitated by lower operating revenues or to fund a major expansion. Increased competition for senior professionals, continued turmoil and volatility in the financial markets generally or other factors could prevent us from continuing to maintain this target ratio.</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three month periods ended March 31, 2009 and 2008 (excluding the restructuring charge incurred in the 2009 period), our compensation expense-to-operating revenue ratio was 74.6% and 56.7%, respectively. As a result of the challenging market conditions in the 2009 period described above, and the resulting decline in operating revenue, the ratio in the 2009 period exceeded our target ratio. Our compensation ratio for the first quarter of 2009 is not necessarily representative of the ratio for the full year.</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operating expenses also include “non-compensation expense” and, in the 2009 period, “restructuring expense”. Non-compensation expense includes costs for occupancy and equipment, marketing and business development, technology and information services, professional services, fund administration and outsourced services, and other expenses. Restructuring expense relates to the recent reduction of headcount and includes severance and related benefits expense, the acceleration of unrecognized expense pertaining to RSUs previously granted to individuals who were terminated and certain other costs related to this initiative.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Outside the U.S., Lazard Group operates principally through corporations and is subject to local income taxes. Income taxes shown on Lazard’s condensed consolidated statements of operations are attributable to taxes in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records a charge (credit) attributable to the noncontrolling interests relating to LAZ-MD Holdings’ common membership interest in Lazard Group, which approximated 37.6% and 51.7% during the three month periods ended March 31, 2009 and 2008, respectively, with such charge (credit) amounting to $(32) million and $9 million for the three month periods ended March 31, 2009 and 2008, respectively. Also included in noncontrolling interests in our consolidated financial statements are noncontrolling interests in various LAM-related general partnerships (“GPs”) held directly by certain of our LAM managing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information regarding noncontrolling interests.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discussion of the Company’s consolidated results of operations for the three month periods ended March 31, 2009 and 2008 is set forth below, followed by a more detailed discussion of business segment results.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 banking and other advisory fees</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w w:val="87"/>
              </w:rPr>
              <w:t>$161,402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management fees</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98,943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Total revenue</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275,852</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346,851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27,457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248,395</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308,079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203,532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Non-compensation</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73,082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Restructuring(a)</w:t>
            </w:r>
          </w:p>
        </w:tc>
        <w:tc>
          <w:tcPr>
            <w:tcW w:w="1320" w:type="dxa"/>
            <w:vAlign w:val="bottom"/>
            <w:gridSpan w:val="2"/>
          </w:tcPr>
          <w:p>
            <w:pPr>
              <w:jc w:val="right"/>
              <w:ind w:right="575"/>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339,164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290,057</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rPr>
              <w:t>(90,769)</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taxes(b)</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rPr>
              <w:t>(86,594)</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Less—Net Income (Loss) Attributable to Noncontrolling Interests(c)</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rPr>
              <w:t>(33,098)</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320" w:type="dxa"/>
            <w:vAlign w:val="bottom"/>
            <w:gridSpan w:val="2"/>
          </w:tcPr>
          <w:p>
            <w:pPr>
              <w:jc w:val="right"/>
              <w:ind w:right="515"/>
              <w:spacing w:after="0"/>
              <w:rPr>
                <w:sz w:val="20"/>
                <w:szCs w:val="20"/>
                <w:color w:val="auto"/>
              </w:rPr>
            </w:pPr>
            <w:r>
              <w:rPr>
                <w:rFonts w:ascii="Arial" w:cs="Arial" w:eastAsia="Arial" w:hAnsi="Arial"/>
                <w:sz w:val="18"/>
                <w:szCs w:val="18"/>
                <w:color w:val="auto"/>
                <w:w w:val="87"/>
              </w:rPr>
              <w:t>$ (53,496)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 Excluding Restructuring Expense(d)</w:t>
            </w:r>
          </w:p>
        </w:tc>
        <w:tc>
          <w:tcPr>
            <w:tcW w:w="1320" w:type="dxa"/>
            <w:vAlign w:val="bottom"/>
            <w:gridSpan w:val="2"/>
            <w:shd w:val="clear" w:color="auto" w:fill="CCEEFF"/>
          </w:tcPr>
          <w:p>
            <w:pPr>
              <w:jc w:val="right"/>
              <w:ind w:right="515"/>
              <w:spacing w:after="0"/>
              <w:rPr>
                <w:sz w:val="20"/>
                <w:szCs w:val="20"/>
                <w:color w:val="auto"/>
              </w:rPr>
            </w:pPr>
            <w:r>
              <w:rPr>
                <w:rFonts w:ascii="Arial" w:cs="Arial" w:eastAsia="Arial" w:hAnsi="Arial"/>
                <w:sz w:val="18"/>
                <w:szCs w:val="18"/>
                <w:color w:val="auto"/>
                <w:w w:val="87"/>
              </w:rPr>
              <w:t>$ (18,422)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tcPr>
          <w:p>
            <w:pPr>
              <w:spacing w:after="0"/>
              <w:rPr>
                <w:sz w:val="20"/>
                <w:szCs w:val="20"/>
                <w:color w:val="auto"/>
              </w:rPr>
            </w:pPr>
            <w:r>
              <w:rPr>
                <w:rFonts w:ascii="Arial" w:cs="Arial" w:eastAsia="Arial" w:hAnsi="Arial"/>
                <w:sz w:val="18"/>
                <w:szCs w:val="18"/>
                <w:b w:val="1"/>
                <w:bCs w:val="1"/>
                <w:color w:val="auto"/>
              </w:rPr>
              <w:t>As a % of Net Revenue:</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220"/>
              <w:spacing w:after="0"/>
              <w:rPr>
                <w:sz w:val="20"/>
                <w:szCs w:val="20"/>
                <w:color w:val="auto"/>
              </w:rPr>
            </w:pPr>
            <w:r>
              <w:rPr>
                <w:rFonts w:ascii="Arial" w:cs="Arial" w:eastAsia="Arial" w:hAnsi="Arial"/>
                <w:sz w:val="18"/>
                <w:szCs w:val="18"/>
                <w:color w:val="auto"/>
              </w:rPr>
              <w:t>Operating Income (Loss), Excluding Restructuring Expense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5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Relates to costs associated with staff reductions and realignments as announced in February 2009. See Note 13 of Notes to Condensed Consolidated Financial Statements.</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benefit of $6,401 in the 2009 period relating to the restructuring expense.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credit of $21,075 in the 2009 period relating to the restructuring expense.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non-GAAP measure that management believes provides the most meaningful comparison between historical, present and future periods.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$275,852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$346,851</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LFB interest expense(a)</w:t>
            </w: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(4,017)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(8,901)</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related to consolidation of LAM GPs(b)</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8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272,905</w:t>
            </w:r>
          </w:p>
        </w:tc>
        <w:tc>
          <w:tcPr>
            <w:tcW w:w="2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341,203</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8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LAM GP loss is excluded because we do not deem such amount as operating in nature and the Company has no economic interest in such amount. Further, such LAM GP loss is directly offset by a credit to noncontrolling interests for the corresponding amount.</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three month periods ended March 31, 2009 and 2008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1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7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Other</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w w:val="93"/>
              </w:rPr>
              <w:t>(11)</w:t>
            </w: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gridSpan w:val="3"/>
          </w:tcPr>
          <w:p>
            <w:pPr>
              <w:jc w:val="right"/>
              <w:ind w:right="152"/>
              <w:spacing w:after="0"/>
              <w:rPr>
                <w:sz w:val="20"/>
                <w:szCs w:val="20"/>
                <w:color w:val="auto"/>
              </w:rPr>
            </w:pPr>
            <w:r>
              <w:rPr>
                <w:rFonts w:ascii="Arial" w:cs="Arial" w:eastAsia="Arial" w:hAnsi="Arial"/>
                <w:sz w:val="18"/>
                <w:szCs w:val="18"/>
                <w:color w:val="auto"/>
                <w:w w:val="86"/>
              </w:rPr>
              <w:t>100%</w:t>
            </w:r>
          </w:p>
        </w:tc>
        <w:tc>
          <w:tcPr>
            <w:tcW w:w="4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180" w:type="dxa"/>
            <w:vAlign w:val="bottom"/>
            <w:gridSpan w:val="2"/>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2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154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4200" w:type="dxa"/>
            <w:vAlign w:val="bottom"/>
            <w:gridSpan w:val="5"/>
          </w:tcPr>
          <w:p>
            <w:pPr>
              <w:jc w:val="right"/>
              <w:ind w:right="460"/>
              <w:spacing w:after="0"/>
              <w:rPr>
                <w:sz w:val="20"/>
                <w:szCs w:val="20"/>
                <w:color w:val="auto"/>
              </w:rPr>
            </w:pPr>
            <w:r>
              <w:rPr>
                <w:rFonts w:ascii="Arial" w:cs="Arial" w:eastAsia="Arial" w:hAnsi="Arial"/>
                <w:sz w:val="18"/>
                <w:szCs w:val="18"/>
                <w:color w:val="auto"/>
              </w:rPr>
              <w:t>56</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2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4200" w:type="dxa"/>
            <w:vAlign w:val="bottom"/>
            <w:gridSpan w:val="5"/>
          </w:tcPr>
          <w:p>
            <w:pPr>
              <w:jc w:val="right"/>
              <w:ind w:right="460"/>
              <w:spacing w:after="0"/>
              <w:rPr>
                <w:sz w:val="20"/>
                <w:szCs w:val="20"/>
                <w:color w:val="auto"/>
              </w:rPr>
            </w:pPr>
            <w:r>
              <w:rPr>
                <w:rFonts w:ascii="Arial" w:cs="Arial" w:eastAsia="Arial" w:hAnsi="Arial"/>
                <w:sz w:val="18"/>
                <w:szCs w:val="18"/>
                <w:color w:val="auto"/>
              </w:rPr>
              <w:t>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2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964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180" w:type="dxa"/>
            <w:vAlign w:val="bottom"/>
            <w:gridSpan w:val="2"/>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1,121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2,307</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first quarter of 2009, we continued to hire key professionals on a selective basis, and to redeploy employees into areas where we saw potential for growth. As described above, to further optimize our mix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personnel we have reduced staff in other areas, including the back office. Headcount as of March 31, 2009 reflects most, but not all, of the headcount reductions related to the restructuring expense recorded in the 2009 period. The remaining headcount reductions will be reflected in the second quarter of 2009.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reported a net loss attributable to Lazard Ltd of $53 million for the three month period ended March 31, 2009, a decline of $61 million as compared to net income of $8 million in the corresponding period in 2008, due to a 23% decline in Financial Advisory net revenue as a result of a dramatic slowdown in global M&amp;A activity, a 38% decline in Asset Management net revenue as a result of the decline in equity markets and the after-tax impact of the restructuring expense in the first quarter of 2009 which served to increase the net loss attributable to Lazard Ltd by $35 million. These items were partially offset by lower amounts relating to non-compensation expense, income taxes and net income attributable to noncontrolling interests. When excluding the after-tax impact of the restructuring expense, the net loss attributable to Lazard Ltd in the three month period ended March 31, 2009 was $18 million, a decrease of $26 million as compared to the corresponding period in 2008.</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decreased $60 million, or 19%, for the three month period ended March 31, 2009, compared to the corresponding period in 2008, with operating revenue decreasing $68 million, or 20%, compared to 2008. Fees from investment banking and other advisory activities decreased $35 million, or 18%, versus 2008. Our investment banking fees reflect fees from M&amp;A and Strategic Advisory, Restructuring and Corporate Finance assignments encompassing general strategic and transaction-specific advice to public and private companies, governments and other parties, and includes various corporate finance services. Some of our assignments and, therefore, related revenue, are not reflected in or correlated to publicly available statistical information and, therefore, may not correlate to global industry statistics. Money management fees, including incentive fees, decreased $59 million, or 37%, as compared to the corresponding period in 2008 due to a $52 billion, or 38%, decline in average AUM for the three month period ended March 31, 2009 versus the corresponding period in 2008, primarily as the result of market and foreign exchange depreciation, partially offset by higher incentive fees earned in 2009. Interest income decreased $16 million, or 68%, due to lower average cash balances and a lower interest rate environment. Other revenue increased by $39 million in the three month period ended March 31, 2009 as compared to the 2008 period. Other revenue in the 2008 period was negatively impacted by aggregate investment related losses of $57 million in our bank’s corporate debt portfolio (redesignated as available-for-sale effective July 1, 2008) and the Company’s net investment in corporate equities to seed Asset Management products. With respect to the latter, during the 2009 period, the Company had in place a hedging strategy to minimize its risks associated with volatility in the equity markets. Interest expense for the three month period ended March 31, 2009 decreased $11 million, or 29%, primarily related to the Company’s May 2008 repurchase of $437 million aggregate principal amount of its 6.12% senior notes in connection with the remarketing of such notes, the partial repurchases of other senior notes, as well as lower interest paid on LFB’s customer deposits.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Compensation and benefits expense for the three month period ended March 31, 2009 increased by $10 million, reflecting $27 million of additional amortization of an increased amount of RSUs and deferred cash awards granted, partially offset by lower salaries and benefits due to the impact of the staff reductions during the 2009 first quarter. Compensation and benefits expense was 74.6% of operating revenue in the three month period ended March 31, 2009, as compared to 56.7% in the 2008 period. As described above, our compensation ratio for the first quarter of 2009 is not necessarily representative of the ratio for the full year.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Non-compensation expense for the three month period ended March 31, 2009 decreased by $23 million, or 24%. Factors contributing to the decrease include lower spending on travel and other business development activities, lower consulting and recruiting fees and the strengthening of the U.S. dollar versus foreign currencies. In addition, the 2008 period included a $6 million provision for costs related to leases on abandoned space. The ratio of non-compensation expense to operating revenue was 26.8% for the three month period ended March 31, 2009, as compared to 28.3% of operating revenue for the 2008 period, with such decreased percentage primarily attributable to the 24% decline in non-compensation expense (coupled with the 20% decline in operating revenue) in the 2009 period.</w:t>
      </w:r>
    </w:p>
    <w:p>
      <w:pPr>
        <w:spacing w:after="0" w:line="13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During the first quarter of 2009, we redeployed our banking professionals into growth areas and reduced staffing in other areas to further optimize our mix of personnel. As a result, a pre-tax charge of $63 million was recorded in the three month period ended March 31, 2009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Including the pre-tax impact of the restructuring expense, operating loss for the three month period ended March 31, 2009 was $91 million, a decrease of $109 million as compared to operating income of $18 million in the 2008 period. As a percentage of net revenue, the operating loss in the 2009 period was (37)% as compared to 6% in the corresponding period in 2008. When excluding the restructuring expense of $63 million in the 2009 period, the operating loss was $28 million, a decrease of $46 million as compared to the corresponding period in 2008, and was (11)% of net revenue in the 2009 period as compared to 6% in the 2008 period.</w:t>
      </w:r>
    </w:p>
    <w:p>
      <w:pPr>
        <w:spacing w:after="0" w:line="12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provision for income taxes for the three month period ended March 31, 2009 decreased $9 million, principally due to an operating loss in the 2009 period as compared to operating income in the 2008 period.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income attributable to noncontrolling interests for the three month period ended March 31, 2008 decreased by $38 million, principally reflecting the lower level of Lazard Group net income in the 2009 period, partially offset by a decrease in LAZ-MD Holdings’ common membership interests in Lazard Group in 2009 (an average of 38%) as compared to 2008 (an average of 52%). In addition, noncontrolling interests in the 2009 period includes a $1 million credit related to various LAM GPs held directly by certain of our LAM managing directors (for which there is an offsetting amount included in “revenue – other”), as compared to a $3 million credit recorded in the corresponding 2008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The following is a discussion of net revenue and operating income (loss) for the Company’s business segments - Financial Advisory, Asset Management and Corporate. Each segment’s operating expenses include (i) compensation and benefits expenses that are incurred directly in support of the segment and</w:t>
      </w:r>
    </w:p>
    <w:p>
      <w:pPr>
        <w:ind w:right="60" w:firstLine="8"/>
        <w:spacing w:after="0" w:line="252" w:lineRule="auto"/>
        <w:tabs>
          <w:tab w:leader="none" w:pos="2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For the three month period ended March 31, 2009 restructuring expense was recorded in the Corporate segment.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6"/>
              </w:rPr>
              <w:t>($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96,475</w:t>
            </w:r>
          </w:p>
        </w:tc>
        <w:tc>
          <w:tcPr>
            <w:tcW w:w="10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165,985</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Financial Restructuring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60,929</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Finance and 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Net Revenue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162,977</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212,263</w:t>
            </w:r>
          </w:p>
        </w:tc>
        <w:tc>
          <w:tcPr>
            <w:tcW w:w="0" w:type="dxa"/>
            <w:vAlign w:val="bottom"/>
          </w:tcPr>
          <w:p>
            <w:pPr>
              <w:spacing w:after="0"/>
              <w:rPr>
                <w:sz w:val="1"/>
                <w:szCs w:val="1"/>
                <w:color w:val="auto"/>
              </w:rPr>
            </w:pPr>
          </w:p>
        </w:tc>
      </w:tr>
      <w:tr>
        <w:trPr>
          <w:trHeight w:val="218"/>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177,621</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174,760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872"/>
              <w:spacing w:after="0"/>
              <w:rPr>
                <w:sz w:val="20"/>
                <w:szCs w:val="20"/>
                <w:color w:val="auto"/>
              </w:rPr>
            </w:pPr>
            <w:r>
              <w:rPr>
                <w:rFonts w:ascii="Arial" w:cs="Arial" w:eastAsia="Arial" w:hAnsi="Arial"/>
                <w:sz w:val="18"/>
                <w:szCs w:val="18"/>
                <w:color w:val="auto"/>
              </w:rPr>
              <w:t>(14,644)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37,503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As of March 31,</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862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Financial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7"/>
              </w:rPr>
              <w:t>Three Months Ended 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1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Number of Clients:</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April 13,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8"/>
              </w:rPr>
              <w:t>Three Months Ended 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financial restructuring transactions, depending on clients’ needs. This flexibility allows Lazard to better match its professionals with the counter-cyclical business cycles of mergers and acquisitions and financial restructurings. While Lazard measures revenue by practice area, Lazard does not separately measure the costs or profitability of M&amp;A services as compared to financial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 period ended March 31, 2009, Financial Advisory net revenue decreased $49 million, or 23%, as compared to the corresponding period in 2008. Financial Restructuring revenue increased $45 million, or 292%, offset by M&amp;A and Strategic Advisory revenue decreasing $70 million, or 42%, and Corporate Finance and Other net revenue decreasing $25 million, or 82%.</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decrease in M&amp;A and Strategic Advisory revenue for the three month period ended March 31, 2009 was principally due to the adverse economic and market conditions described above, which resulted in lower average fees per transaction, and a lower number of M&amp;A transactions completed greater than $1 billion, which typically generate significant fees. Our major clients, which in the aggregate represented a significant portion of our M&amp;A and Strategic Advisory revenue for the 2009 period, included Actividades de Construccion Y Servicios, Air France, Axiones, Exelon, IBM, O’B Inc., Otsuka Pharmaceutical, Ripplewood Holdings, St. Gobain and Société Nationale d’Investissement.</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Financial Restructuring revenue is derived from various activities including bankruptcy assignments, global debt and financing restructurings and advice on complex on- and off-balance sheet assignments, such as retiree health care obligations. Financial Restructuring revenue during the 2009 period increased significantly as compared to the 2008 period due to the significant increases in defaults and in-court and out-of-court restructurings. Notable assignments completed in the first quarter of 2009 included CIFG Holding, Lee Enterprises, Reliant Energy, LAW and Wellman. Recently announced Financial Restructuring assignments that we are currently involved with include in-court Chapter 11 bankruptcies and restructuring and debt advisory assignments relating to major industry groups such as Professional and Financial Services, Real Estate and Property Development, Technology and Media, Gaming, Entertainment and Hospitality, among others.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decrease in Corporate Finance and Other net revenue reflected decreases in the value of fund closings by our Private Fund Advisory Group, private placements by our Capital Markets Group and declines in Equity Capital Markets transactions, all of which have been negatively impacted by the continued deterioration of the financial markets during the first three months of 2009. Equity Capital Markets transaction assignments in the first quarter of 2009 included advising Mead Johnson on its initial public offering and Geron and Progress Energy on follow-on capital raising transactions. In addition, we advised CommScope, Pier I and Oscient Pharmaceuticals on various debt restructuring transactions and our Alternative Capital Finance Group served as a placement agent on a Registered Direct (“RD”) Offering for Ariad Pharmaceuticals.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Operating expenses for the three month period ended March 31, 2009 increased $3 million, or 2%, as compared to the 2008 period, primarily due to increases related to the amortization of an increased amount of RSUs and deferred cash awards, which were partially offset by lower non-compensation expense for travel and other business development expenses and lower recruiting fees and support group charges.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Financial Advisory operating loss for the first three months of 2009 was $15 million, a decrease of $52 million as compared to the 2008 period. Operating loss represented (9)% of segment net revenues for the 2009 period, as compared to 18% in the 2008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5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80" w:type="dxa"/>
            <w:vAlign w:val="bottom"/>
            <w:gridSpan w:val="3"/>
          </w:tcPr>
          <w:p>
            <w:pPr>
              <w:jc w:val="center"/>
              <w:ind w:left="46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$ 20,403</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31,553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13,177</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61,773</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69,730</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European and International Fixed Income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11,481</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12,690</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15,824</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2,805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3,196</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Equity(a)</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$ 81,084</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91,109</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$1.2 billion as of both March 31, 2009 and December 31, 2008 held by an investment company for which Lazard may earn carried interest.</w:t>
      </w:r>
    </w:p>
    <w:p>
      <w:pPr>
        <w:spacing w:after="0" w:line="18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Average AUM for the three month periods ended March 31, 2009 and 2008 is set forth below. Average AUM is based on an average of quarterly ending balances for the respective periods.</w:t>
      </w:r>
    </w:p>
    <w:p>
      <w:pPr>
        <w:spacing w:after="0" w:line="114"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wp:posOffset>
            </wp:positionV>
            <wp:extent cx="1020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9960"/>
        <w:spacing w:after="0"/>
        <w:tabs>
          <w:tab w:leader="none" w:pos="109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-6985</wp:posOffset>
            </wp:positionV>
            <wp:extent cx="10204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220"/>
        <w:spacing w:after="0"/>
        <w:rPr>
          <w:sz w:val="20"/>
          <w:szCs w:val="20"/>
          <w:color w:val="auto"/>
        </w:rPr>
      </w:pPr>
      <w:r>
        <w:rPr>
          <w:rFonts w:ascii="Arial" w:cs="Arial" w:eastAsia="Arial" w:hAnsi="Arial"/>
          <w:sz w:val="14"/>
          <w:szCs w:val="14"/>
          <w:b w:val="1"/>
          <w:bCs w:val="1"/>
          <w:color w:val="auto"/>
        </w:rPr>
        <w:t>($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5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$86,097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$ 137,803</w:t>
            </w: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Total AUM at March 31, 2009 decreased $10 billion, or 11%, as compared to that at December 31, 2008, with average AUM for the three month period ended March 31, 2009 decreasing $52 billion, or 38%, as compared to the average AUM for the corresponding 2008 period. International, Global and U.S. equities represented 25%, 37% and 14% of total AUM at March 31, 2009, respectively, versus 27%, 35% and 14% of total AUM at December 31, 2008, respectively.</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both March 31, 2009 and 2008, approximately 86% of our AUM was managed on behalf of institutional clients, including corporations, labor unions, public pension funds, insurance companies and banks, and through sub-advisory relationships, mutual fund sponsors, broker-dealers and registered advisors, and 14% of our AUM was managed on behalf of individual client relationships, which are principally with family offices and high-net worth individuals.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three month periods ended March 31,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356"/>
              <w:spacing w:after="0" w:line="155" w:lineRule="exact"/>
              <w:rPr>
                <w:sz w:val="20"/>
                <w:szCs w:val="20"/>
                <w:color w:val="auto"/>
              </w:rPr>
            </w:pPr>
            <w:r>
              <w:rPr>
                <w:rFonts w:ascii="Arial" w:cs="Arial" w:eastAsia="Arial" w:hAnsi="Arial"/>
                <w:sz w:val="14"/>
                <w:szCs w:val="14"/>
                <w:b w:val="1"/>
                <w:bCs w:val="1"/>
                <w:color w:val="auto"/>
                <w:w w:val="83"/>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$91,109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Net Flows(a)</w:t>
            </w:r>
          </w:p>
        </w:tc>
        <w:tc>
          <w:tcPr>
            <w:tcW w:w="980" w:type="dxa"/>
            <w:vAlign w:val="bottom"/>
            <w:gridSpan w:val="3"/>
          </w:tcPr>
          <w:p>
            <w:pPr>
              <w:jc w:val="right"/>
              <w:ind w:right="272"/>
              <w:spacing w:after="0"/>
              <w:rPr>
                <w:sz w:val="20"/>
                <w:szCs w:val="20"/>
                <w:color w:val="auto"/>
              </w:rPr>
            </w:pPr>
            <w:r>
              <w:rPr>
                <w:rFonts w:ascii="Arial" w:cs="Arial" w:eastAsia="Arial" w:hAnsi="Arial"/>
                <w:sz w:val="18"/>
                <w:szCs w:val="18"/>
                <w:color w:val="auto"/>
              </w:rPr>
              <w:t>(2,447)</w:t>
            </w:r>
          </w:p>
        </w:tc>
        <w:tc>
          <w:tcPr>
            <w:tcW w:w="680" w:type="dxa"/>
            <w:vAlign w:val="bottom"/>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Market and Foreign Exchange Depreciation</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(7,578)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vMerge w:val="continue"/>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81,084</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inflows of $3,547 and $7,778 and outflows of $5,994 and $6,062 for the three month periods ended March 31, 2009 and 2008, respectively.</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Inflows during the three month period ended March 31, 2009 occurred primarily in Emerging Markets and Japanese Equity products due to contributions to existing accounts as well as new accounts gained. Outflows occurred most significantly in European and International Fixed Income, European Equity and U.S. Small Cap Equity products due to withdrawals from existing accounts and accounts lost.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Consistent with the industry as a whole, we experienced continued market depreciation in the first quarter of 2009, including the impact of the strengthening U.S. dollar versus foreign currencies, with these factors being the principal contributors to the decrease in AUM. As of March 31, 2009, funds denominated in foreign currencies represented approximately 45% of total AUM. Foreign denominated AUM declines in value with the strengthening of the U.S. dollar and increases in value as the U.S. dollar weakens. Equity products experienced the most significant decrease, which approximated 9%, with such decrease slightly better than the global market indices previously described.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the operating results of the Asset Management segment for the three month periods ended March 31,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71"/>
              </w:rPr>
              <w:t>in thousands)</w:t>
            </w:r>
          </w:p>
        </w:tc>
        <w:tc>
          <w:tcPr>
            <w:tcW w:w="6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158,009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gridSpan w:val="2"/>
            <w:vMerge w:val="restart"/>
          </w:tcPr>
          <w:p>
            <w:pPr>
              <w:ind w:left="4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w w:val="86"/>
              </w:rPr>
              <w:t>102,593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GP-Related Loss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w w:val="86"/>
              </w:rPr>
              <w:t>101,523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165,031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90,440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114,643</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LAM GP-Related Loss</w:t>
            </w:r>
          </w:p>
        </w:tc>
        <w:tc>
          <w:tcPr>
            <w:tcW w:w="80" w:type="dxa"/>
            <w:vAlign w:val="bottom"/>
          </w:tcPr>
          <w:p>
            <w:pPr>
              <w:spacing w:after="0"/>
              <w:rPr>
                <w:sz w:val="18"/>
                <w:szCs w:val="18"/>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excluding LAM GP-Related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12,153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53,641</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 Net Revenue, excluding LAM GP-Related Loss (b)</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72"/>
              <w:spacing w:after="0" w:line="203"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also evaluates the results of Asset Management based on operating income excluding the LAM GP-related loss since such LAM GP-related amounts are directly offset by a credit to noncontrolling interests, which is not a credit to operating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116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Headcount(a):</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r>
      <w:tr>
        <w:trPr>
          <w:trHeight w:val="223"/>
        </w:trPr>
        <w:tc>
          <w:tcPr>
            <w:tcW w:w="990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540" w:hanging="452"/>
        <w:spacing w:after="0" w:line="472" w:lineRule="auto"/>
        <w:tabs>
          <w:tab w:leader="none" w:pos="4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700" w:type="dxa"/>
            <w:vAlign w:val="bottom"/>
            <w:gridSpan w:val="5"/>
          </w:tcPr>
          <w:p>
            <w:pPr>
              <w:jc w:val="right"/>
              <w:ind w:right="320"/>
              <w:spacing w:after="0" w:line="150" w:lineRule="exact"/>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420" w:type="dxa"/>
            <w:vAlign w:val="bottom"/>
            <w:vMerge w:val="restart"/>
          </w:tcPr>
          <w:p>
            <w:pPr>
              <w:jc w:val="right"/>
              <w:ind w:right="3832"/>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Asset Management net revenue in the three month period ended March 31, 2009 declined $64 million, or 38%, as compared to the corresponding period in</w:t>
      </w:r>
    </w:p>
    <w:p>
      <w:pPr>
        <w:spacing w:after="0" w:line="3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2008. Management fees for the 2009 period decreased $65 million, or 41%, as compared to the 2008 period driven by a 38% decrease in average AUM due largely to the declining equity markets as well as the impact of a change in the mix of investment products and levels of management fees on certain products. Incentive fees were $5 million in the 2009 period, all of which are attributed to traditional long-only investment strategies. There were no incentive fees in the first quarter of 2008. Other income decreased $4 million, or 63%, as compared to 2008, principally as a result of lower interest income.</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Operating expenses for the 2009 period decreased by $24 million, or 21%, as compared to the 2008 period, due to decreased compensation related to lower headcount, and declines in business development expenses for travel and market related data and support group charges.</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Asset Management had operating income of $11 million for the three month period ended March 31, 2009, a decline of $39 million, or 78%, as compared the 2008 period. Excluding the impact of LAM GP-related loss, operating income in the 2009 period was $12 million, or 12% of segment net revenue excluding such item, as compared to $54 million, or 32%, for the corresponding period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920" w:type="dxa"/>
            <w:vAlign w:val="bottom"/>
            <w:gridSpan w:val="2"/>
          </w:tcPr>
          <w:p>
            <w:pPr>
              <w:jc w:val="right"/>
              <w:ind w:right="235"/>
              <w:spacing w:after="0" w:line="155"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(26,587)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(20,823)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4,718</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(16,105)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Operating Expenses (including restructuring expense of $62,550 in the 2009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71,103</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(69,869)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Limited Managing Directors</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Other Employees: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Business segment professionals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headcount related to support functions.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2009 versus March 31, 2008</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interest expense in the three month period ended March 31, 2009 decreased $2 million, or 8%, as compared to the corresponding period in 2008. Lower interest income in the 2009 period of $10 million was due to lower average cash balances and a lower interest rate environment. Average cash decreased as a result of the share repurchases of Lazard Ltd’s Class A common stock (“Class A common stock”) as well as the repurchase of a portion of the Company’s outstanding 6.85% and 7.125% senior notes. Interest expense in the 2009 period decreased $12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lower interest paid on LFB’s customer deposits.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Other revenue in the 2009 period increased by $51 million as compared to the prior year period. Other income in the 2008 period was negatively impacted by aggregate investment related losses of $57 million in our bank’s corporate debt portfolio (redesignated as available-for-sale effective July 1, 2008), and the Company’s net investment in corporate equities to seed Asset Management products. With respect to the latter, during the 2009 period, the Company had in place a hedging strategy to minimize its risks associated with volatility in the equity markets.</w:t>
      </w:r>
    </w:p>
    <w:p>
      <w:pPr>
        <w:spacing w:after="0" w:line="99" w:lineRule="exact"/>
        <w:rPr>
          <w:sz w:val="20"/>
          <w:szCs w:val="20"/>
          <w:color w:val="auto"/>
        </w:rPr>
      </w:pPr>
    </w:p>
    <w:p>
      <w:pPr>
        <w:ind w:right="100" w:firstLine="456"/>
        <w:spacing w:after="0" w:line="375" w:lineRule="auto"/>
        <w:rPr>
          <w:sz w:val="20"/>
          <w:szCs w:val="20"/>
          <w:color w:val="auto"/>
        </w:rPr>
      </w:pPr>
      <w:r>
        <w:rPr>
          <w:rFonts w:ascii="Arial" w:cs="Arial" w:eastAsia="Arial" w:hAnsi="Arial"/>
          <w:sz w:val="18"/>
          <w:szCs w:val="18"/>
          <w:color w:val="auto"/>
        </w:rPr>
        <w:t xml:space="preserve">Operating expenses for the 2009 period increased by $70 million, compared to the 2008 period principally due to the restructuring expense of $63 million. </w:t>
      </w:r>
      <w:r>
        <w:rPr>
          <w:rFonts w:ascii="Arial" w:cs="Arial" w:eastAsia="Arial" w:hAnsi="Arial"/>
          <w:sz w:val="18"/>
          <w:szCs w:val="18"/>
          <w:b w:val="1"/>
          <w:bCs w:val="1"/>
          <w:color w:val="auto"/>
        </w:rPr>
        <w:t>Cash Flows</w:t>
      </w:r>
    </w:p>
    <w:p>
      <w:pPr>
        <w:spacing w:after="0" w:line="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374"/>
              <w:spacing w:after="0" w:line="155" w:lineRule="exact"/>
              <w:rPr>
                <w:sz w:val="20"/>
                <w:szCs w:val="20"/>
                <w:color w:val="auto"/>
              </w:rPr>
            </w:pPr>
            <w:r>
              <w:rPr>
                <w:rFonts w:ascii="Arial" w:cs="Arial" w:eastAsia="Arial" w:hAnsi="Arial"/>
                <w:sz w:val="14"/>
                <w:szCs w:val="14"/>
                <w:b w:val="1"/>
                <w:bCs w:val="1"/>
                <w:color w:val="auto"/>
                <w:w w:val="86"/>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5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62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  (86.6)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Noncash charges (a)</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880"/>
              <w:spacing w:after="0"/>
              <w:rPr>
                <w:sz w:val="20"/>
                <w:szCs w:val="20"/>
                <w:color w:val="auto"/>
              </w:rPr>
            </w:pPr>
            <w:r>
              <w:rPr>
                <w:rFonts w:ascii="Arial" w:cs="Arial" w:eastAsia="Arial" w:hAnsi="Arial"/>
                <w:sz w:val="18"/>
                <w:szCs w:val="18"/>
                <w:color w:val="auto"/>
              </w:rPr>
              <w:t>Net cash used by operating activities</w:t>
            </w: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8"/>
        </w:trPr>
        <w:tc>
          <w:tcPr>
            <w:tcW w:w="4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Financing activities (d)</w:t>
            </w:r>
          </w:p>
        </w:tc>
        <w:tc>
          <w:tcPr>
            <w:tcW w:w="6200" w:type="dxa"/>
            <w:vAlign w:val="bottom"/>
            <w:gridSpan w:val="3"/>
          </w:tcPr>
          <w:p>
            <w:pPr>
              <w:jc w:val="right"/>
              <w:ind w:right="372"/>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5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5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5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120" w:type="dxa"/>
            <w:vAlign w:val="bottom"/>
            <w:vMerge w:val="restart"/>
          </w:tcPr>
          <w:p>
            <w:pPr>
              <w:jc w:val="right"/>
              <w:ind w:right="3772"/>
              <w:spacing w:after="0"/>
              <w:rPr>
                <w:sz w:val="20"/>
                <w:szCs w:val="20"/>
                <w:color w:val="auto"/>
              </w:rPr>
            </w:pPr>
            <w:r>
              <w:rPr>
                <w:rFonts w:ascii="Arial" w:cs="Arial" w:eastAsia="Arial" w:hAnsi="Arial"/>
                <w:sz w:val="18"/>
                <w:szCs w:val="18"/>
                <w:color w:val="auto"/>
              </w:rPr>
              <w:t>51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(a)   Consists of the following:</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9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 and intangibles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91.6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97.3</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0" w:hanging="452"/>
        <w:spacing w:after="0" w:line="25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relating to increases and decreases between periods in both the “deposits and other payables” and “receivables-net” captions on the Statements of Cash Flows and relate primarily to activities of LFB. Included within the “receivables-net” caption on the Statements of Cash Flows are amounts related to LFB’s short-term inter-bank deposits, which represent substantially all of the separately identified amount recorded as “receivables—net: banks” on the Company’s Statements of Financial Condition. The level of these inter-bank deposits is primarily driven by the level of LFB customer-related interest-bearing time and demand deposits and short-term inter-bank deposits held at LFB, which can fluctuate significantly on a daily basis. As the amount of deposits change, there is generally a corresponding, but indirect, impact on the level of short-term inter-bank deposits.</w:t>
      </w:r>
    </w:p>
    <w:p>
      <w:pPr>
        <w:spacing w:after="0" w:line="3" w:lineRule="exact"/>
        <w:rPr>
          <w:rFonts w:ascii="Arial" w:cs="Arial" w:eastAsia="Arial" w:hAnsi="Arial"/>
          <w:sz w:val="18"/>
          <w:szCs w:val="18"/>
          <w:color w:val="auto"/>
        </w:rPr>
      </w:pPr>
    </w:p>
    <w:p>
      <w:pPr>
        <w:ind w:left="460" w:hanging="452"/>
        <w:spacing w:after="0" w:line="30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Principally relates to the acquisition of our equity method investment in Sapphire Industrials Corp. (“Sapphire”) (see Note 9 of Notes to Condensed Consolidated Financial Statements), purchases of “available-for-sale” securities by LFB and our equity method investment in Merchant Bankers Asociados.</w:t>
      </w:r>
    </w:p>
    <w:p>
      <w:pPr>
        <w:ind w:left="460" w:right="2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includes distributions to noncontrolling interest holders, Class A common stock dividends, repurchases of common membership interests from LAZ-MD Holdings and shares of Class A common stock and activity related to borrowings, including, as well as the repurchase of a portion of the Company’s outstanding senior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In addition, a portion of the February 2009 incentive compensation awards contains a deferred cash component, which is payable over the four-year period ending February 2013, subject to the employee meeting applicable vesting requirements, with a significant payment due to be made in November 2009. See Notes 10 and 11 of Notes to Condensed Consolidated Financial Statements.</w:t>
      </w:r>
    </w:p>
    <w:p>
      <w:pPr>
        <w:spacing w:after="0" w:line="10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93"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2009, Lazard had $877 million of cash and liquid securities, including $51 million of temporary seed investments in marketable equity securities and public and private asset management funds.</w:t>
      </w:r>
    </w:p>
    <w:p>
      <w:pPr>
        <w:spacing w:after="0" w:line="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We maintain lines of credit in excess of anticipated liquidity requirements. As of March 31, 2009, Lazard had approximately $212 million in unused lines of credit available to it, including a $150 million senior revolving credit facility with a group of lenders that expires in May, 2010 (the “Credit Facility”) and $41 million of unused lines of credit available to LFB. In addition, LFB has access to the liquidity facilities of the Banque de France.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March 31, 2009 and December 31, 2008.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5"/>
          </w:tcPr>
          <w:p>
            <w:pPr>
              <w:ind w:left="520"/>
              <w:spacing w:after="0" w:line="155"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7.125%(a)</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538.5</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538.5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(0.9)</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3.25%(b)</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1,236.9</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1,237.8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86"/>
              </w:rPr>
              <w:t>(0.9)</w:t>
            </w: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first quarter of 2009, the Company repurchased $0.9 million principal amount of its 6.85% senior notes due in 2017, and recognized an aggregate gain of $0.3 million in “revenue – other”.</w:t>
      </w:r>
    </w:p>
    <w:p>
      <w:pPr>
        <w:jc w:val="both"/>
        <w:ind w:left="460" w:right="20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Convertible into shares of Class A common stock at an effective conversion price of $57 per share. One third in principal amount became convertible on and after July 1, 2008, and an additional one third in principal amount will be convertible on and after July 1, 2009 and on and after July 1, 2010, with no principal amounts convertible after June 30, 2011.</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described above as needed, should be sufficient for us to fund our current obligations for the next 12 months and beyond.</w:t>
      </w:r>
    </w:p>
    <w:p>
      <w:pPr>
        <w:spacing w:after="0" w:line="12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period ending on the last day of any fiscal quarter to be less than 3.00 to 1.00. For the 12-month period ended March 31, 2009, Lazard Group was in compliance with such ratios, with its Consolidated Leverage Ratio being 1.99 to 1.00 and its Consolidated Interest Coverage Ratio being 9.97 to 1.00. Notwithstanding such compliance, no amounts were outstanding under the Credit Facility as of March 31, 2009.</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2009,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right="1360" w:firstLine="456"/>
        <w:spacing w:after="0" w:line="375" w:lineRule="auto"/>
        <w:rPr>
          <w:sz w:val="20"/>
          <w:szCs w:val="20"/>
          <w:color w:val="auto"/>
        </w:rPr>
      </w:pPr>
      <w:r>
        <w:rPr>
          <w:rFonts w:ascii="Arial" w:cs="Arial" w:eastAsia="Arial" w:hAnsi="Arial"/>
          <w:sz w:val="18"/>
          <w:szCs w:val="18"/>
          <w:color w:val="auto"/>
        </w:rPr>
        <w:t xml:space="preserve">See Note 8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March 31, 2009, total stockholders’ equity was $246 million as compared to $312 million at December 31, 2008, including $15 million and $61 million of noncontrolling interests at the respective dates. The decrease in stockholders’ equity of $66 million in the three month period ended March 31, 2009 was principally due to a net loss of $87 million, reductions in AOCI (including noncontrolling interests’ portion thereof) of $29 million, distributions to noncontrolling interests of $35 million and purchases of Class A common stock of $6 million, partially offset by the current period amortization of RSUs and deferred stock units amounting to $89 million. The reductions in AOCI described above are due primarily to (i) net negative foreign currency translation adjustments of $20 million and (ii) net markdowns of $9 million related to securities designated as “available-for-sale”.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first quarter of 2009, the Company repurchased 267,419 shares of Class A common stock for an aggregate cost of approximately $6 million, resulting in its remaining share repurchase authorization at March 31, 2009 being approximately $121 million (see Note 10 of Notes to Condensed Consolidated Financial Statements for information regarding the share repurchase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1-3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3-5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1,842,082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161,610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1,438,057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$42,906 of sublease income) (b)</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426,726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Deferred cash incentive compensation, including interest (d)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161,094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77,269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2,573,021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221,085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442,576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1,648,606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 8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9, 12 and 14 of Notes to Condensed Consolidated Financial Statements regarding information in connection with commitments, employee benefit plans and Lazard’s uncertain tax positions.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accounting principles generally accepted in the United States of America.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earns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March 31, 2009 and December 31, 2008, the Company had approximately $11 million and $18 million, respectively, of receivables past due, and its allowance for doubtful accounts was $11 million and $16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Company in making this assessment. If actual results differ from these estimates or Lazard adjusts these estimates in future periods, Lazard may need to adjust its valuation allowance, which could materially impact Lazard’s condensed consolidated financial position and results of operations.</w:t>
      </w:r>
    </w:p>
    <w:p>
      <w:pPr>
        <w:spacing w:after="0" w:line="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January 1, 2007, the Company adopted Financial Accounting Standards Board (“FASB”) Interpretation No.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(“FIN No. 48”) which clarifies the more likely than not criteria included in FASB Statement No.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that must be met</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recognition of the financial statement benefit of a tax position taken or expected to be taken in a tax return. FIN No. 48 also requires the recognition of a liability for differences between tax positions taken in a tax return and amounts recognized in the financial statements. Management applies the more likely than not criteria included in FIN No. 48 when estimating its income taxes in each of the jurisdictions in which it operates.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fair value on the condensed consolidated statements of financial condition, with any increases or decreases in fair value reflected (i) in earnings, to the extent held by our broker-dealer subsidiaries or when designated as “trading” securities under SFAS No. 115, within our non broker-dealer subsidiaries, and (ii) in AOCI, to the extent designated as “available-for-sale” securities under SFAS No. 115 until such time they are realized and reclassified to earnings. Any declines in the fair value of “available-for-sale” securities that are determined to be other than temporary are charged to earnings. As described in Note 6 of Notes to Consolidated Financial Statements in our Form 10-K, effective July 1, 2008, as permitted under SFAS No. 115, certain debt securities held by LFB, which were previously designated as “trading” securities, were re-designated as “available-for-sale” securities.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March 31, 2009, $380 million, or 79%, of the $481 million of investments (excluding equity method investments and net of securities sold not yet purchased of $2 million) represented (i) investments in debt securities typically held long-term by LFB as part of its asset-liability management program and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 These investment portfolios are monitored daily by management.</w:t>
      </w:r>
    </w:p>
    <w:p>
      <w:pPr>
        <w:spacing w:after="0" w:line="102" w:lineRule="exact"/>
        <w:rPr>
          <w:sz w:val="20"/>
          <w:szCs w:val="20"/>
          <w:color w:val="auto"/>
        </w:rPr>
      </w:pPr>
    </w:p>
    <w:p>
      <w:pPr>
        <w:jc w:val="both"/>
        <w:ind w:right="260" w:firstLine="456"/>
        <w:spacing w:after="0" w:line="284" w:lineRule="auto"/>
        <w:rPr>
          <w:sz w:val="20"/>
          <w:szCs w:val="20"/>
          <w:color w:val="auto"/>
        </w:rPr>
      </w:pPr>
      <w:r>
        <w:rPr>
          <w:rFonts w:ascii="Arial" w:cs="Arial" w:eastAsia="Arial" w:hAnsi="Arial"/>
          <w:sz w:val="16"/>
          <w:szCs w:val="16"/>
          <w:color w:val="auto"/>
        </w:rPr>
        <w:t>Included in the amount above was $296 million of debt securities (representing approximately 78% of investments subject to market risk) that primarily consist of fixed and floating rate European corporate bonds and French government debt securities. At March 31, 2009, of the $296 million of debt securities, 35%, 28%, 15%, 11% and 11% of such debt securities were invested in the financial, industrial, consumer, government and other sectors, respectively.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Approximately 92% of the corporate bonds held investment grade ratings at March 31, 2009. At March 31, 2009, there was approximately $77 million of pre-tax unrealized losses included in AOCI related to our bank’s investments in corporate bonds.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At March 31, 2009, of the $51 million in equities, 49% represents the Company’s investment in marketable equity securities, of which 17%, 30%, 8%, 7% and 38% were invested in the financial, consumer, industrial, communications and other sectors, respectively. Asset management fund investments represent the remaining 51%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jc w:val="both"/>
        <w:ind w:right="120" w:firstLine="456"/>
        <w:spacing w:after="0" w:line="283" w:lineRule="auto"/>
        <w:rPr>
          <w:sz w:val="20"/>
          <w:szCs w:val="20"/>
          <w:color w:val="auto"/>
        </w:rPr>
      </w:pPr>
      <w:r>
        <w:rPr>
          <w:rFonts w:ascii="Arial" w:cs="Arial" w:eastAsia="Arial" w:hAnsi="Arial"/>
          <w:sz w:val="16"/>
          <w:szCs w:val="16"/>
          <w:color w:val="auto"/>
        </w:rPr>
        <w:t>The remaining 21% of the $481 million of investments at March 31, 2009 represent private equity investments that are generally not subject to short-term market fluctuations and interests in LAM alternative asset management funds principally representing GP interests in LAM-managed hedge funds which do not subject Lazard to market or credit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Approximately $14 million at March 31, 2009 of the GP interests represent interests held directly by certain of our LAM managing directors or employees of the Company, and, as such, are deemed to be controlled by, and therefore consolidated by, the Company. Pursuant to SFAS No. 160, </w:t>
      </w:r>
      <w:r>
        <w:rPr>
          <w:rFonts w:ascii="Arial" w:cs="Arial" w:eastAsia="Arial" w:hAnsi="Arial"/>
          <w:sz w:val="18"/>
          <w:szCs w:val="18"/>
          <w:i w:val="1"/>
          <w:iCs w:val="1"/>
          <w:color w:val="auto"/>
        </w:rPr>
        <w:t>“Noncontrolling Interests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Statements—an amendment of ARB No. 51” </w:t>
      </w:r>
      <w:r>
        <w:rPr>
          <w:rFonts w:ascii="Arial" w:cs="Arial" w:eastAsia="Arial" w:hAnsi="Arial"/>
          <w:sz w:val="18"/>
          <w:szCs w:val="18"/>
          <w:color w:val="auto"/>
        </w:rPr>
        <w:t>(“SFAS No. 160”), the applicable noncontrolling interests are presented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equity” on the condensed consolidated statements of financial condition.</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Equity investments represent approximately 3.6% of total assets at March 31, 2009 and are comprised of investments in private equity funds and direct private equity interests. Private equity investments primarily include (i) a mezzanine fund, which invests in small- and mid-cap buy-out funds and small-and mid-cap European companies; (ii) Corporate Partners II Limited,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29"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At December 31, 2008, $433 million, or 81%, of the approximate $537 million of investments (excluding equity method investments and net of securities sold, not yet purchased of $7 million) represented (i) investments in debt securities held by LFB,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Included in the amount above was $333 million of debt securities (representing approximately 77% of investments subject to market risk) that primarily consist of fixed and floating rate European corporate bonds and French government debt securities. At December 31, 2008, of the $333 million of debt securities, 37%, 26%, 15%, 11% and 11% of such debt securities were invested in the financial, industrial, consumer, government and other sectors, respectively. Approximately 92% of the corporate bonds held investment grade ratings at December 31, 2008. At December 31, 2008, there was approximately $62 million of pre-tax unrealized losses included in AOCI related to our bank’s investments in corporate bonds.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2008, of the $71 million in equities, 53% represents the Company’s investment in marketable equity securities, of which 32%, 24%, 10%, 7% and 27% were invested in the consumer, financial, industrial, communications and other sectors, respectively. Asset management fund investments represent the remaining 47%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remaining 19% of the investments at December 31, 2008 represent private equity investments and interests in LAM alternative asset management funds as discussed above. Approximately $21 million at December 31, 2008 of the GP interests represents interests held directly by certain of our LAM managing directors or employees of the Company. Private Equity investments represent approximately 2.9% of total assets at December 31, 2008 and were comprised of investments in private equity funds and direct private equity interests as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Investments in debt, equities and other investments, including equity method investments, at March 31, 2009 and December 31, 2008 aggregated $559 million and $620 million, respectively. The decrease of $61 million in the 2009 period includes net investment losses of $14 million, which is reflected in AOCI. The remaining decrease primarily relates to net sales of debt and equity securities and foreign currency translation adjustments, partially offset by an increase in our equity method investments.</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On January 1, 2008, the Company adopted the required provisions of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among other things, defines fair value, establishes a framework for measuring fair value and enhances disclosure requirements about fair value measurements with respect to its financial assets and financial liabilities. Pursuant to SFAS No. 157,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w:t>
      </w:r>
    </w:p>
    <w:p>
      <w:pPr>
        <w:spacing w:after="0" w:line="12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See Note 4 of Notes to Condensed Consolidated Financial Statements for additional information regarding investments and certain other assets and liabilities measured at fair value, including the levels of fair value within which such measurements of fair value fall, pursuant to the disclosure requirements of SFAS No. 157.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7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0" w:lineRule="exact"/>
        <w:rPr>
          <w:sz w:val="20"/>
          <w:szCs w:val="20"/>
          <w:color w:val="auto"/>
        </w:rPr>
      </w:pPr>
    </w:p>
    <w:p>
      <w:pPr>
        <w:ind w:left="1260" w:hanging="455"/>
        <w:spacing w:after="0" w:line="258"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Voting Interest Entities. </w:t>
      </w:r>
      <w:r>
        <w:rPr>
          <w:rFonts w:ascii="Arial" w:cs="Arial" w:eastAsia="Arial" w:hAnsi="Arial"/>
          <w:sz w:val="18"/>
          <w:szCs w:val="18"/>
          <w:color w:val="auto"/>
        </w:rPr>
        <w:t>Voting interest entities are entities in which (i) the total equity investment at risk is sufficient to enable the entity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1" w:lineRule="exact"/>
        <w:rPr>
          <w:rFonts w:ascii="Arial" w:cs="Arial" w:eastAsia="Arial" w:hAnsi="Arial"/>
          <w:sz w:val="18"/>
          <w:szCs w:val="18"/>
          <w:color w:val="auto"/>
        </w:rPr>
      </w:pPr>
    </w:p>
    <w:p>
      <w:pPr>
        <w:ind w:left="1260" w:right="220" w:hanging="455"/>
        <w:spacing w:after="0" w:line="262"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VIEs are entities that lack one or more of the characteristics of a voting interest entity. If Lazard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a combination of variable interests, in a VIE and it will absorb a majority of the VIE’s expected losses, receive a majority of the VIE’s expected residual returns, or both, it is required to consolidate such VIE.</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FASB Interpretation No.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w:t>
      </w:r>
    </w:p>
    <w:p>
      <w:pPr>
        <w:spacing w:after="0" w:line="118"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Lazard enters into interest rate swaps and foreign currency exchange contracts to hedge exposures to interest rates and currency exchange rates and, beginning in the second quarter of 2008, uses equity swap contracts to hedge a portion of its market exposure with respect to certain equity investments.</w:t>
      </w:r>
    </w:p>
    <w:p>
      <w:pPr>
        <w:spacing w:after="0" w:line="4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March 31, 2009 and December 31, 2008, derivative contracts related primarily to interest rate swaps and equity and foreign currency exchange rate contracts and are recorded at fair value. Derivative assets amounted to $3 million and $5 million at March 31, 2009 and December 31, 2008, respectively, with derivative liabilities amounting to $30 million and $44 million, at such respective dates. The decrease in derivative liabilities at March 31, 2009 as compared to December 31, 2008 related to the Company’s equity and foreign currency exchange contracts, partially offset by an increase in amounts pertaining to interest rate hedging activities.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(loss) for the three month period ended March 31, 2009:</w:t>
      </w:r>
    </w:p>
    <w:p>
      <w:pPr>
        <w:spacing w:after="0" w:line="18"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$(13) million and $14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approximately $40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$8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2009, total receivables amounted to $399 million, net of an allowance for bad debts of $11 million. As of that date, inter-bank deposits, financial advisory and asset management fee, customer and related party receivables comprised 4%, 72%, 22% and 2% of total receivables, respectively. At December 31, 2008, total receivables amounted to $713 million, net of an allowance for bad debts of $16 million. As of that date, inter-bank deposits, financial advisory and asset management fee, customer and related party receivables comprised 32%, 55%, 12% and 1%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Receivables from banks represent those related to LFB’s short-term inter-bank deposits. The level of these inter-bank deposits is primarily driven by the level of LFB customer-related interest-bearing time and demand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deposits and short-term inter-bank deposits from banks held at LFB, which can fluctuate significantly on a daily basis. As the amount of deposits held at LFB changes, there is generally a corresponding, but indirect, impact on the level of short-term inter-bank deposits with banks. While historically the risk of loss associated with such inter-bank deposits was extremely low, with the unprecedented disruption and volatility in the financial markets beginning during 2008, a number of financial institutions have disclosed liquidity and credit quality issues. LFB executes such deposit agreements with leading French financial institutions and the Company closely monitors the creditworthiness of such counterparties to minimize its exposure to loss in such market conditions. Based on its review of its receivables from banks at March 31, 2009 and December 31, 2008, LFB has determined that an allowance for doubtful accounts related to such receivables from banks was not required.</w:t>
      </w:r>
    </w:p>
    <w:p>
      <w:pPr>
        <w:spacing w:after="0" w:line="13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Customers and other receivables at March 31, 2009 and December 31, 2008 include a $11.3 million and $16.4 million receivable, respectively, pertaining to a receivable from the Reserve 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March 31, 2009, the Company had recovered partial distributions from the Primary Fund aggregating $66.4 million of its $77.7 million investments in the Primary Fund as of September 15, 2008, and, in April 2009, the Company received additional payments from the Primary Fund aggregating approximately $3.5 million.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2009, LFB had no exposure to an individual counterparty that exceeded $32 million, in the aggregate, excluding deposits with inter-bank counterparties.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respect to activities outside LFB, as of March 31, 2009, the Company’s largest individual counterparty exposure was a Financial Advisory-related fee receivable of $9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March 31, 2009, Lazard estimates that operating income (loss) relating to cash and short-term investments and corporate indebtedness would change by approximately $8 million, on an annual basis, in the event interest rates were to increase or decrease by 1%.</w:t>
      </w:r>
    </w:p>
    <w:p>
      <w:pPr>
        <w:spacing w:after="0" w:line="9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As of March 31, 2009, the Company’s cash and cash equivalents totaled $827 million. Approximately 30%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1, 2009, the Company adopted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the provisions of which are applicable on a prospective basis. SFAS No. 141(R) replaces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and supersedes or amends other related authoritative literature although it retains the fundamental requirements in SFAS No. 141 that the acquisition method of accounting (which SFAS No. 141 called the </w:t>
      </w:r>
      <w:r>
        <w:rPr>
          <w:rFonts w:ascii="Arial" w:cs="Arial" w:eastAsia="Arial" w:hAnsi="Arial"/>
          <w:sz w:val="16"/>
          <w:szCs w:val="16"/>
          <w:i w:val="1"/>
          <w:iCs w:val="1"/>
          <w:color w:val="auto"/>
        </w:rPr>
        <w:t>purchase method</w:t>
      </w:r>
      <w:r>
        <w:rPr>
          <w:rFonts w:ascii="Arial" w:cs="Arial" w:eastAsia="Arial" w:hAnsi="Arial"/>
          <w:sz w:val="16"/>
          <w:szCs w:val="16"/>
          <w:color w:val="auto"/>
        </w:rPr>
        <w:t>) be used for all business combinations and for an acquirer to be identified for each business combination. SFAS No. 141(R)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SFAS No. 141(R) also requires the acquirer to expense, as incurred, costs relating to any acquisitions. The adoption of SFAS No. 141(R) on January 1, 2009 did not have any impact on the Company’s consolidated financial statements but may have an impact in the future to the extent the Company enters into a business combination.</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1, 2008, the Company adopted, on a prospective basis, the required provisions of SFAS No. 157, which, among other things, defined fair value, established a framework for measuring fair value and enhanced disclosure requirements about fair value measurements with respect to its financial assets and financial liabilities. On January 1, 2009, the Company adopted the remaining provisions of SFAS No. 157, as permitted by FASB Staff Position (“FSP”) Financial Accounting Standard (“FAS”)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(“FSP 157-2”), which delayed the effective date of SFAS No. 157 for all nonfinancial assets and nonfinancial liabilities, except those that are recognized or disclosed at fair value in the financial statements on a recurring basis (at least annually). These nonfinancial items include, for example, reporting units required to be measured at fair value for annual goodwill impairment testing purposes and nonfinancial assets acquired and liabilities assumed in a business combination. Neither the partial adoption of the required provisions of SFAS No. 157 on January 1, 2008, nor the adoption of the remaining provisions of SFAS No. 157 on January 1, 2009, as permitted by FSP 157-2, had a material impact on the Company’s consolidated financial statements.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1, 2009, the Company adopted SFAS No. 160, the presentation and disclosure requirements of which were required to be applied retrospectively. SFAS No. 160 amends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establish accounting and reporting standards for the noncontrolling (minority) interest in a subsidiary and for the deconsolidation of a subsidiary. It clarifies that a noncontrolling interest in a subsidiary is an ownership interest in the consolidated entity that should be reported as equity in the consolidated financial statements. In addition, it also changes the way the consolidated income statement is presented by requiring consolidated net income to include amounts attributable to both the parent and the noncontrolling interest with separate disclosure of each component on the face of the consolidated income statement. It does not, however, impact the calculation of net income per share, as such calculation will continue to be based on amounts attributable to the parent.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January 1, 2009, the Company adopted SFAS No. 161, “</w:t>
      </w:r>
      <w:r>
        <w:rPr>
          <w:rFonts w:ascii="Arial" w:cs="Arial" w:eastAsia="Arial" w:hAnsi="Arial"/>
          <w:sz w:val="16"/>
          <w:szCs w:val="16"/>
          <w:i w:val="1"/>
          <w:iCs w:val="1"/>
          <w:color w:val="auto"/>
        </w:rPr>
        <w:t>Disclosures about Derivative Instruments and Hedging Activities—an amendment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No. 161”), on a prospective basis. SFAS No. 161 amends SFAS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(“SFAS No. 133”), to enhance the current disclosure framework in SFAS No. 133 for derivative instruments and hedging activities, including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See Note 4 of Notes to Condensed Consolidated Financial Statements for the additional disclosures provided pursuant to SFAS No. 161. The adoption of SFAS No. 161 did not materially impact the Company’s consolidated financial statements.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(“FSP 132(R)-1”), which amends SFAS No. 132 (revised 2003), “</w:t>
      </w:r>
      <w:r>
        <w:rPr>
          <w:rFonts w:ascii="Arial" w:cs="Arial" w:eastAsia="Arial" w:hAnsi="Arial"/>
          <w:sz w:val="16"/>
          <w:szCs w:val="16"/>
          <w:i w:val="1"/>
          <w:iCs w:val="1"/>
          <w:color w:val="auto"/>
        </w:rPr>
        <w:t>Employers’ Disclosures about Pensions and Other Postretirement Benefits—an amendment of FASB Statements No. 87,</w:t>
      </w:r>
      <w:r>
        <w:rPr>
          <w:rFonts w:ascii="Arial" w:cs="Arial" w:eastAsia="Arial" w:hAnsi="Arial"/>
          <w:sz w:val="16"/>
          <w:szCs w:val="16"/>
          <w:color w:val="auto"/>
        </w:rPr>
        <w:t xml:space="preserve"> </w:t>
      </w:r>
      <w:r>
        <w:rPr>
          <w:rFonts w:ascii="Arial" w:cs="Arial" w:eastAsia="Arial" w:hAnsi="Arial"/>
          <w:sz w:val="16"/>
          <w:szCs w:val="16"/>
          <w:i w:val="1"/>
          <w:iCs w:val="1"/>
          <w:color w:val="auto"/>
        </w:rPr>
        <w:t>88, and 106</w:t>
      </w:r>
      <w:r>
        <w:rPr>
          <w:rFonts w:ascii="Arial" w:cs="Arial" w:eastAsia="Arial" w:hAnsi="Arial"/>
          <w:sz w:val="16"/>
          <w:szCs w:val="16"/>
          <w:color w:val="auto"/>
        </w:rPr>
        <w:t>”, to require more detailed disclosures about an employer’s plan assets, including an employer’s investment strategies, major categories of plan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concentrations of risk within plan assets and valuation techniques used to measure the fair value of plan assets. The disclosures about plan assets required by FSP 132(R)-1 are required to be provided for fiscal years ending after December 15, 2009. Upon initial application, the provisions of FSP 132(R)-1 are not required for earlier periods that are presented for comparative purposes. Earlier application of the provisions of FSP 132(R)-1 is permitted. The adoption of FSP 132(R)-1 in 2009 will not materially impact the Company’s consolidated financial statements.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 2009, the FASB issued FSP FAS 141(R)-1, “</w:t>
      </w:r>
      <w:r>
        <w:rPr>
          <w:rFonts w:ascii="Arial" w:cs="Arial" w:eastAsia="Arial" w:hAnsi="Arial"/>
          <w:sz w:val="16"/>
          <w:szCs w:val="16"/>
          <w:i w:val="1"/>
          <w:iCs w:val="1"/>
          <w:color w:val="auto"/>
        </w:rPr>
        <w:t>Accounting for Assets Acquired and Liabilities Assumed in a Business Combination That Arise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Contingencies</w:t>
      </w:r>
      <w:r>
        <w:rPr>
          <w:rFonts w:ascii="Arial" w:cs="Arial" w:eastAsia="Arial" w:hAnsi="Arial"/>
          <w:sz w:val="16"/>
          <w:szCs w:val="16"/>
          <w:color w:val="auto"/>
        </w:rPr>
        <w:t>” (FSP 141(R)-1”), which amends and clarifies SFAS No. 141(R), to amend the initial recognition and measurement, subsequent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accounting, and disclosure of assets and liabilities arising from contingencies in a business combination. FSP 141(R)-1 is effective for assets or liabilities arising from contingencies in business combinations for which the acquisition date is on or after the beginning of the first annual reporting period beginning on or after December 15, 2008. The adoption of FSP 141(R)-1 did not impact the Company’s consolidated financial statements but may have an impact in the future to the extent the Company enters into a business combination.</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April 2009, the FASB issued several FSPs intended to provide additional application guidance and enhance disclosures regarding fair value measurements and impairments of debt securities. FSP FAS 157-4, “</w:t>
      </w:r>
      <w:r>
        <w:rPr>
          <w:rFonts w:ascii="Arial" w:cs="Arial" w:eastAsia="Arial" w:hAnsi="Arial"/>
          <w:sz w:val="18"/>
          <w:szCs w:val="18"/>
          <w:i w:val="1"/>
          <w:iCs w:val="1"/>
          <w:color w:val="auto"/>
        </w:rPr>
        <w:t>Determining Fair Value When the Volume and Level of Activity for the Asset or 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Have Significantly Decreased and Identifying Transactions That Are Not Orderly”</w:t>
      </w:r>
      <w:r>
        <w:rPr>
          <w:rFonts w:ascii="Arial" w:cs="Arial" w:eastAsia="Arial" w:hAnsi="Arial"/>
          <w:sz w:val="18"/>
          <w:szCs w:val="18"/>
          <w:color w:val="auto"/>
        </w:rPr>
        <w:t>, provides additional guidance to determining fair values when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 or when observable transactions or quoted prices represent distressed sales, and reaffirms that the objective of fair value measurement is to reflect the price at which an asset or liability would be sold or transferred in an orderly transaction (as opposed to a distressed or forced transaction) at market conditions prevailing at the date of the financial statements.</w:t>
      </w:r>
    </w:p>
    <w:p>
      <w:pPr>
        <w:spacing w:after="0" w:line="13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FSP FAS 107-1 and FSP APB 28-1, “</w:t>
      </w:r>
      <w:r>
        <w:rPr>
          <w:rFonts w:ascii="Arial" w:cs="Arial" w:eastAsia="Arial" w:hAnsi="Arial"/>
          <w:sz w:val="15"/>
          <w:szCs w:val="15"/>
          <w:i w:val="1"/>
          <w:iCs w:val="1"/>
          <w:color w:val="auto"/>
        </w:rPr>
        <w:t>Interim Disclosures about Fair Value of Financial Instruments”</w:t>
      </w:r>
      <w:r>
        <w:rPr>
          <w:rFonts w:ascii="Arial" w:cs="Arial" w:eastAsia="Arial" w:hAnsi="Arial"/>
          <w:sz w:val="15"/>
          <w:szCs w:val="15"/>
          <w:color w:val="auto"/>
        </w:rPr>
        <w:t xml:space="preserve"> (“FSP 107-1” and “FSP APB 28-1”, respectively), relate to fair value disclosures for any financial instruments that are not currently reflected on the balance sheet of companies at fair value. Prior to issuing these FSPs, fair values for these assets and liabilities were only disclosed once a year. FSP 107-1 and FSP APB 28-1 now require these disclosures on a quarterly basis, providing qualitative and quantitative information about fair value estimates for all those financial instruments not measured on the balance sheet at fair value.</w:t>
      </w:r>
    </w:p>
    <w:p>
      <w:pPr>
        <w:spacing w:after="0" w:line="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FSP FAS 115-2 and FSP FAS 124-2, “</w:t>
      </w:r>
      <w:r>
        <w:rPr>
          <w:rFonts w:ascii="Arial" w:cs="Arial" w:eastAsia="Arial" w:hAnsi="Arial"/>
          <w:sz w:val="18"/>
          <w:szCs w:val="18"/>
          <w:i w:val="1"/>
          <w:iCs w:val="1"/>
          <w:color w:val="auto"/>
        </w:rPr>
        <w:t>Recognition and Presentation of Other-Than-Temporary Impairments”,</w:t>
      </w:r>
      <w:r>
        <w:rPr>
          <w:rFonts w:ascii="Arial" w:cs="Arial" w:eastAsia="Arial" w:hAnsi="Arial"/>
          <w:sz w:val="18"/>
          <w:szCs w:val="18"/>
          <w:color w:val="auto"/>
        </w:rPr>
        <w:t xml:space="preserve"> are intended to bring greater consistency to the timing of impairment recognition and provide greater clarity about the credit and noncredit components of debt securities whose fair value is below amortized cost and that are not expected to be sold, and also require increased disclosures regarding expected cash flows, credit losses and an aging of securities with unrealized losses.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pronouncements described in the three paragraphs above are effective for interim and annual periods ending after June 15, 2009. The Company is currently assessing the impact of these FSPs on its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Statement of Financial Accounting Standards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in Note 10 of Notes to Condensed Consolidated Financial Statements, on March 6, 2009, Lazard Ltd issued 244,968 shares of Class A common stock in reliance on Section 4(2) of the Securities Act of 1933 in connection with the exchange of 244,968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Total Number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2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Part of</w:t>
            </w:r>
          </w:p>
        </w:tc>
        <w:tc>
          <w:tcPr>
            <w:tcW w:w="22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Publicly</w:t>
            </w:r>
          </w:p>
        </w:tc>
        <w:tc>
          <w:tcPr>
            <w:tcW w:w="22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0"/>
              </w:rPr>
              <w:t>Paid per</w:t>
            </w:r>
          </w:p>
        </w:tc>
        <w:tc>
          <w:tcPr>
            <w:tcW w:w="4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Plans or</w:t>
            </w:r>
          </w:p>
        </w:tc>
        <w:tc>
          <w:tcPr>
            <w:tcW w:w="22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Programs(1)</w:t>
            </w:r>
          </w:p>
        </w:tc>
        <w:tc>
          <w:tcPr>
            <w:tcW w:w="22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or 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2009 – January 31, 2009</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4"/>
              </w:rPr>
              <w:t>$ 126.3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February 1, 2009 – February 28, 2009</w:t>
            </w: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132"/>
              <w:spacing w:after="0"/>
              <w:rPr>
                <w:sz w:val="20"/>
                <w:szCs w:val="20"/>
                <w:color w:val="auto"/>
              </w:rPr>
            </w:pPr>
            <w:r>
              <w:rPr>
                <w:rFonts w:ascii="Arial" w:cs="Arial" w:eastAsia="Arial" w:hAnsi="Arial"/>
                <w:sz w:val="18"/>
                <w:szCs w:val="18"/>
                <w:color w:val="auto"/>
                <w:w w:val="94"/>
              </w:rPr>
              <w:t>$ 126.3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2009 – March 31, 2009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267,419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267,419</w:t>
            </w:r>
          </w:p>
        </w:tc>
        <w:tc>
          <w:tcPr>
            <w:tcW w:w="13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4"/>
              </w:rPr>
              <w:t>$ 120.7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5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21.05</w:t>
            </w: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4"/>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267,419</w:t>
            </w:r>
          </w:p>
        </w:tc>
        <w:tc>
          <w:tcPr>
            <w:tcW w:w="5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267,419</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From the inception of our share repurchase program in February 2006, the Board of Directors of Lazard Ltd has authorized, on a cumulative basis, the repurchase of up to $500 million in aggregate cost of Lazard Ltd Class A common stock and Lazard Group common membership interests through December 31, 2009. The share repurchase program will be used primarily to offset a portion of the shares to be issued under Lazard Ltd’s 2005 Equity Incentive Plan and the 2008 Incentive Compensation Plan. Purchases under the share repurchase program may be made in the open market or through privately negotiated transactions.</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w w:val="91"/>
              </w:rPr>
              <w:t>Item 4.</w:t>
            </w:r>
          </w:p>
        </w:tc>
        <w:tc>
          <w:tcPr>
            <w:tcW w:w="10520" w:type="dxa"/>
            <w:vAlign w:val="bottom"/>
          </w:tcPr>
          <w:p>
            <w:pPr>
              <w:ind w:left="140"/>
              <w:spacing w:after="0"/>
              <w:rPr>
                <w:sz w:val="20"/>
                <w:szCs w:val="20"/>
                <w:color w:val="auto"/>
              </w:rPr>
            </w:pPr>
            <w:r>
              <w:rPr>
                <w:rFonts w:ascii="Arial" w:cs="Arial" w:eastAsia="Arial" w:hAnsi="Arial"/>
                <w:sz w:val="18"/>
                <w:szCs w:val="18"/>
                <w:b w:val="1"/>
                <w:bCs w:val="1"/>
                <w:color w:val="auto"/>
              </w:rPr>
              <w:t>Submission of Matters to a Vote of Security Holders</w:t>
            </w:r>
          </w:p>
        </w:tc>
      </w:tr>
      <w:tr>
        <w:trPr>
          <w:trHeight w:val="284"/>
        </w:trPr>
        <w:tc>
          <w:tcPr>
            <w:tcW w:w="900" w:type="dxa"/>
            <w:vAlign w:val="bottom"/>
          </w:tcPr>
          <w:p>
            <w:pPr>
              <w:jc w:val="right"/>
              <w:spacing w:after="0"/>
              <w:rPr>
                <w:sz w:val="20"/>
                <w:szCs w:val="20"/>
                <w:color w:val="auto"/>
              </w:rPr>
            </w:pPr>
            <w:r>
              <w:rPr>
                <w:rFonts w:ascii="Arial" w:cs="Arial" w:eastAsia="Arial" w:hAnsi="Arial"/>
                <w:sz w:val="18"/>
                <w:szCs w:val="18"/>
                <w:color w:val="auto"/>
              </w:rPr>
              <w:t>None.</w:t>
            </w:r>
          </w:p>
        </w:tc>
        <w:tc>
          <w:tcPr>
            <w:tcW w:w="10520" w:type="dxa"/>
            <w:vAlign w:val="bottom"/>
          </w:tcPr>
          <w:p>
            <w:pPr>
              <w:spacing w:after="0"/>
              <w:rPr>
                <w:sz w:val="24"/>
                <w:szCs w:val="24"/>
                <w:color w:val="auto"/>
              </w:rPr>
            </w:pPr>
          </w:p>
        </w:tc>
      </w:tr>
      <w:tr>
        <w:trPr>
          <w:trHeight w:val="365"/>
        </w:trPr>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w w:val="91"/>
              </w:rPr>
              <w:t>Item 5.</w:t>
            </w:r>
          </w:p>
        </w:tc>
        <w:tc>
          <w:tcPr>
            <w:tcW w:w="1052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r>
      <w:tr>
        <w:trPr>
          <w:trHeight w:val="284"/>
        </w:trPr>
        <w:tc>
          <w:tcPr>
            <w:tcW w:w="900" w:type="dxa"/>
            <w:vAlign w:val="bottom"/>
          </w:tcPr>
          <w:p>
            <w:pPr>
              <w:jc w:val="right"/>
              <w:spacing w:after="0"/>
              <w:rPr>
                <w:sz w:val="20"/>
                <w:szCs w:val="20"/>
                <w:color w:val="auto"/>
              </w:rPr>
            </w:pPr>
            <w:r>
              <w:rPr>
                <w:rFonts w:ascii="Arial" w:cs="Arial" w:eastAsia="Arial" w:hAnsi="Arial"/>
                <w:sz w:val="18"/>
                <w:szCs w:val="18"/>
                <w:color w:val="auto"/>
              </w:rPr>
              <w:t>None.</w:t>
            </w:r>
          </w:p>
        </w:tc>
        <w:tc>
          <w:tcPr>
            <w:tcW w:w="10520" w:type="dxa"/>
            <w:vAlign w:val="bottom"/>
          </w:tcPr>
          <w:p>
            <w:pPr>
              <w:spacing w:after="0"/>
              <w:rPr>
                <w:sz w:val="24"/>
                <w:szCs w:val="24"/>
                <w:color w:val="auto"/>
              </w:rPr>
            </w:pPr>
          </w:p>
        </w:tc>
      </w:tr>
      <w:tr>
        <w:trPr>
          <w:trHeight w:val="365"/>
        </w:trPr>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w w:val="91"/>
              </w:rPr>
              <w:t>Item 6.</w:t>
            </w:r>
          </w:p>
        </w:tc>
        <w:tc>
          <w:tcPr>
            <w:tcW w:w="1052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277"/>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2.1</w:t>
            </w:r>
          </w:p>
        </w:tc>
        <w:tc>
          <w:tcPr>
            <w:tcW w:w="10520" w:type="dxa"/>
            <w:vAlign w:val="bottom"/>
          </w:tcPr>
          <w:p>
            <w:pPr>
              <w:ind w:left="20"/>
              <w:spacing w:after="0"/>
              <w:rPr>
                <w:sz w:val="20"/>
                <w:szCs w:val="20"/>
                <w:color w:val="auto"/>
              </w:rPr>
            </w:pPr>
            <w:r>
              <w:rPr>
                <w:rFonts w:ascii="Arial" w:cs="Arial" w:eastAsia="Arial" w:hAnsi="Arial"/>
                <w:sz w:val="18"/>
                <w:szCs w:val="18"/>
                <w:color w:val="auto"/>
                <w:w w:val="92"/>
              </w:rPr>
              <w:t>Master Separation Agreement, dated as of May 10, 2005, by and among the Registrant, Lazard Group LLC, LAZ-MD Holdings LLC and LFCM</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Holdings LLC (incorporated by reference to Exhibit 2.1 to the Registrant’s Quarterly Report (File No. 001-32492) on Form 10-Q filed on June 16,</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2.2</w:t>
            </w:r>
          </w:p>
        </w:tc>
        <w:tc>
          <w:tcPr>
            <w:tcW w:w="10520" w:type="dxa"/>
            <w:vAlign w:val="bottom"/>
          </w:tcPr>
          <w:p>
            <w:pPr>
              <w:ind w:left="2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dated as of May 10, 2005, by and among the Registrant, Lazard Group LLC and LAZ-MD Holdings LLC (incorporated by reference to Exhibit 2.2</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to the Registrant’s Quarterly Report (File No. 001-32492) on Form 10-Q filed on November 7, 2006).</w:t>
            </w:r>
          </w:p>
        </w:tc>
      </w:tr>
      <w:tr>
        <w:trPr>
          <w:trHeight w:val="331"/>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2.3</w:t>
            </w:r>
          </w:p>
        </w:tc>
        <w:tc>
          <w:tcPr>
            <w:tcW w:w="10520" w:type="dxa"/>
            <w:vAlign w:val="bottom"/>
          </w:tcPr>
          <w:p>
            <w:pPr>
              <w:ind w:left="2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 Ltd,</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7"/>
              </w:rPr>
              <w:t>Lazard Group LLC and LAZ-MD Holdings LLC (incorporated by reference to Exhibit 2.1 to the Registrant’s Current Report on Form 8-K</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2.4</w:t>
            </w:r>
          </w:p>
        </w:tc>
        <w:tc>
          <w:tcPr>
            <w:tcW w:w="10520" w:type="dxa"/>
            <w:vAlign w:val="bottom"/>
          </w:tcPr>
          <w:p>
            <w:pPr>
              <w:ind w:left="2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 (File</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3.1</w:t>
            </w:r>
          </w:p>
        </w:tc>
        <w:tc>
          <w:tcPr>
            <w:tcW w:w="10520" w:type="dxa"/>
            <w:vAlign w:val="bottom"/>
          </w:tcPr>
          <w:p>
            <w:pPr>
              <w:ind w:left="20"/>
              <w:spacing w:after="0"/>
              <w:rPr>
                <w:sz w:val="20"/>
                <w:szCs w:val="20"/>
                <w:color w:val="auto"/>
              </w:rPr>
            </w:pPr>
            <w:r>
              <w:rPr>
                <w:rFonts w:ascii="Arial" w:cs="Arial" w:eastAsia="Arial" w:hAnsi="Arial"/>
                <w:sz w:val="18"/>
                <w:szCs w:val="18"/>
                <w:color w:val="auto"/>
                <w:w w:val="96"/>
              </w:rPr>
              <w:t>Certificate of Incorporation and Memorandum of Association of the Registrant (incorporated by reference to Exhibit 3.1 to the Registrant’s</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3.2</w:t>
            </w:r>
          </w:p>
        </w:tc>
        <w:tc>
          <w:tcPr>
            <w:tcW w:w="10520" w:type="dxa"/>
            <w:vAlign w:val="bottom"/>
          </w:tcPr>
          <w:p>
            <w:pPr>
              <w:ind w:left="20"/>
              <w:spacing w:after="0"/>
              <w:rPr>
                <w:sz w:val="20"/>
                <w:szCs w:val="20"/>
                <w:color w:val="auto"/>
              </w:rPr>
            </w:pPr>
            <w:r>
              <w:rPr>
                <w:rFonts w:ascii="Arial" w:cs="Arial" w:eastAsia="Arial" w:hAnsi="Arial"/>
                <w:sz w:val="18"/>
                <w:szCs w:val="18"/>
                <w:color w:val="auto"/>
                <w:w w:val="89"/>
              </w:rPr>
              <w:t>Certificate of Incorporation in Change of Name of the Registrant (incorporated by reference to Exhibit 3.2 to the Registrant’s Registration Statement</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(File No. 333-121407) on Form S-1/A filed on March 21, 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3.3</w:t>
            </w:r>
          </w:p>
        </w:tc>
        <w:tc>
          <w:tcPr>
            <w:tcW w:w="10520" w:type="dxa"/>
            <w:vAlign w:val="bottom"/>
          </w:tcPr>
          <w:p>
            <w:pPr>
              <w:ind w:left="2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001-32492)</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on Form 10-Q filed on June 16, 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3.4</w:t>
            </w:r>
          </w:p>
        </w:tc>
        <w:tc>
          <w:tcPr>
            <w:tcW w:w="10520" w:type="dxa"/>
            <w:vAlign w:val="bottom"/>
          </w:tcPr>
          <w:p>
            <w:pPr>
              <w:ind w:left="20"/>
              <w:spacing w:after="0"/>
              <w:rPr>
                <w:sz w:val="20"/>
                <w:szCs w:val="20"/>
                <w:color w:val="auto"/>
              </w:rPr>
            </w:pPr>
            <w:r>
              <w:rPr>
                <w:rFonts w:ascii="Arial" w:cs="Arial" w:eastAsia="Arial" w:hAnsi="Arial"/>
                <w:sz w:val="18"/>
                <w:szCs w:val="18"/>
                <w:color w:val="auto"/>
                <w:w w:val="90"/>
              </w:rPr>
              <w:t>First Amendment to Amended and Restated Bye-Laws of Lazard Ltd (incorporated by reference to Exhibit 3.4 to the Registrant’s Quarterly Report</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(File No. 001-32492) on Form 10-Q filed on May 9, 2008).</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4.1</w:t>
            </w: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Form of Specimen Certificate for Class A common stock (incorporated by reference to Exhibit 4.1 to the Registrant’s Registration Statement (File</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No. 333-121407) on Form S-1/A filed on April 11, 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4.2</w:t>
            </w:r>
          </w:p>
        </w:tc>
        <w:tc>
          <w:tcPr>
            <w:tcW w:w="10520" w:type="dxa"/>
            <w:vAlign w:val="bottom"/>
          </w:tcPr>
          <w:p>
            <w:pPr>
              <w:ind w:left="20"/>
              <w:spacing w:after="0"/>
              <w:rPr>
                <w:sz w:val="20"/>
                <w:szCs w:val="20"/>
                <w:color w:val="auto"/>
              </w:rPr>
            </w:pPr>
            <w:r>
              <w:rPr>
                <w:rFonts w:ascii="Arial" w:cs="Arial" w:eastAsia="Arial" w:hAnsi="Arial"/>
                <w:sz w:val="18"/>
                <w:szCs w:val="18"/>
                <w:color w:val="auto"/>
                <w:w w:val="92"/>
              </w:rPr>
              <w:t>Indenture, dated as of May 10, 2005, by and between Lazard Group LLC and The Bank of New York, as Trustee (incorporated by reference to</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4.3</w:t>
            </w:r>
          </w:p>
        </w:tc>
        <w:tc>
          <w:tcPr>
            <w:tcW w:w="10520" w:type="dxa"/>
            <w:vAlign w:val="bottom"/>
          </w:tcPr>
          <w:p>
            <w:pPr>
              <w:ind w:left="20"/>
              <w:spacing w:after="0"/>
              <w:rPr>
                <w:sz w:val="20"/>
                <w:szCs w:val="20"/>
                <w:color w:val="auto"/>
              </w:rPr>
            </w:pPr>
            <w:r>
              <w:rPr>
                <w:rFonts w:ascii="Arial" w:cs="Arial" w:eastAsia="Arial" w:hAnsi="Arial"/>
                <w:sz w:val="18"/>
                <w:szCs w:val="18"/>
                <w:color w:val="auto"/>
                <w:w w:val="89"/>
              </w:rPr>
              <w:t>Amended and Restated Third Supplemental Indenture, dated as of May 15, 2008, by and among Lazard Group LLC and The Bank of New York, as</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trustee (and incorporated by reference to Exhibit 4.1 to the Registrants’ Current Report on Form 8-K (Commission File No. 333-126751) filed on</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May 16, 2008).</w:t>
            </w:r>
          </w:p>
        </w:tc>
      </w:tr>
      <w:tr>
        <w:trPr>
          <w:trHeight w:val="318"/>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4.4</w:t>
            </w: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Fourth Supplemental Indenture, dated as of June 21, 2007, between Lazard Group LLC and The Bank of New York, as trustee (incorporated by</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900" w:type="dxa"/>
            <w:vAlign w:val="bottom"/>
          </w:tcPr>
          <w:p>
            <w:pPr>
              <w:jc w:val="right"/>
              <w:ind w:right="552"/>
              <w:spacing w:after="0"/>
              <w:rPr>
                <w:sz w:val="20"/>
                <w:szCs w:val="20"/>
                <w:color w:val="auto"/>
              </w:rPr>
            </w:pPr>
            <w:r>
              <w:rPr>
                <w:rFonts w:ascii="Arial" w:cs="Arial" w:eastAsia="Arial" w:hAnsi="Arial"/>
                <w:sz w:val="18"/>
                <w:szCs w:val="18"/>
                <w:color w:val="auto"/>
                <w:w w:val="95"/>
              </w:rPr>
              <w:t>4.5</w:t>
            </w:r>
          </w:p>
        </w:tc>
        <w:tc>
          <w:tcPr>
            <w:tcW w:w="10520" w:type="dxa"/>
            <w:vAlign w:val="bottom"/>
          </w:tcPr>
          <w:p>
            <w:pPr>
              <w:ind w:left="2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90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tcPr>
          <w:p>
            <w:pPr>
              <w:ind w:left="260"/>
              <w:spacing w:after="0"/>
              <w:rPr>
                <w:sz w:val="20"/>
                <w:szCs w:val="20"/>
                <w:color w:val="auto"/>
              </w:rPr>
            </w:pPr>
            <w:r>
              <w:rPr>
                <w:rFonts w:ascii="Arial" w:cs="Arial" w:eastAsia="Arial" w:hAnsi="Arial"/>
                <w:sz w:val="18"/>
                <w:szCs w:val="18"/>
                <w:color w:val="auto"/>
                <w:w w:val="88"/>
              </w:rPr>
              <w:t>Amended and Restated Stockholders’ Agreement, dated as of November 6, 2006, by and among LAZ-MD Holdings LLC, the Registrant and certain</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members of LAZ-MD Holdings LLC (incorporated by reference to Exhibit 10.1 to the Registrant’s Quarterly Report (File No. 001-32492) on</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 LAZ-</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MD Holdings LLC and Lazard Ltd. (incorporated by reference to Exhibit 10.2 to the Registrant’s Quarterly Report (File No. 001-32492) on Form</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10-Q filed on May 9,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26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Tax Receivable Agreement, dated as of May 10, 2005, by and among Ltd Sub A, Ltd Sub B and LFCM Holdings LLC (incorporated by reference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Exhibit 10.3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Employee Benefits Agreement, dated as of May 10, 2005, by and among the Registrant, Lazard Group LLC, LAZ-MD Holdings LLC and LFCM</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Holdings LLC (incorporated by reference to Exhibit 10.4 to the Registrant’s Quarterly Report (File No. 001-32492) on Form 10-Q filed on June 16,</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10.5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Frères S.A.S., Lazard &amp; Co. Holdings Limited and LFCM Holdings LLC (incorporated by reference to Exhibit 10.6 to the Registrant’s Quarterly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260"/>
              <w:spacing w:after="0"/>
              <w:rPr>
                <w:sz w:val="20"/>
                <w:szCs w:val="20"/>
                <w:color w:val="auto"/>
              </w:rPr>
            </w:pPr>
            <w:r>
              <w:rPr>
                <w:rFonts w:ascii="Arial" w:cs="Arial" w:eastAsia="Arial" w:hAnsi="Arial"/>
                <w:sz w:val="18"/>
                <w:szCs w:val="18"/>
                <w:color w:val="auto"/>
                <w:w w:val="92"/>
              </w:rPr>
              <w:t>Administrative Services Agreement, dated as of May 10, 2005, by and among LAZ-MD Holdings LLC, LFCM Holdings LLC and Lazard Group</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(incorporated by reference to Exhibit 10.7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Business Alliance Agreement, dated as of May 10, 2005, by and between Lazard Group LLC and LFCM Holdings LLC (incorporated by reference</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to Exhibit 10.8 to the Registrant’s Quarterly Report (File No. 001-32492) on Form 10-Q filed on June 16,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260"/>
              <w:spacing w:after="0"/>
              <w:rPr>
                <w:sz w:val="20"/>
                <w:szCs w:val="20"/>
                <w:color w:val="auto"/>
              </w:rPr>
            </w:pPr>
            <w:r>
              <w:rPr>
                <w:rFonts w:ascii="Arial" w:cs="Arial" w:eastAsia="Arial" w:hAnsi="Arial"/>
                <w:sz w:val="18"/>
                <w:szCs w:val="18"/>
                <w:color w:val="auto"/>
                <w:w w:val="89"/>
              </w:rPr>
              <w:t>Amendment and Consent, dated February 9, 2009, to the Business Alliance Agreement, dated as of May 10, 2005, by and between Lazard Group</w:t>
            </w:r>
          </w:p>
        </w:tc>
      </w:tr>
      <w:tr>
        <w:trPr>
          <w:trHeight w:val="216"/>
        </w:trPr>
        <w:tc>
          <w:tcPr>
            <w:tcW w:w="660" w:type="dxa"/>
            <w:vAlign w:val="bottom"/>
          </w:tcPr>
          <w:p>
            <w:pPr>
              <w:spacing w:after="0"/>
              <w:rPr>
                <w:sz w:val="18"/>
                <w:szCs w:val="18"/>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1"/>
              </w:rPr>
              <w:t>LLC and LFCM Holdings LLC (incorporated by reference to Exhibit 10.12 to Registrant’s Annual Report (File No. 001-32492) on Form 10-K filed</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on March 2, 2009).</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tcPr>
          <w:p>
            <w:pPr>
              <w:ind w:left="260"/>
              <w:spacing w:after="0"/>
              <w:rPr>
                <w:sz w:val="20"/>
                <w:szCs w:val="20"/>
                <w:color w:val="auto"/>
              </w:rPr>
            </w:pPr>
            <w:r>
              <w:rPr>
                <w:rFonts w:ascii="Arial" w:cs="Arial" w:eastAsia="Arial" w:hAnsi="Arial"/>
                <w:sz w:val="18"/>
                <w:szCs w:val="18"/>
                <w:color w:val="auto"/>
                <w:w w:val="93"/>
              </w:rPr>
              <w:t>Amended and Restated Operating Agreement of Lazard Strategic Coordination Company LLC, dated as of January 1, 2002 (incorporated by</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w w:val="97"/>
              </w:rPr>
              <w:t>reference to Exhibit 10.16 to the Registrant’s Registration Statement (File No. 333-121407) on Form S-1/A filed on February 11, 2005).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700" w:type="dxa"/>
            <w:vAlign w:val="bottom"/>
          </w:tcPr>
          <w:p>
            <w:pPr>
              <w:ind w:left="26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22"/>
        </w:trPr>
        <w:tc>
          <w:tcPr>
            <w:tcW w:w="660" w:type="dxa"/>
            <w:vAlign w:val="bottom"/>
          </w:tcPr>
          <w:p>
            <w:pPr>
              <w:spacing w:after="0"/>
              <w:rPr>
                <w:sz w:val="19"/>
                <w:szCs w:val="19"/>
                <w:color w:val="auto"/>
              </w:rPr>
            </w:pPr>
          </w:p>
        </w:tc>
        <w:tc>
          <w:tcPr>
            <w:tcW w:w="10700" w:type="dxa"/>
            <w:vAlign w:val="bottom"/>
          </w:tcPr>
          <w:p>
            <w:pPr>
              <w:ind w:left="26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65"/>
        </w:trPr>
        <w:tc>
          <w:tcPr>
            <w:tcW w:w="660" w:type="dxa"/>
            <w:vAlign w:val="bottom"/>
          </w:tcPr>
          <w:p>
            <w:pPr>
              <w:spacing w:after="0"/>
              <w:rPr>
                <w:sz w:val="24"/>
                <w:szCs w:val="24"/>
                <w:color w:val="auto"/>
              </w:rPr>
            </w:pPr>
          </w:p>
        </w:tc>
        <w:tc>
          <w:tcPr>
            <w:tcW w:w="10700" w:type="dxa"/>
            <w:vAlign w:val="bottom"/>
          </w:tcPr>
          <w:p>
            <w:pPr>
              <w:ind w:left="496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Lease with an Option to Purchase, dated as of July 11, 1990, by and between Sicomibail and Finabail and SCI du 121 Boulevard Hausmann (English translation) (incorporated by reference to Exhibit 10.20 to the Registrant’s Registration Statement (File No. 333-121407) on Form S-1/A filed on February 11, 2005).</w:t>
      </w:r>
    </w:p>
    <w:p>
      <w:pPr>
        <w:spacing w:after="0" w:line="86" w:lineRule="exact"/>
        <w:rPr>
          <w:sz w:val="20"/>
          <w:szCs w:val="20"/>
          <w:color w:val="auto"/>
        </w:rPr>
      </w:pPr>
    </w:p>
    <w:p>
      <w:pPr>
        <w:ind w:left="920" w:right="180" w:hanging="917"/>
        <w:spacing w:after="0" w:line="259"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Occupational Lease, dated as of August 9, 2002, Burford (Stratton) Nominee 1 Limited, Burford (Stratton) Nominee 2 Limited, Burford (Stratton) Limited, Lazard &amp; Co., Limited and Lazard LLC (incorporated by reference to Exhibit 10.21 to the Registrant’s Registration Statement (File No. 333-121407) on Form S-1/A filed on February 11, 2005).</w:t>
      </w:r>
    </w:p>
    <w:p>
      <w:pPr>
        <w:spacing w:after="0" w:line="86"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2005 Equity Incentive Plan (incorporated by reference to Exhibit 10.21 to the Registrant’s Registration Statement (File No. 333-121407) on Form S-1/A filed on May 2, 2005).</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Lazard Ltd’s 2008 Incentive Compensation Plan (incorporated by reference to Annex B to the Registrant’s Definitive Proxy Statement on Schedule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14A (File No. 001-32492) filed on March 24, 2008).</w:t>
      </w:r>
    </w:p>
    <w:p>
      <w:pPr>
        <w:spacing w:after="0" w:line="111" w:lineRule="exact"/>
        <w:rPr>
          <w:sz w:val="20"/>
          <w:szCs w:val="20"/>
          <w:color w:val="auto"/>
        </w:rPr>
      </w:pPr>
    </w:p>
    <w:p>
      <w:pPr>
        <w:ind w:left="920" w:right="100" w:hanging="917"/>
        <w:spacing w:after="0" w:line="268"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2005 Bonus Plan (incorporated by reference to Exhibit 10.23 to the Registrant’s Registration Statement (File No. 333-121407) on Form S-1/A filed on March 21, 2005).</w:t>
      </w:r>
    </w:p>
    <w:p>
      <w:pPr>
        <w:spacing w:after="0" w:line="78" w:lineRule="exact"/>
        <w:rPr>
          <w:sz w:val="20"/>
          <w:szCs w:val="20"/>
          <w:color w:val="auto"/>
        </w:rPr>
      </w:pPr>
    </w:p>
    <w:p>
      <w:pPr>
        <w:ind w:left="920" w:right="140" w:hanging="917"/>
        <w:spacing w:after="0" w:line="259"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January 29, 2008, by and among Lazard Ltd, Lazard Group LLC and Bruce Wasserstein (incorporated by reference to Exhibit 10.1 to the Registrant’s Current Report (File No. 001-32492) on Form 8-K filed on February 1, 2008).</w:t>
      </w:r>
    </w:p>
    <w:p>
      <w:pPr>
        <w:spacing w:after="0" w:line="86" w:lineRule="exact"/>
        <w:rPr>
          <w:sz w:val="20"/>
          <w:szCs w:val="20"/>
          <w:color w:val="auto"/>
        </w:rPr>
      </w:pPr>
    </w:p>
    <w:p>
      <w:pPr>
        <w:jc w:val="both"/>
        <w:ind w:left="920" w:right="320" w:hanging="917"/>
        <w:spacing w:after="0" w:line="332"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Agreement Relating to Reorganization of Lazard, dated as of May 10, 2005, by and among Lazard LLC and Bruce Wasserstein (incorporated by reference to Exhibit 10.24 to the Registrant’s Quarterly Report (File No. 001-32492) on Form 10-Q filed on June 16, 2005).</w:t>
      </w:r>
    </w:p>
    <w:p>
      <w:pPr>
        <w:spacing w:after="0" w:line="31" w:lineRule="exact"/>
        <w:rPr>
          <w:sz w:val="20"/>
          <w:szCs w:val="20"/>
          <w:color w:val="auto"/>
        </w:rPr>
      </w:pPr>
    </w:p>
    <w:p>
      <w:pPr>
        <w:jc w:val="both"/>
        <w:ind w:left="920" w:right="320" w:hanging="917"/>
        <w:spacing w:after="0" w:line="259"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Agreement Relating to Retention and Noncompetition and Other Covenants, dated as of May 7, 2008, by and among the Registrant, Lazard Group LLC and Steven J. Golub (incorporated by reference to Exhibit 10.1 to the Registrant’s Current Report (File No. 001-32492) on Form 8-K filed on May 8, 2008).</w:t>
      </w:r>
    </w:p>
    <w:p>
      <w:pPr>
        <w:spacing w:after="0" w:line="86" w:lineRule="exact"/>
        <w:rPr>
          <w:sz w:val="20"/>
          <w:szCs w:val="20"/>
          <w:color w:val="auto"/>
        </w:rPr>
      </w:pPr>
    </w:p>
    <w:p>
      <w:pPr>
        <w:ind w:left="920" w:right="40" w:hanging="917"/>
        <w:spacing w:after="0" w:line="30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1, dated as of February 26, 2009, to the Amended and Restated Agreement Relating to Retention and Noncompetition and Other Covenants, dated as of May 7, 2008, by and among Lazard Ltd, Lazard Group LLC and Steven J. Golub (incorporated by reference to Exhibit 10.23 to Registrant’s Annual Report (File No. 001-32492) on Form 10-K filed on March 2, 2009).</w:t>
      </w:r>
    </w:p>
    <w:p>
      <w:pPr>
        <w:spacing w:after="0" w:line="53" w:lineRule="exact"/>
        <w:rPr>
          <w:sz w:val="20"/>
          <w:szCs w:val="20"/>
          <w:color w:val="auto"/>
        </w:rPr>
      </w:pPr>
    </w:p>
    <w:p>
      <w:pPr>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Agreement Relating to Retention and Noncompetition and Other Covenants, dated as of May 4, 2005, applicable to, and related Schedule I for, each of Michael J. Castellano, Scott D. Hoffman and Charles G. Ward III (incorporated by reference to Exhibit 10.26 to the Registrant’s Quarterly Report (File No. 001-32492) on Form 10-Q filed on June 16, 2005).</w:t>
      </w:r>
    </w:p>
    <w:p>
      <w:pPr>
        <w:spacing w:after="0" w:line="86" w:lineRule="exact"/>
        <w:rPr>
          <w:sz w:val="20"/>
          <w:szCs w:val="20"/>
          <w:color w:val="auto"/>
        </w:rPr>
      </w:pPr>
    </w:p>
    <w:p>
      <w:pPr>
        <w:jc w:val="both"/>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First Amendment, dated as of May 7, 2008, to Agreement Relating to Retention and Noncompetition and Other Covenants, dated as of May 4, 2005, for each of Michael J. Castellano, Scott D. Hoffman and Charles G. Ward, III (incorporated by reference to Exhibit 10.2 to the Registrant’s Current Report on Form 8-K (File No. 001-32492) filed on May 8, 2008).</w:t>
      </w:r>
    </w:p>
    <w:p>
      <w:pPr>
        <w:spacing w:after="0" w:line="86" w:lineRule="exact"/>
        <w:rPr>
          <w:sz w:val="20"/>
          <w:szCs w:val="20"/>
          <w:color w:val="auto"/>
        </w:rPr>
      </w:pPr>
    </w:p>
    <w:p>
      <w:pPr>
        <w:jc w:val="both"/>
        <w:ind w:left="920" w:right="140" w:hanging="917"/>
        <w:spacing w:after="0" w:line="259"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dated as of February 26, 2009, to the Agreement Relating to Retention and Noncompetition and Other Covenants, dated as of May 4, 2005 (as amended from time to time), for Michael J. Castellano (incorporated by reference to Exhibit 10.26 to Registrant’s Annual Report (File No. 001-32492) on Form 10-K filed on March 2, 2009).</w:t>
      </w:r>
    </w:p>
    <w:p>
      <w:pPr>
        <w:spacing w:after="0" w:line="86" w:lineRule="exact"/>
        <w:rPr>
          <w:sz w:val="20"/>
          <w:szCs w:val="20"/>
          <w:color w:val="auto"/>
        </w:rPr>
      </w:pPr>
    </w:p>
    <w:p>
      <w:pPr>
        <w:ind w:left="920" w:right="2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Agreements Relating to Retention and Noncompetition and Other Covenants (incorporated by reference to Exhibit 10.27 to the Registrant’s Registration Statement (File No. 333-121407) on Form S-1/A filed on April 11,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Agreement Relating to Retention and Noncompetition and Other Covenants, dated as of October 4, 2004, by and between Lazard Group LLC and Alexander F. Stern (incorporated by reference to Exhibit 10.28 to Registrant’s Annual Report (File No. 001-32492) on Form 10-K filed on March 2, 2009).</w:t>
      </w:r>
    </w:p>
    <w:p>
      <w:pPr>
        <w:spacing w:after="0" w:line="86" w:lineRule="exact"/>
        <w:rPr>
          <w:sz w:val="20"/>
          <w:szCs w:val="20"/>
          <w:color w:val="auto"/>
        </w:rPr>
      </w:pPr>
    </w:p>
    <w:p>
      <w:pPr>
        <w:ind w:left="920" w:hanging="917"/>
        <w:spacing w:after="0" w:line="332"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Amended and Restated Letter Agreement, effective as of January 1, 2004, between Vernon E. Jordan, Jr. and Lazard Frères &amp; Co. LLC (incorporated by reference to Exhibit 10.28 to the Registrant’s Quarterly Report (File No. 001-32492) on Form 10-Q filed on June 16, 2005).</w:t>
      </w:r>
    </w:p>
    <w:p>
      <w:pPr>
        <w:spacing w:after="0" w:line="31" w:lineRule="exact"/>
        <w:rPr>
          <w:sz w:val="20"/>
          <w:szCs w:val="20"/>
          <w:color w:val="auto"/>
        </w:rPr>
      </w:pPr>
    </w:p>
    <w:p>
      <w:pPr>
        <w:ind w:left="920" w:hanging="917"/>
        <w:spacing w:after="0" w:line="306"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Acknowledgement Letter, dated as of November 6, 2006 from Lazard Group LLC to certain managing directors of Lazard Group LLC modifying the terms of the retention agreements of persons party to the Amended and Restated Stockholders’ Agreement, dated as of November 6, 2006 (incorporated by reference to Exhibit 10.23 to the Registrant’s Quarterly Report (File No. 001-32492) on Form 10-Q filed on November 7, 2006).</w:t>
      </w:r>
    </w:p>
    <w:p>
      <w:pPr>
        <w:spacing w:after="0" w:line="53" w:lineRule="exact"/>
        <w:rPr>
          <w:sz w:val="20"/>
          <w:szCs w:val="20"/>
          <w:color w:val="auto"/>
        </w:rPr>
      </w:pPr>
    </w:p>
    <w:p>
      <w:pPr>
        <w:ind w:left="920" w:right="40" w:hanging="917"/>
        <w:spacing w:after="0" w:line="332"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Letter Agreement, dated as of March 15, 2005, from IXIS Corporate and Investment Bank to Lazard LLC and Lazard Ltd (incorporated by reference to Exhibit 10.27 to the Registrant’s Registration Statement (File No. 333-121407) on Form S-1/A filed on March 21, 2005).</w:t>
      </w:r>
    </w:p>
    <w:p>
      <w:pPr>
        <w:spacing w:after="0" w:line="31" w:lineRule="exact"/>
        <w:rPr>
          <w:sz w:val="20"/>
          <w:szCs w:val="20"/>
          <w:color w:val="auto"/>
        </w:rPr>
      </w:pPr>
    </w:p>
    <w:p>
      <w:pPr>
        <w:ind w:left="920" w:right="20" w:hanging="917"/>
        <w:spacing w:after="0" w:line="259"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Registration Rights Agreement, dated as of May 10, 2005, by and among Lazard Group Finance LLC, the Registrant, Lazard Group LLC and IXIS Corporate and Investment Bank (incorporated by reference to Exhibit 10.30 to the Registrant’s Quarterly Report (File No. 001-32492) on Form 10-Q filed on June 16, 2005).</w:t>
      </w:r>
    </w:p>
    <w:p>
      <w:pPr>
        <w:spacing w:after="0" w:line="86" w:lineRule="exact"/>
        <w:rPr>
          <w:sz w:val="20"/>
          <w:szCs w:val="20"/>
          <w:color w:val="auto"/>
        </w:rPr>
      </w:pPr>
    </w:p>
    <w:p>
      <w:pPr>
        <w:ind w:left="920" w:right="300" w:hanging="917"/>
        <w:spacing w:after="0" w:line="268"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Letter Agreement, dated as of May 10, 2005, with Bruce Wasserstein family trusts (incorporated by reference to Exhibit 10.31 to the Registrant’s Quarterly Report (File No. 001-32492) on Form 10-Q filed on June 16, 2005).</w:t>
      </w:r>
    </w:p>
    <w:p>
      <w:pPr>
        <w:spacing w:after="0" w:line="78" w:lineRule="exact"/>
        <w:rPr>
          <w:sz w:val="20"/>
          <w:szCs w:val="20"/>
          <w:color w:val="auto"/>
        </w:rPr>
      </w:pPr>
    </w:p>
    <w:p>
      <w:pPr>
        <w:ind w:left="920" w:right="280" w:hanging="917"/>
        <w:spacing w:after="0" w:line="306"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10.32 to the Registrant’s Quarterly Report (File No. 001-32492) on Form 10-Q filed on June 16, 2005).</w:t>
      </w:r>
    </w:p>
    <w:p>
      <w:pPr>
        <w:spacing w:after="0" w:line="53" w:lineRule="exact"/>
        <w:rPr>
          <w:sz w:val="20"/>
          <w:szCs w:val="20"/>
          <w:color w:val="auto"/>
        </w:rPr>
      </w:pPr>
    </w:p>
    <w:p>
      <w:pPr>
        <w:ind w:left="920" w:right="40" w:hanging="917"/>
        <w:spacing w:after="0" w:line="256"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First Amendment, dated as of March 28,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10.34 to Registrant’s Quarterly Report (File No. 001-32492) on Form 10-Q filed on May 11, 2006).</w:t>
      </w:r>
    </w:p>
    <w:p>
      <w:pPr>
        <w:spacing w:after="0" w:line="89" w:lineRule="exact"/>
        <w:rPr>
          <w:sz w:val="20"/>
          <w:szCs w:val="20"/>
          <w:color w:val="auto"/>
        </w:rPr>
      </w:pPr>
    </w:p>
    <w:p>
      <w:pPr>
        <w:ind w:left="920" w:right="20" w:hanging="917"/>
        <w:spacing w:after="0" w:line="256"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Amendment, dated as of May 17,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 K (File No. 001-32492) filed on May 17, 2006).</w:t>
      </w:r>
    </w:p>
    <w:p>
      <w:pPr>
        <w:spacing w:after="0" w:line="89" w:lineRule="exact"/>
        <w:rPr>
          <w:sz w:val="20"/>
          <w:szCs w:val="20"/>
          <w:color w:val="auto"/>
        </w:rPr>
      </w:pPr>
    </w:p>
    <w:p>
      <w:pPr>
        <w:ind w:left="920" w:right="120" w:hanging="917"/>
        <w:spacing w:after="0" w:line="256"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Third Amendment, dated as of June 18, 2007,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8-K (File No. 001-32492) filed on June 22, 2007).</w:t>
      </w:r>
    </w:p>
    <w:p>
      <w:pPr>
        <w:spacing w:after="0" w:line="8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Description of Non-Executive Director Compensation (incorporated by reference to Exhibit 10.33 to the Registrant’s Quarterly Report (File No. 001-</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32492) on Form 10-Q for the quarter ended June 30, 2005).</w:t>
      </w:r>
    </w:p>
    <w:p>
      <w:pPr>
        <w:spacing w:after="0" w:line="111" w:lineRule="exact"/>
        <w:rPr>
          <w:sz w:val="20"/>
          <w:szCs w:val="20"/>
          <w:color w:val="auto"/>
        </w:rPr>
      </w:pPr>
    </w:p>
    <w:p>
      <w:pPr>
        <w:ind w:left="920" w:right="560" w:hanging="917"/>
        <w:spacing w:after="0" w:line="268" w:lineRule="auto"/>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Award Letter for Annual Grant of Deferred Stock Units to Non-Executive Directors (incorporated by reference to Exhibit 99.1 to the Registrant’s Current Report on Form 8-K (File No. 001-32492) filed on September 8,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Form of Agreement evidencing a grant of Restricted Stock Units to Executive Officers under the Lazard Equity Incentive Plan (incorporated by</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2008 Incentive Compensation Plan (incorporated</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by reference to Exhibit 10.41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10.42*</w:t>
            </w:r>
          </w:p>
        </w:tc>
        <w:tc>
          <w:tcPr>
            <w:tcW w:w="10680" w:type="dxa"/>
            <w:vAlign w:val="bottom"/>
          </w:tcPr>
          <w:p>
            <w:pPr>
              <w:ind w:left="220"/>
              <w:spacing w:after="0"/>
              <w:rPr>
                <w:sz w:val="20"/>
                <w:szCs w:val="20"/>
                <w:color w:val="auto"/>
              </w:rPr>
            </w:pPr>
            <w:r>
              <w:rPr>
                <w:rFonts w:ascii="Arial" w:cs="Arial" w:eastAsia="Arial" w:hAnsi="Arial"/>
                <w:sz w:val="18"/>
                <w:szCs w:val="18"/>
                <w:color w:val="auto"/>
                <w:w w:val="88"/>
              </w:rPr>
              <w:t>Form of Agreement evidencing a grant of Deferred Cash Award to Executive Officers under the 2008 Incentive Compensation Plan (incorporated by</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reference to Exhibit 10.42 to Registrant’s Annual Report (File No. 001-32492) on Form 10-K filed 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10.43</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Termination Agreement, dated as of March 31, 2006, by and among Banca Intesa S.p.A., Lazard Group LLC, and Lazard &amp; Co. S.r.l. (incorporated</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by reference to Exhibit 10.1 to the Registrant’s Current Report on Form 8-K (File No. 001-32492) filed on April 4,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10.44</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Amended and Restated $150 Million Subordinated Convertible Promissory Note due 2018, issued by Lazard Funding LLC to Banca Intesa S.p.A.</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10.3 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10.45</w:t>
            </w:r>
          </w:p>
        </w:tc>
        <w:tc>
          <w:tcPr>
            <w:tcW w:w="10680" w:type="dxa"/>
            <w:vAlign w:val="bottom"/>
          </w:tcPr>
          <w:p>
            <w:pPr>
              <w:ind w:left="220"/>
              <w:spacing w:after="0"/>
              <w:rPr>
                <w:sz w:val="20"/>
                <w:szCs w:val="20"/>
                <w:color w:val="auto"/>
              </w:rPr>
            </w:pPr>
            <w:r>
              <w:rPr>
                <w:rFonts w:ascii="Arial" w:cs="Arial" w:eastAsia="Arial" w:hAnsi="Arial"/>
                <w:sz w:val="18"/>
                <w:szCs w:val="18"/>
                <w:color w:val="auto"/>
                <w:w w:val="88"/>
              </w:rPr>
              <w:t>Amended and Restated Guaranty of Lazard Group LLC to Banca Intesa S.p.A., dated as of May 15, 2006 (incorporated by reference to Exhibit 10.4</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to the Registrant’s Current Report on Form 8-K (File No. 001-32492) filed on May 17,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10.46*</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Directors’ Fee Deferral Unit Plan (incorporated by reference to Exhibit 10.39 to Registrant’s Quarterly Report (File No. 001-32492) on Form 10-Q</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filed on May 11, 2006).</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10.47*</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 Plan</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10.43 to Registrant’s Annual Report (File No. 001-32492) on Form 10-K filed on March 1, 2007).</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10.48</w:t>
            </w: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Agreement and Plan of Merger dated as of August 14, 2008 by and among Lazard Ltd, LAZ Sub I, Lazard Asset Management LLC and Lazard</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Asset Management Limited (incorporated by reference to Exhibit 2.1 to the Registrant’s Current Report on Form 8-K (File No. 001-32492) filed on</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August 15, 2008).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12.1</w:t>
            </w:r>
          </w:p>
        </w:tc>
        <w:tc>
          <w:tcPr>
            <w:tcW w:w="1068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20"/>
              <w:spacing w:after="0"/>
              <w:rPr>
                <w:sz w:val="20"/>
                <w:szCs w:val="20"/>
                <w:color w:val="auto"/>
              </w:rPr>
            </w:pPr>
            <w:r>
              <w:rPr>
                <w:rFonts w:ascii="Arial" w:cs="Arial" w:eastAsia="Arial" w:hAnsi="Arial"/>
                <w:sz w:val="18"/>
                <w:szCs w:val="18"/>
                <w:color w:val="auto"/>
              </w:rPr>
              <w:t>Rule 13a-14(a) Certification of Bruce Wasserstein.</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2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220"/>
              <w:spacing w:after="0"/>
              <w:rPr>
                <w:sz w:val="20"/>
                <w:szCs w:val="20"/>
                <w:color w:val="auto"/>
              </w:rPr>
            </w:pPr>
            <w:r>
              <w:rPr>
                <w:rFonts w:ascii="Arial" w:cs="Arial" w:eastAsia="Arial" w:hAnsi="Arial"/>
                <w:sz w:val="18"/>
                <w:szCs w:val="18"/>
                <w:color w:val="auto"/>
              </w:rPr>
              <w:t>Section 1350 Certification for Bruce Wasserstein.</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80" w:type="dxa"/>
            <w:vAlign w:val="bottom"/>
          </w:tcPr>
          <w:p>
            <w:pPr>
              <w:ind w:left="22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Bruce Wasserstein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$ 418,295</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$ 327,209</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342,362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32,113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160,154</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155,374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119,606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94,651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Operating income (loss) from continuing operations before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185,294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$ 573,669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$ 446,815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437,013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423,151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139,899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$ 137,110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$ 104,254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Other (d)</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18,264</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160,154</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$ 155,374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$ 119,606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 (e)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from continuing</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before fixed charges to total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90,769(f)</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jc w:val="both"/>
        <w:ind w:left="780" w:right="180" w:hanging="326"/>
        <w:spacing w:after="0" w:line="306" w:lineRule="auto"/>
        <w:tabs>
          <w:tab w:leader="none" w:pos="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earnings for the three month period ended March 31, 2009 and for the years ended December 31, 2008, 2007, 2006, 2005 and 2004 represent income (loss) from continuing operations before income taxes, and, for periods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fixed charges consists of the interest factor in rentals.</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operations for periods until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220" w:hanging="326"/>
        <w:spacing w:after="0" w:line="294" w:lineRule="auto"/>
        <w:tabs>
          <w:tab w:leader="none" w:pos="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loss for the three month period ended March 31, 2009 is presented after giving effect to a restructuring expense of $62,550 (see Note 13 of Notes to Condensed Consolidated Financial Statements). Excluding the impact of such expense, the deficiency in the coverage of operating income (loss) from continuing operations before fixed charges to total fixed charges would have been $28,219.</w:t>
      </w:r>
    </w:p>
    <w:p>
      <w:pPr>
        <w:spacing w:after="0" w:line="45"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income for 2008 is presented after giving effect to a charge of $199,550 relating to the LAM Merger in the third quarter (see Note 5 of Notes to Condensed Consolidated Financial Statements).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Wasserstein, certify that:</w:t>
      </w:r>
    </w:p>
    <w:p>
      <w:pPr>
        <w:spacing w:after="0" w:line="158"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May 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May 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6"/>
    </w:lvl>
  </w:abstractNum>
  <w:abstractNum w:abstractNumId="10">
    <w:nsid w:val="8138641"/>
    <w:multiLevelType w:val="hybridMultilevel"/>
    <w:lvl w:ilvl="0">
      <w:lvlJc w:val="left"/>
      <w:lvlText w:val="%1."/>
      <w:numFmt w:val="decimal"/>
      <w:start w:val="7"/>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decimal"/>
      <w:start w:val="10"/>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decimal"/>
      <w:start w:val="12"/>
    </w:lvl>
  </w:abstractNum>
  <w:abstractNum w:abstractNumId="18">
    <w:nsid w:val="614FD4A1"/>
    <w:multiLevelType w:val="hybridMultilevel"/>
    <w:lvl w:ilvl="0">
      <w:lvlJc w:val="left"/>
      <w:lvlText w:val="%1."/>
      <w:numFmt w:val="decimal"/>
      <w:start w:val="13"/>
    </w:lvl>
  </w:abstractNum>
  <w:abstractNum w:abstractNumId="19">
    <w:nsid w:val="419AC241"/>
    <w:multiLevelType w:val="hybridMultilevel"/>
    <w:lvl w:ilvl="0">
      <w:lvlJc w:val="left"/>
      <w:lvlText w:val="%1."/>
      <w:numFmt w:val="decimal"/>
      <w:start w:val="14"/>
    </w:lvl>
  </w:abstractNum>
  <w:abstractNum w:abstractNumId="20">
    <w:nsid w:val="5577F8E1"/>
    <w:multiLevelType w:val="hybridMultilevel"/>
    <w:lvl w:ilvl="0">
      <w:lvlJc w:val="left"/>
      <w:lvlText w:val="%1."/>
      <w:numFmt w:val="decimal"/>
      <w:start w:val="15"/>
    </w:lvl>
  </w:abstractNum>
  <w:abstractNum w:abstractNumId="21">
    <w:nsid w:val="440BADFC"/>
    <w:multiLevelType w:val="hybridMultilevel"/>
    <w:lvl w:ilvl="0">
      <w:lvlJc w:val="left"/>
      <w:lvlText w:val="(%1)"/>
      <w:numFmt w:val="lowerRoman"/>
      <w:start w:val="2"/>
    </w:lvl>
  </w:abstractNum>
  <w:abstractNum w:abstractNumId="22">
    <w:nsid w:val="5072367"/>
    <w:multiLevelType w:val="hybridMultilevel"/>
    <w:lvl w:ilvl="0">
      <w:lvlJc w:val="left"/>
      <w:lvlText w:val="%1."/>
      <w:numFmt w:val="decimal"/>
      <w:start w:val="16"/>
    </w:lvl>
  </w:abstractNum>
  <w:abstractNum w:abstractNumId="23">
    <w:nsid w:val="3804823E"/>
    <w:multiLevelType w:val="hybridMultilevel"/>
    <w:lvl w:ilvl="0">
      <w:lvlJc w:val="left"/>
      <w:lvlText w:val="%1."/>
      <w:numFmt w:val="decimal"/>
      <w:start w:val="17"/>
    </w:lvl>
  </w:abstractNum>
  <w:abstractNum w:abstractNumId="24">
    <w:nsid w:val="77465F01"/>
    <w:multiLevelType w:val="hybridMultilevel"/>
    <w:lvl w:ilvl="0">
      <w:lvlJc w:val="left"/>
      <w:lvlText w:val="%1."/>
      <w:numFmt w:val="decimal"/>
      <w:start w:val="18"/>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lowerLetter"/>
      <w:start w:val="1"/>
    </w:lvl>
    <w:lvl w:ilvl="1">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2019-12-10T23:29:22Z</dcterms:created>
  <dcterms:modified xsi:type="dcterms:W3CDTF">2019-12-10T23:29:22Z</dcterms:modified>
</cp:coreProperties>
</file>