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20"/>
        </w:trPr>
        <w:tc>
          <w:tcPr>
            <w:tcW w:w="23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2920" w:type="dxa"/>
            <w:vAlign w:val="bottom"/>
            <w:gridSpan w:val="2"/>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-335915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LAZARD LTD</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65" w:right="319" w:bottom="1440" w:gutter="0" w:footer="0" w:header="0"/>
        </w:sectPr>
      </w:pPr>
    </w:p>
    <w:p>
      <w:pPr>
        <w:spacing w:after="0" w:line="24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98-0437848</w:t>
      </w:r>
    </w:p>
    <w:p>
      <w:pPr>
        <w:spacing w:after="0" w:line="31" w:lineRule="exact"/>
        <w:rPr>
          <w:sz w:val="24"/>
          <w:szCs w:val="24"/>
          <w:color w:val="auto"/>
        </w:rPr>
      </w:pPr>
    </w:p>
    <w:p>
      <w:pPr>
        <w:sectPr>
          <w:pgSz w:w="11900" w:h="16838" w:orient="portrait"/>
          <w:cols w:equalWidth="0" w:num="2">
            <w:col w:w="7480" w:space="720"/>
            <w:col w:w="3140"/>
          </w:cols>
          <w:pgMar w:left="240" w:top="565" w:right="319"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45" w:lineRule="exact"/>
        <w:rPr>
          <w:sz w:val="24"/>
          <w:szCs w:val="24"/>
          <w:color w:val="auto"/>
        </w:rPr>
      </w:pPr>
    </w:p>
    <w:p>
      <w:pPr>
        <w:sectPr>
          <w:pgSz w:w="11900" w:h="16838" w:orient="portrait"/>
          <w:cols w:equalWidth="0" w:num="2">
            <w:col w:w="6820" w:space="720"/>
            <w:col w:w="3800"/>
          </w:cols>
          <w:pgMar w:left="240" w:top="565"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 Church Street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Hamilton HM11, Bermuda</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340"/>
          </w:cols>
          <w:pgMar w:left="240" w:top="565" w:right="319" w:bottom="1440" w:gutter="0" w:footer="0" w:header="0"/>
          <w:type w:val="continuous"/>
        </w:sectPr>
      </w:pP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6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8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8"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October 20, 2017, there were 129,766,091 shares of the Registrant’s Class A common stock outstanding (including 9,820,657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822325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65"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September 30, 2017 of all of the common membership interests in Lazard Group and its controlling interest in Lazard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gridSpan w:val="5"/>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8480" w:type="dxa"/>
            <w:vAlign w:val="bottom"/>
            <w:gridSpan w:val="9"/>
            <w:vMerge w:val="restart"/>
          </w:tcPr>
          <w:p>
            <w:pPr>
              <w:spacing w:after="0"/>
              <w:rPr>
                <w:sz w:val="15"/>
                <w:szCs w:val="15"/>
                <w:color w:val="auto"/>
              </w:rPr>
            </w:pPr>
          </w:p>
        </w:tc>
        <w:tc>
          <w:tcPr>
            <w:tcW w:w="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6. Exhibits</w:t>
              </w:r>
            </w:hyperlink>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Times New Roman" w:cs="Times New Roman" w:eastAsia="Times New Roman" w:hAnsi="Times New Roman"/>
                <w:sz w:val="18"/>
                <w:szCs w:val="18"/>
                <w:b w:val="1"/>
                <w:bCs w:val="1"/>
                <w:color w:val="0000EE"/>
              </w:rPr>
            </w:pPr>
            <w:hyperlink w:anchor="page72">
              <w:r>
                <w:rPr>
                  <w:rFonts w:ascii="Times New Roman" w:cs="Times New Roman" w:eastAsia="Times New Roman" w:hAnsi="Times New Roman"/>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94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9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as of September 30, 2017 and December 31, 2016</w:t>
              </w:r>
            </w:hyperlink>
          </w:p>
        </w:tc>
        <w:tc>
          <w:tcPr>
            <w:tcW w:w="27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6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for the three month and nine month periods ended September 30, 2017 and 2016</w:t>
              </w:r>
            </w:hyperlink>
          </w:p>
        </w:tc>
        <w:tc>
          <w:tcPr>
            <w:tcW w:w="122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60" w:type="dxa"/>
            <w:vAlign w:val="bottom"/>
          </w:tcPr>
          <w:p>
            <w:pPr>
              <w:spacing w:after="0"/>
              <w:rPr>
                <w:sz w:val="24"/>
                <w:szCs w:val="24"/>
                <w:color w:val="auto"/>
              </w:rPr>
            </w:pPr>
          </w:p>
        </w:tc>
        <w:tc>
          <w:tcPr>
            <w:tcW w:w="10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for the three month and nine month periods ended September 30, 2017 and 2016</w:t>
              </w:r>
            </w:hyperlink>
          </w:p>
        </w:tc>
        <w:tc>
          <w:tcPr>
            <w:tcW w:w="3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60" w:type="dxa"/>
            <w:vAlign w:val="bottom"/>
          </w:tcPr>
          <w:p>
            <w:pPr>
              <w:spacing w:after="0"/>
              <w:rPr>
                <w:sz w:val="24"/>
                <w:szCs w:val="24"/>
                <w:color w:val="auto"/>
              </w:rPr>
            </w:pPr>
          </w:p>
        </w:tc>
        <w:tc>
          <w:tcPr>
            <w:tcW w:w="83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for the nine month periods ended September 30, 2017 and 2016</w:t>
              </w:r>
            </w:hyperlink>
          </w:p>
        </w:tc>
        <w:tc>
          <w:tcPr>
            <w:tcW w:w="238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Changes in Stockholders’ Equity for the nine month periods ended September 30, 2017 and 2016</w:t>
              </w:r>
            </w:hyperlink>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60" w:type="dxa"/>
            <w:vAlign w:val="bottom"/>
          </w:tcPr>
          <w:p>
            <w:pPr>
              <w:spacing w:after="0"/>
              <w:rPr>
                <w:sz w:val="24"/>
                <w:szCs w:val="24"/>
                <w:color w:val="auto"/>
              </w:rPr>
            </w:pPr>
          </w:p>
        </w:tc>
        <w:tc>
          <w:tcPr>
            <w:tcW w:w="98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8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 w:name="page4"/>
    <w:bookmarkEnd w:id="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 AND 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6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1,254,010</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1,158,785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120" w:type="dxa"/>
            <w:vAlign w:val="bottom"/>
          </w:tcPr>
          <w:p>
            <w:pPr>
              <w:spacing w:after="0"/>
              <w:rPr>
                <w:sz w:val="19"/>
                <w:szCs w:val="19"/>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$27,464 and $16,386 at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2017 and December 31, 2016,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564,291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73,991</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638,282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459,422</w:t>
            </w:r>
          </w:p>
        </w:tc>
        <w:tc>
          <w:tcPr>
            <w:tcW w:w="120" w:type="dxa"/>
            <w:vAlign w:val="bottom"/>
            <w:shd w:val="clear" w:color="auto" w:fill="CFF0FC"/>
          </w:tcPr>
          <w:p>
            <w:pPr>
              <w:spacing w:after="0"/>
              <w:rPr>
                <w:sz w:val="19"/>
                <w:szCs w:val="19"/>
                <w:color w:val="auto"/>
              </w:rPr>
            </w:pPr>
          </w:p>
        </w:tc>
      </w:tr>
      <w:tr>
        <w:trPr>
          <w:trHeight w:val="21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Property (net of accumulated amortization and depreciation of $314,717 and $286,001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September 30, 2017 and December 31, 2016,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209,021</w:t>
            </w:r>
          </w:p>
        </w:tc>
        <w:tc>
          <w:tcPr>
            <w:tcW w:w="120" w:type="dxa"/>
            <w:vAlign w:val="bottom"/>
          </w:tcPr>
          <w:p>
            <w:pPr>
              <w:spacing w:after="0"/>
              <w:rPr>
                <w:sz w:val="20"/>
                <w:szCs w:val="20"/>
                <w:color w:val="auto"/>
              </w:rPr>
            </w:pPr>
          </w:p>
        </w:tc>
      </w:tr>
      <w:tr>
        <w:trPr>
          <w:trHeight w:val="211"/>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 (net of accumulated amortization of $62,610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$60,080 at September 30, 2017 and December 31, 2016,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392,068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382,024</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1,075,777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184,499</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4,836,388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4,556,508</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 AND DECEMBER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702,014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541,588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Senior debt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receivable agreement obligation</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513,610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537,446</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3,467,913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3,262,695</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 - no shares issued and outstanding</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129,766,091 shares issued at September 30, 2017 and December 31, 2016,</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including shares held by subsidiaries as indicated below)</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688,231</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1,134,186</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(261,673)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(314,222)</w:t>
            </w:r>
          </w:p>
        </w:tc>
      </w:tr>
      <w:tr>
        <w:trPr>
          <w:trHeight w:val="223"/>
        </w:trPr>
        <w:tc>
          <w:tcPr>
            <w:tcW w:w="6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1,509,493</w:t>
            </w:r>
          </w:p>
        </w:tc>
        <w:tc>
          <w:tcPr>
            <w:tcW w:w="120" w:type="dxa"/>
            <w:vAlign w:val="bottom"/>
          </w:tcPr>
          <w:p>
            <w:pPr>
              <w:spacing w:after="0"/>
              <w:rPr>
                <w:sz w:val="19"/>
                <w:szCs w:val="19"/>
                <w:color w:val="auto"/>
              </w:rPr>
            </w:pPr>
          </w:p>
        </w:tc>
      </w:tr>
      <w:tr>
        <w:trPr>
          <w:trHeight w:val="211"/>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held by subsidiaries, at cost (9,647,663 and 7,628,786</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at September 30, 2017 and December 31, 2016, respectively)</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(384,067)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(273,506)</w:t>
            </w:r>
          </w:p>
        </w:tc>
      </w:tr>
      <w:tr>
        <w:trPr>
          <w:trHeight w:val="22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9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1,307,842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1,235,987</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1,368,475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1,293,813</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4,836,388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AND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301,719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868,522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624,859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608,908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1,965,503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1,641,806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459,916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1,498,593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342,801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337,141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121,243,598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124,408,884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122,142,303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125,303,758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132,393,664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132,320,855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132,407,551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132,517,887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400" w:type="dxa"/>
            <w:vAlign w:val="bottom"/>
            <w:shd w:val="clear" w:color="auto" w:fill="CFF0FC"/>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DIVIDENDS DECLARED PER SHARE OF</w:t>
            </w: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AND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342,801</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264,705</w:t>
            </w:r>
          </w:p>
        </w:tc>
        <w:tc>
          <w:tcPr>
            <w:tcW w:w="100" w:type="dxa"/>
            <w:vAlign w:val="bottom"/>
            <w:shd w:val="clear" w:color="auto" w:fill="CFF0FC"/>
          </w:tcPr>
          <w:p>
            <w:pPr>
              <w:spacing w:after="0"/>
              <w:rPr>
                <w:sz w:val="19"/>
                <w:szCs w:val="19"/>
                <w:color w:val="auto"/>
              </w:rPr>
            </w:pPr>
          </w:p>
        </w:tc>
      </w:tr>
      <w:tr>
        <w:trPr>
          <w:trHeight w:val="201"/>
        </w:trPr>
        <w:tc>
          <w:tcPr>
            <w:tcW w:w="55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TAX:</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5500" w:type="dxa"/>
            <w:vAlign w:val="bottom"/>
            <w:shd w:val="clear" w:color="auto" w:fill="CFF0FC"/>
          </w:tcPr>
          <w:p>
            <w:pPr>
              <w:jc w:val="center"/>
              <w:ind w:right="610"/>
              <w:spacing w:after="0"/>
              <w:rPr>
                <w:sz w:val="20"/>
                <w:szCs w:val="20"/>
                <w:color w:val="auto"/>
              </w:rPr>
            </w:pPr>
            <w:r>
              <w:rPr>
                <w:rFonts w:ascii="Times New Roman" w:cs="Times New Roman" w:eastAsia="Times New Roman" w:hAnsi="Times New Roman"/>
                <w:sz w:val="18"/>
                <w:szCs w:val="18"/>
                <w:color w:val="auto"/>
                <w:w w:val="99"/>
              </w:rPr>
              <w:t>Currency translation adjustments (including a tax benefit of</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$221 for the three months ended September 30, 2016 and</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jc w:val="center"/>
              <w:ind w:right="670"/>
              <w:spacing w:after="0"/>
              <w:rPr>
                <w:sz w:val="20"/>
                <w:szCs w:val="20"/>
                <w:color w:val="auto"/>
              </w:rPr>
            </w:pPr>
            <w:r>
              <w:rPr>
                <w:rFonts w:ascii="Times New Roman" w:cs="Times New Roman" w:eastAsia="Times New Roman" w:hAnsi="Times New Roman"/>
                <w:sz w:val="18"/>
                <w:szCs w:val="18"/>
                <w:color w:val="auto"/>
              </w:rPr>
              <w:t>$3,090 for the nine months ended September 30, 2016)</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(4,524)</w:t>
            </w:r>
          </w:p>
        </w:tc>
      </w:tr>
      <w:tr>
        <w:trPr>
          <w:trHeight w:val="230"/>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5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Actuarial loss (net of tax benefit of $1,197 and $17</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for the three months ended September 30, 2017 and 2016,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respectively, and $3,673 and $315 for the nine months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ended September 30, 2017 and 2016, respectively)</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(4,715)</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(13,819)</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w:t>
            </w:r>
          </w:p>
        </w:tc>
      </w:tr>
      <w:tr>
        <w:trPr>
          <w:trHeight w:val="211"/>
        </w:trPr>
        <w:tc>
          <w:tcPr>
            <w:tcW w:w="55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Adjustment for items reclassified to earnings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tax expense of $204 and $375 for the three months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ended September 30, 2017 and 2016, respectively, and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$676 and $1,171 for the nine months ended September 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0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8"/>
                <w:szCs w:val="18"/>
                <w:color w:val="auto"/>
              </w:rPr>
              <w:t>2017 and 2016, respectively)</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395,352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262,973</w:t>
            </w:r>
          </w:p>
        </w:tc>
        <w:tc>
          <w:tcPr>
            <w:tcW w:w="100" w:type="dxa"/>
            <w:vAlign w:val="bottom"/>
          </w:tcPr>
          <w:p>
            <w:pPr>
              <w:spacing w:after="0"/>
              <w:rPr>
                <w:sz w:val="19"/>
                <w:szCs w:val="19"/>
                <w:color w:val="auto"/>
              </w:rPr>
            </w:pPr>
          </w:p>
        </w:tc>
      </w:tr>
      <w:tr>
        <w:trPr>
          <w:trHeight w:val="20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ATTRIBUTABLE TO</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shd w:val="clear" w:color="auto" w:fill="CFF0FC"/>
          </w:tcPr>
          <w:p>
            <w:pPr>
              <w:spacing w:after="0"/>
              <w:rPr>
                <w:sz w:val="20"/>
                <w:szCs w:val="20"/>
                <w:color w:val="auto"/>
              </w:rPr>
            </w:pPr>
          </w:p>
        </w:tc>
      </w:tr>
      <w:tr>
        <w:trPr>
          <w:trHeight w:val="201"/>
        </w:trPr>
        <w:tc>
          <w:tcPr>
            <w:tcW w:w="55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LAZARD LTD</w:t>
            </w:r>
          </w:p>
        </w:tc>
        <w:tc>
          <w:tcPr>
            <w:tcW w:w="8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125,322</w:t>
            </w:r>
          </w:p>
        </w:tc>
        <w:tc>
          <w:tcPr>
            <w:tcW w:w="240" w:type="dxa"/>
            <w:vAlign w:val="bottom"/>
          </w:tcPr>
          <w:p>
            <w:pPr>
              <w:spacing w:after="0"/>
              <w:rPr>
                <w:sz w:val="20"/>
                <w:szCs w:val="20"/>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389,690</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257,984</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5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342,801</w:t>
            </w:r>
          </w:p>
        </w:tc>
        <w:tc>
          <w:tcPr>
            <w:tcW w:w="160" w:type="dxa"/>
            <w:vAlign w:val="bottom"/>
          </w:tcPr>
          <w:p>
            <w:pPr>
              <w:spacing w:after="0"/>
              <w:rPr>
                <w:sz w:val="18"/>
                <w:szCs w:val="18"/>
                <w:color w:val="auto"/>
              </w:rPr>
            </w:pP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264,705</w:t>
            </w:r>
          </w:p>
        </w:tc>
        <w:tc>
          <w:tcPr>
            <w:tcW w:w="120" w:type="dxa"/>
            <w:vAlign w:val="bottom"/>
          </w:tcPr>
          <w:p>
            <w:pPr>
              <w:spacing w:after="0"/>
              <w:rPr>
                <w:sz w:val="18"/>
                <w:szCs w:val="18"/>
                <w:color w:val="auto"/>
              </w:rPr>
            </w:pPr>
          </w:p>
        </w:tc>
      </w:tr>
      <w:tr>
        <w:trPr>
          <w:trHeight w:val="205"/>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w:t>
            </w:r>
          </w:p>
        </w:tc>
        <w:tc>
          <w:tcPr>
            <w:tcW w:w="1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24,586</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285,162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276,714</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Deferred tax provision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49,184</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(171,734)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(135,152)</w:t>
            </w: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(5,138)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(43,593)</w:t>
            </w: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79,698</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(71,053)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(61,778)</w:t>
            </w: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70,165</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(86,097)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(227,356)</w:t>
            </w:r>
          </w:p>
        </w:tc>
      </w:tr>
      <w:tr>
        <w:trPr>
          <w:trHeight w:val="212"/>
        </w:trPr>
        <w:tc>
          <w:tcPr>
            <w:tcW w:w="66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678,062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299,125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(15,463)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(22,070)</w:t>
            </w:r>
          </w:p>
        </w:tc>
      </w:tr>
      <w:tr>
        <w:trPr>
          <w:trHeight w:val="213"/>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(21,204)</w:t>
            </w:r>
          </w:p>
        </w:tc>
        <w:tc>
          <w:tcPr>
            <w:tcW w:w="120" w:type="dxa"/>
            <w:vAlign w:val="bottom"/>
            <w:shd w:val="clear" w:color="auto" w:fill="CFF0FC"/>
          </w:tcPr>
          <w:p>
            <w:pPr>
              <w:spacing w:after="0"/>
              <w:rPr>
                <w:sz w:val="18"/>
                <w:szCs w:val="18"/>
                <w:color w:val="auto"/>
              </w:rPr>
            </w:pP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30,518</w:t>
            </w:r>
          </w:p>
        </w:tc>
        <w:tc>
          <w:tcPr>
            <w:tcW w:w="12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for:</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(7,329)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(1,234)</w:t>
            </w: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(3,059)</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(966)</w:t>
            </w: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Payments under tax receivable agreement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(10,086)</w:t>
            </w: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(252,538)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(228,865)</w:t>
            </w: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 A common stock dividends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(292,293)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(289,326)</w:t>
            </w:r>
          </w:p>
        </w:tc>
      </w:tr>
      <w:tr>
        <w:trPr>
          <w:trHeight w:val="21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Settlement of vested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(67,384)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(55,562)</w:t>
            </w:r>
          </w:p>
        </w:tc>
      </w:tr>
      <w:tr>
        <w:trPr>
          <w:trHeight w:val="213"/>
        </w:trPr>
        <w:tc>
          <w:tcPr>
            <w:tcW w:w="6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(10,073)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(3,080)</w:t>
            </w:r>
          </w:p>
        </w:tc>
      </w:tr>
      <w:tr>
        <w:trPr>
          <w:trHeight w:val="212"/>
        </w:trPr>
        <w:tc>
          <w:tcPr>
            <w:tcW w:w="66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(633,465)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(556,165)</w:t>
            </w:r>
          </w:p>
        </w:tc>
        <w:tc>
          <w:tcPr>
            <w:tcW w:w="120" w:type="dxa"/>
            <w:vAlign w:val="bottom"/>
            <w:tcBorders>
              <w:top w:val="single" w:sz="8" w:color="CFF0FC"/>
            </w:tcBorders>
            <w:shd w:val="clear" w:color="auto" w:fill="CFF0FC"/>
          </w:tcPr>
          <w:p>
            <w:pPr>
              <w:spacing w:after="0"/>
              <w:rPr>
                <w:sz w:val="18"/>
                <w:szCs w:val="18"/>
                <w:color w:val="auto"/>
              </w:rPr>
            </w:pPr>
          </w:p>
        </w:tc>
      </w:tr>
      <w:tr>
        <w:trPr>
          <w:trHeight w:val="207"/>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w:t>
            </w:r>
          </w:p>
        </w:tc>
        <w:tc>
          <w:tcPr>
            <w:tcW w:w="12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65,808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FF0FC"/>
            </w:tcBorders>
          </w:tcPr>
          <w:p>
            <w:pPr>
              <w:spacing w:after="0"/>
              <w:rPr>
                <w:sz w:val="17"/>
                <w:szCs w:val="17"/>
                <w:color w:val="auto"/>
              </w:rPr>
            </w:pPr>
          </w:p>
        </w:tc>
      </w:tr>
      <w:tr>
        <w:trPr>
          <w:trHeight w:val="21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(278,196)</w:t>
            </w:r>
          </w:p>
        </w:tc>
        <w:tc>
          <w:tcPr>
            <w:tcW w:w="120" w:type="dxa"/>
            <w:vAlign w:val="bottom"/>
            <w:shd w:val="clear" w:color="auto" w:fill="CFF0FC"/>
          </w:tcPr>
          <w:p>
            <w:pPr>
              <w:spacing w:after="0"/>
              <w:rPr>
                <w:sz w:val="18"/>
                <w:szCs w:val="18"/>
                <w:color w:val="auto"/>
              </w:rPr>
            </w:pPr>
          </w:p>
        </w:tc>
      </w:tr>
      <w:tr>
        <w:trPr>
          <w:trHeight w:val="214"/>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EQUIVALENTS—January 1</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1,158,785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1,132,083</w:t>
            </w:r>
          </w:p>
        </w:tc>
        <w:tc>
          <w:tcPr>
            <w:tcW w:w="120" w:type="dxa"/>
            <w:vAlign w:val="bottom"/>
            <w:tcBorders>
              <w:bottom w:val="single" w:sz="8" w:color="CFF0FC"/>
            </w:tcBorders>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EQUIVALENTS—September 30</w:t>
            </w:r>
          </w:p>
        </w:tc>
        <w:tc>
          <w:tcPr>
            <w:tcW w:w="1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1,254,010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1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7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3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Series 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4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Lazard Ltd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13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Preferred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1300" w:type="dxa"/>
            <w:vAlign w:val="bottom"/>
          </w:tcPr>
          <w:p>
            <w:pPr>
              <w:spacing w:after="0"/>
              <w:rPr>
                <w:sz w:val="14"/>
                <w:szCs w:val="14"/>
                <w:color w:val="auto"/>
              </w:rPr>
            </w:pPr>
          </w:p>
        </w:tc>
        <w:tc>
          <w:tcPr>
            <w:tcW w:w="6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Held By Subsidiaries</w:t>
            </w:r>
          </w:p>
        </w:tc>
        <w:tc>
          <w:tcPr>
            <w:tcW w:w="4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1300" w:type="dxa"/>
            <w:vAlign w:val="bottom"/>
          </w:tcPr>
          <w:p>
            <w:pPr>
              <w:spacing w:after="0"/>
              <w:rPr>
                <w:sz w:val="13"/>
                <w:szCs w:val="13"/>
                <w:color w:val="auto"/>
              </w:rPr>
            </w:pPr>
          </w:p>
        </w:tc>
        <w:tc>
          <w:tcPr>
            <w:tcW w:w="6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jc w:val="right"/>
              <w:ind w:right="186"/>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center"/>
              <w:ind w:left="43"/>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92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5"/>
              </w:rPr>
              <w:t>Net of Tax</w:t>
            </w:r>
          </w:p>
        </w:tc>
        <w:tc>
          <w:tcPr>
            <w:tcW w:w="90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194"/>
        </w:trPr>
        <w:tc>
          <w:tcPr>
            <w:tcW w:w="1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w:t>
            </w:r>
          </w:p>
        </w:tc>
        <w:tc>
          <w:tcPr>
            <w:tcW w:w="4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r>
      <w:tr>
        <w:trPr>
          <w:trHeight w:val="218"/>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January 1, 2016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7,921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620" w:type="dxa"/>
            <w:vAlign w:val="bottom"/>
            <w:gridSpan w:val="2"/>
            <w:shd w:val="clear" w:color="auto" w:fill="CFF0FC"/>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rPr>
              <w:t>$ 1,298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600,034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$ 1,123,728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(234,356)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4,253,381</w:t>
            </w: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(177,249)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1,313,455</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53,851</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1,367,306</w:t>
            </w:r>
          </w:p>
        </w:tc>
        <w:tc>
          <w:tcPr>
            <w:tcW w:w="60" w:type="dxa"/>
            <w:vAlign w:val="bottom"/>
            <w:shd w:val="clear" w:color="auto" w:fill="CFF0FC"/>
          </w:tcPr>
          <w:p>
            <w:pPr>
              <w:spacing w:after="0"/>
              <w:rPr>
                <w:sz w:val="18"/>
                <w:szCs w:val="18"/>
                <w:color w:val="auto"/>
              </w:rPr>
            </w:pPr>
          </w:p>
        </w:tc>
      </w:tr>
      <w:tr>
        <w:trPr>
          <w:trHeight w:val="202"/>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income (loss):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1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259,716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264,705</w:t>
            </w:r>
          </w:p>
        </w:tc>
        <w:tc>
          <w:tcPr>
            <w:tcW w:w="60" w:type="dxa"/>
            <w:vAlign w:val="bottom"/>
            <w:shd w:val="clear" w:color="auto" w:fill="CFF0FC"/>
          </w:tcPr>
          <w:p>
            <w:pPr>
              <w:spacing w:after="0"/>
              <w:rPr>
                <w:sz w:val="19"/>
                <w:szCs w:val="19"/>
                <w:color w:val="auto"/>
              </w:rPr>
            </w:pPr>
          </w:p>
        </w:tc>
      </w:tr>
      <w:tr>
        <w:trPr>
          <w:trHeight w:val="202"/>
        </w:trPr>
        <w:tc>
          <w:tcPr>
            <w:tcW w:w="1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 net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 tax</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(1,732)</w:t>
            </w:r>
          </w:p>
        </w:tc>
      </w:tr>
      <w:tr>
        <w:trPr>
          <w:trHeight w:val="208"/>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213,144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213,144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213,144</w:t>
            </w:r>
          </w:p>
        </w:tc>
        <w:tc>
          <w:tcPr>
            <w:tcW w:w="60" w:type="dxa"/>
            <w:vAlign w:val="bottom"/>
            <w:shd w:val="clear" w:color="auto" w:fill="CFF0FC"/>
          </w:tcPr>
          <w:p>
            <w:pPr>
              <w:spacing w:after="0"/>
              <w:rPr>
                <w:sz w:val="18"/>
                <w:szCs w:val="18"/>
                <w:color w:val="auto"/>
              </w:rPr>
            </w:pPr>
          </w:p>
        </w:tc>
      </w:tr>
      <w:tr>
        <w:trPr>
          <w:trHeight w:val="202"/>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equivalents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32,849</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(3,080)</w:t>
            </w:r>
          </w:p>
        </w:tc>
      </w:tr>
      <w:tr>
        <w:trPr>
          <w:trHeight w:val="208"/>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common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dividends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(289,326)</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(289,326)</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(289,326)</w:t>
            </w:r>
          </w:p>
        </w:tc>
      </w:tr>
      <w:tr>
        <w:trPr>
          <w:trHeight w:val="202"/>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Class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6,656,250</w:t>
            </w: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(228,865)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(228,865)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(228,865)</w:t>
            </w:r>
          </w:p>
        </w:tc>
      </w:tr>
      <w:tr>
        <w:trPr>
          <w:trHeight w:val="208"/>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Delivery of Class</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 common stock</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connection with</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related tax</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benefit</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$6,900</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(216,610)</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(4,217,819)</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167,948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(48,662)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(48,662)</w:t>
            </w:r>
          </w:p>
        </w:tc>
      </w:tr>
      <w:tr>
        <w:trPr>
          <w:trHeight w:val="202"/>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Business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and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related equity</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1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Delivery of</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Class A</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and related</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tax benefit of</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$12,653</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(21,777)</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(913,722)</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34,430</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12,653</w:t>
            </w:r>
          </w:p>
        </w:tc>
        <w:tc>
          <w:tcPr>
            <w:tcW w:w="60" w:type="dxa"/>
            <w:vAlign w:val="bottom"/>
            <w:shd w:val="clear" w:color="auto" w:fill="CFF0FC"/>
          </w:tcPr>
          <w:p>
            <w:pPr>
              <w:spacing w:after="0"/>
              <w:rPr>
                <w:sz w:val="18"/>
                <w:szCs w:val="18"/>
                <w:color w:val="auto"/>
              </w:rPr>
            </w:pPr>
          </w:p>
        </w:tc>
      </w:tr>
      <w:tr>
        <w:trPr>
          <w:trHeight w:val="202"/>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A</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issuable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(including</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60" w:type="dxa"/>
            <w:vAlign w:val="bottom"/>
          </w:tcPr>
          <w:p>
            <w:pPr>
              <w:spacing w:after="0"/>
              <w:rPr>
                <w:sz w:val="18"/>
                <w:szCs w:val="18"/>
                <w:color w:val="auto"/>
              </w:rPr>
            </w:pPr>
          </w:p>
        </w:tc>
      </w:tr>
      <w:tr>
        <w:trPr>
          <w:trHeight w:val="208"/>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interests,</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(873)</w:t>
            </w:r>
          </w:p>
        </w:tc>
      </w:tr>
      <w:tr>
        <w:trPr>
          <w:trHeight w:val="213"/>
        </w:trPr>
        <w:tc>
          <w:tcPr>
            <w:tcW w:w="1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60" w:type="dxa"/>
            <w:vAlign w:val="bottom"/>
            <w:tcBorders>
              <w:bottom w:val="single" w:sz="8" w:color="CFF0FC"/>
            </w:tcBorders>
          </w:tcPr>
          <w:p>
            <w:pPr>
              <w:spacing w:after="0"/>
              <w:rPr>
                <w:sz w:val="18"/>
                <w:szCs w:val="18"/>
                <w:color w:val="auto"/>
              </w:rPr>
            </w:pPr>
          </w:p>
        </w:tc>
      </w:tr>
      <w:tr>
        <w:trPr>
          <w:trHeight w:val="197"/>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5"/>
        </w:trPr>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2016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7,921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620" w:type="dxa"/>
            <w:vAlign w:val="bottom"/>
            <w:gridSpan w:val="2"/>
            <w:shd w:val="clear" w:color="auto" w:fill="CFF0FC"/>
          </w:tcPr>
          <w:p>
            <w:pPr>
              <w:jc w:val="center"/>
              <w:ind w:left="43"/>
              <w:spacing w:after="0"/>
              <w:rPr>
                <w:sz w:val="20"/>
                <w:szCs w:val="20"/>
                <w:color w:val="auto"/>
              </w:rPr>
            </w:pPr>
            <w:r>
              <w:rPr>
                <w:rFonts w:ascii="Times New Roman" w:cs="Times New Roman" w:eastAsia="Times New Roman" w:hAnsi="Times New Roman"/>
                <w:sz w:val="16"/>
                <w:szCs w:val="16"/>
                <w:b w:val="1"/>
                <w:bCs w:val="1"/>
                <w:color w:val="auto"/>
              </w:rPr>
              <w:t>$ 1,298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623,512</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$ 1,058,189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(236,088)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5,778,090</w:t>
            </w:r>
          </w:p>
        </w:tc>
        <w:tc>
          <w:tcPr>
            <w:tcW w:w="10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(203,736)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1,243,175</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57,967</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1,301,142</w:t>
            </w:r>
          </w:p>
        </w:tc>
        <w:tc>
          <w:tcPr>
            <w:tcW w:w="60" w:type="dxa"/>
            <w:vAlign w:val="bottom"/>
            <w:shd w:val="clear" w:color="auto" w:fill="CFF0FC"/>
          </w:tcPr>
          <w:p>
            <w:pPr>
              <w:spacing w:after="0"/>
              <w:rPr>
                <w:sz w:val="18"/>
                <w:szCs w:val="18"/>
                <w:color w:val="auto"/>
              </w:rPr>
            </w:pPr>
          </w:p>
        </w:tc>
      </w:tr>
      <w:tr>
        <w:trPr>
          <w:trHeight w:val="20"/>
        </w:trPr>
        <w:tc>
          <w:tcPr>
            <w:tcW w:w="1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 PERIOD ENDED 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7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7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165"/>
        </w:trPr>
        <w:tc>
          <w:tcPr>
            <w:tcW w:w="202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Paid-In-</w:t>
            </w:r>
          </w:p>
        </w:tc>
        <w:tc>
          <w:tcPr>
            <w:tcW w:w="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7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Held By Subsidiaries</w:t>
            </w: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156"/>
        </w:trPr>
        <w:tc>
          <w:tcPr>
            <w:tcW w:w="2020" w:type="dxa"/>
            <w:vAlign w:val="bottom"/>
          </w:tcPr>
          <w:p>
            <w:pPr>
              <w:spacing w:after="0"/>
              <w:rPr>
                <w:sz w:val="13"/>
                <w:szCs w:val="13"/>
                <w:color w:val="auto"/>
              </w:rPr>
            </w:pPr>
          </w:p>
        </w:tc>
        <w:tc>
          <w:tcPr>
            <w:tcW w:w="106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2"/>
              </w:rPr>
              <w:t>Net of Tax</w:t>
            </w: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10"/>
        </w:trPr>
        <w:tc>
          <w:tcPr>
            <w:tcW w:w="2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January 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688,231</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(314,222)</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7,628,786</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(273,506)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$ 1,235,987</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57,826</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$ 1,293,813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Adjustment for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on prior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 from the 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new accounting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guidance related to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based incentive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81,544</w:t>
            </w:r>
          </w:p>
        </w:tc>
        <w:tc>
          <w:tcPr>
            <w:tcW w:w="100" w:type="dxa"/>
            <w:vAlign w:val="bottom"/>
          </w:tcPr>
          <w:p>
            <w:pPr>
              <w:spacing w:after="0"/>
              <w:rPr>
                <w:sz w:val="18"/>
                <w:szCs w:val="18"/>
                <w:color w:val="auto"/>
              </w:rPr>
            </w:pPr>
          </w:p>
        </w:tc>
      </w:tr>
      <w:tr>
        <w:trPr>
          <w:trHeight w:val="199"/>
        </w:trPr>
        <w:tc>
          <w:tcPr>
            <w:tcW w:w="2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adjusted -</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1, 2017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129,766,091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688,231</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1,215,730</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(314,222)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7,628,786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1,317,531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57,826</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1,375,357</w:t>
            </w:r>
          </w:p>
        </w:tc>
        <w:tc>
          <w:tcPr>
            <w:tcW w:w="100" w:type="dxa"/>
            <w:vAlign w:val="bottom"/>
            <w:shd w:val="clear" w:color="auto" w:fill="CFF0FC"/>
          </w:tcPr>
          <w:p>
            <w:pPr>
              <w:spacing w:after="0"/>
              <w:rPr>
                <w:sz w:val="18"/>
                <w:szCs w:val="18"/>
                <w:color w:val="auto"/>
              </w:rPr>
            </w:pPr>
          </w:p>
        </w:tc>
      </w:t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337,141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337,141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342,801</w:t>
            </w:r>
          </w:p>
        </w:tc>
        <w:tc>
          <w:tcPr>
            <w:tcW w:w="100" w:type="dxa"/>
            <w:vAlign w:val="bottom"/>
            <w:shd w:val="clear" w:color="auto" w:fill="CFF0FC"/>
          </w:tcPr>
          <w:p>
            <w:pPr>
              <w:spacing w:after="0"/>
              <w:rPr>
                <w:sz w:val="19"/>
                <w:szCs w:val="19"/>
                <w:color w:val="auto"/>
              </w:rPr>
            </w:pPr>
          </w:p>
        </w:tc>
      </w:tr>
      <w:tr>
        <w:trPr>
          <w:trHeight w:val="202"/>
        </w:trPr>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 net 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52,551</w:t>
            </w:r>
          </w:p>
        </w:tc>
        <w:tc>
          <w:tcPr>
            <w:tcW w:w="100" w:type="dxa"/>
            <w:vAlign w:val="bottom"/>
          </w:tcPr>
          <w:p>
            <w:pPr>
              <w:spacing w:after="0"/>
              <w:rPr>
                <w:sz w:val="18"/>
                <w:szCs w:val="18"/>
                <w:color w:val="auto"/>
              </w:rPr>
            </w:pPr>
          </w:p>
        </w:tc>
      </w:tr>
      <w:tr>
        <w:trPr>
          <w:trHeight w:val="20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220,648</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220,648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220,648</w:t>
            </w:r>
          </w:p>
        </w:tc>
        <w:tc>
          <w:tcPr>
            <w:tcW w:w="100" w:type="dxa"/>
            <w:vAlign w:val="bottom"/>
            <w:shd w:val="clear" w:color="auto" w:fill="CFF0FC"/>
          </w:tcPr>
          <w:p>
            <w:pPr>
              <w:spacing w:after="0"/>
              <w:rPr>
                <w:sz w:val="18"/>
                <w:szCs w:val="18"/>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Dividend-equivalents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36,482</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(41,479)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(4,997)</w:t>
            </w:r>
          </w:p>
        </w:tc>
      </w:tr>
      <w:tr>
        <w:trPr>
          <w:trHeight w:val="20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(292,293)</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(292,293)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(292,293)</w:t>
            </w: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Class A common</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5,838,520</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(252,538)</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(252,538)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(252,538)</w:t>
            </w:r>
          </w:p>
        </w:tc>
      </w:tr>
      <w:tr>
        <w:trPr>
          <w:trHeight w:val="20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Delivery of Class A common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 $4,819</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(212,271)</w:t>
            </w: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(3,772,169)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140,068</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(72,203)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(72,203)</w:t>
            </w: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Delivery of Class A</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and related tax benefit</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 $832</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(47,474)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FF0FC"/>
          </w:tcPr>
          <w:p>
            <w:pPr>
              <w:spacing w:after="0"/>
              <w:rPr>
                <w:sz w:val="18"/>
                <w:szCs w:val="18"/>
                <w:color w:val="auto"/>
              </w:rPr>
            </w:pPr>
          </w:p>
        </w:tc>
      </w:tr>
      <w:tr>
        <w:trPr>
          <w:trHeight w:val="202"/>
        </w:trPr>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Class A common stock</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issuable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(including related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8"/>
                <w:szCs w:val="18"/>
                <w:color w:val="auto"/>
              </w:rPr>
            </w:pPr>
          </w:p>
        </w:tc>
      </w:tr>
      <w:tr>
        <w:trPr>
          <w:trHeight w:val="20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 net</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(3,059)</w:t>
            </w: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(3,059)</w:t>
            </w:r>
          </w:p>
        </w:tc>
      </w:t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r>
      <w:tr>
        <w:trPr>
          <w:trHeight w:val="197"/>
        </w:trPr>
        <w:tc>
          <w:tcPr>
            <w:tcW w:w="2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 September 30,</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129,766,091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732,981</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$ 1,219,303</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(261,673)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9,647,663</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(384,067)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$ 1,307,842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60,633</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$ 1,368,475</w:t>
            </w:r>
          </w:p>
        </w:tc>
        <w:tc>
          <w:tcPr>
            <w:tcW w:w="100" w:type="dxa"/>
            <w:vAlign w:val="bottom"/>
            <w:shd w:val="clear" w:color="auto" w:fill="CFF0FC"/>
          </w:tcPr>
          <w:p>
            <w:pPr>
              <w:spacing w:after="0"/>
              <w:rPr>
                <w:sz w:val="18"/>
                <w:szCs w:val="18"/>
                <w:color w:val="auto"/>
              </w:rPr>
            </w:pPr>
          </w:p>
        </w:tc>
      </w:tr>
      <w:tr>
        <w:trPr>
          <w:trHeight w:val="20"/>
        </w:trPr>
        <w:tc>
          <w:tcPr>
            <w:tcW w:w="20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30"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4"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September 30, 2017 and December 31, 2016. Lazard Ltd, through its control of the managing members of Lazard Group, controls Lazard Group, which is governed by an Amended and Restated Operating Agreement dated as of October 26, 2015, as amended (the “Operating Agreement”).</w:t>
      </w:r>
    </w:p>
    <w:p>
      <w:pPr>
        <w:spacing w:after="0" w:line="176"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54" w:lineRule="exact"/>
        <w:rPr>
          <w:sz w:val="20"/>
          <w:szCs w:val="20"/>
          <w:color w:val="auto"/>
        </w:rPr>
      </w:pPr>
    </w:p>
    <w:p>
      <w:pPr>
        <w:ind w:left="900" w:right="1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68" w:lineRule="exact"/>
        <w:rPr>
          <w:rFonts w:ascii="Times New Roman" w:cs="Times New Roman" w:eastAsia="Times New Roman" w:hAnsi="Times New Roman"/>
          <w:sz w:val="18"/>
          <w:szCs w:val="18"/>
          <w:color w:val="auto"/>
        </w:rPr>
      </w:pPr>
    </w:p>
    <w:p>
      <w:pPr>
        <w:ind w:left="900" w:right="200" w:hanging="379"/>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4"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and nine month periods ended September 30, 2017 are not indicative of the results to be expected for any future interim or annual period.</w:t>
      </w:r>
    </w:p>
    <w:p>
      <w:pPr>
        <w:spacing w:after="0" w:line="162"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1" w:name="page12"/>
    <w:bookmarkEnd w:id="1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where the Company holds a majority of the voting interest in such VOEs, and</w:t>
      </w:r>
    </w:p>
    <w:p>
      <w:pPr>
        <w:spacing w:after="0" w:line="117" w:lineRule="exact"/>
        <w:rPr>
          <w:rFonts w:ascii="Times New Roman" w:cs="Times New Roman" w:eastAsia="Times New Roman" w:hAnsi="Times New Roman"/>
          <w:sz w:val="18"/>
          <w:szCs w:val="18"/>
          <w:color w:val="auto"/>
        </w:rPr>
      </w:pPr>
    </w:p>
    <w:p>
      <w:pPr>
        <w:ind w:left="900" w:right="280" w:hanging="379"/>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76"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76"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specifically by including capital lease obligations, previously presented separately, in other liabilities on the condensed consolidated statements of financial condition.</w:t>
      </w:r>
    </w:p>
    <w:p>
      <w:pPr>
        <w:spacing w:after="0" w:line="34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1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—In March 2016, the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Based on the new guidance, the excess tax benefits are no longer included as assumed proceeds in the calculation of earnings per share under the treasury stock method on a prospective basis. Upon adoption of the new guidance, the Company also recorded deferred tax assets of $81,544,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18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—In May 2014, the FASB issued comprehensive new revenue recognition guidance. The guidance requires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will adopt the revenue recognition guidance upon its effective date of January 1, 2018 and it intends to apply the modified cumulative effect approach upon transition. The Company’s implementation efforts include the identification of revenue within the scope of the guidance and the evaluation of revenue contracts.</w:t>
      </w:r>
    </w:p>
    <w:p>
      <w:pPr>
        <w:spacing w:after="0" w:line="187"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continues to evaluate the potential impact of the new guidance including (i) the timing of revenue recognition for Financial Advisory fees and (ii) the presentation of certain contract costs. With respect to revenue recognition, the Company is assessing the potential impact of the new guidance on the Company’s recognition of certain M&amp;A Advisory fees (e.g., transaction completion, transaction announcement and retainer fees), including whether the Company’s fulfillment of its performance obligations under M&amp;A Advisory engagement contracts would be deemed to occur over time, or at specific points in time, under the new</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 w:name="page13"/>
    <w:bookmarkEnd w:id="1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guidance. Interpretive guidance on this particular issue continues to be deliberated by the Financial Reporting Executive Committee of the American Institute of Certified Public Accountants. With respect to the potential impact of the new guidance on the Company’s presentation of certain contract costs, the Company anticipates that the new guidance will result in the gross basis of presentation of certain contract costs that are currently presented net of certain items in revenues. The most significant changes identified to date with respect to presentation relate to (a) certain distribution costs within our Asset Management business and (b) certain reimbursable deal costs within our Financial Advisory business, both of which are currently presented net against revenues and will be presented as expenses on a gross basis under the new guidance. The Company is currently evaluating the impact of this presentation.</w:t>
      </w:r>
    </w:p>
    <w:p>
      <w:pPr>
        <w:spacing w:after="0" w:line="186"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In August and November 2016, the FASB issued updated guidance which clarifies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In January 2017, the FASB issued updated guidance to clarify the definition of a business within the context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83"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83"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Compensation—Stock Compensation: Scope of Modification Accounting—</w:t>
      </w:r>
      <w:r>
        <w:rPr>
          <w:rFonts w:ascii="Times New Roman" w:cs="Times New Roman" w:eastAsia="Times New Roman" w:hAnsi="Times New Roman"/>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with early adoption permitted. The new guidance is to be applied on a prospective basis. The Company is currently evaluating the new guidance.</w:t>
      </w:r>
    </w:p>
    <w:p>
      <w:pPr>
        <w:spacing w:after="0" w:line="183"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—In February 2016, the FASB issued updated guidance for leases. The guidance requires a lessee to (i) recognize a right-of-use asset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80" w:lineRule="exact"/>
        <w:rPr>
          <w:sz w:val="20"/>
          <w:szCs w:val="20"/>
          <w:color w:val="auto"/>
        </w:rPr>
      </w:pPr>
    </w:p>
    <w:p>
      <w:pPr>
        <w:ind w:right="1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—In June 2016, the FASB issued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 w:name="page14"/>
    <w:bookmarkEnd w:id="1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Intangibles—Goodwill and Other: Simplifying the Test for Goodwill Impairment</w:t>
      </w:r>
      <w:r>
        <w:rPr>
          <w:rFonts w:ascii="Times New Roman" w:cs="Times New Roman" w:eastAsia="Times New Roman" w:hAnsi="Times New Roman"/>
          <w:sz w:val="18"/>
          <w:szCs w:val="18"/>
          <w:color w:val="auto"/>
        </w:rPr>
        <w:t>—In January 2017, the FASB issued updated guidance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7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three month and nine month periods ended September 30, 2017 and 2016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9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25,094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19"/>
                <w:szCs w:val="19"/>
                <w:color w:val="auto"/>
              </w:rPr>
            </w:pPr>
          </w:p>
        </w:tc>
      </w:tr>
      <w:tr>
        <w:trPr>
          <w:trHeight w:val="21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(2,383)</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(2,147)</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(7,506)</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(4,039)</w:t>
            </w: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27,464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Bad debt expense, net of recoveries is included in “investment banking and other advisory fees” on the condensed consolidated statements of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2017 and December 31, 2016, the Company had receivables past due or deemed uncollectible of $44,372 and $22,212, respectively.</w:t>
      </w:r>
    </w:p>
    <w:p>
      <w:pPr>
        <w:spacing w:after="0" w:line="225"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Of the Company’s fee receivables at September 30, 2017 and December 31, 2016, $64,965 and $76,133,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76"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$486,923 and $562,149 at September 30, 2017 and December 31, 2016, respectively, approximates fair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September 30, 2017 and December 31,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FF0FC"/>
            </w:tcBorders>
          </w:tcPr>
          <w:p>
            <w:pPr>
              <w:spacing w:after="0"/>
              <w:rPr>
                <w:sz w:val="15"/>
                <w:szCs w:val="15"/>
                <w:color w:val="auto"/>
              </w:rPr>
            </w:pPr>
          </w:p>
        </w:tc>
        <w:tc>
          <w:tcPr>
            <w:tcW w:w="482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426,174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right="14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$13,850, $48,451 and $124,570, respectively, at September 30, 2017 and $13,080, $37,869 and $128,219, respectively, at December 31, 2016,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197" w:lineRule="exact"/>
        <w:rPr>
          <w:sz w:val="20"/>
          <w:szCs w:val="20"/>
          <w:color w:val="auto"/>
        </w:rPr>
      </w:pPr>
    </w:p>
    <w:p>
      <w:pPr>
        <w:ind w:right="940" w:firstLine="518"/>
        <w:spacing w:after="0" w:line="282"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62"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84"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 and nine month periods ended September 30, 2017 and 2016, the Company reported in “revenue-other” on its condensed consolidated statements of operations net unrealized investment gains and losses pertaining to “trading” securities still held as of the reporting date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investment gains</w:t>
            </w:r>
          </w:p>
        </w:tc>
        <w:tc>
          <w:tcPr>
            <w:tcW w:w="72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93"/>
              </w:rPr>
              <w:t>6,949</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9,047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27,932</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Hierarchy of Investments and Certain Other Assets and Liabilities</w:t>
      </w:r>
      <w:r>
        <w:rPr>
          <w:rFonts w:ascii="Times New Roman" w:cs="Times New Roman" w:eastAsia="Times New Roman" w:hAnsi="Times New Roman"/>
          <w:sz w:val="18"/>
          <w:szCs w:val="18"/>
          <w:color w:val="auto"/>
        </w:rPr>
        <w:t>—Lazard categorizes its investments and certain other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recorded at fair value into a three-level fair value hierarchy as follows:</w:t>
      </w:r>
    </w:p>
    <w:p>
      <w:pPr>
        <w:spacing w:after="0" w:line="49" w:lineRule="exact"/>
        <w:rPr>
          <w:sz w:val="20"/>
          <w:szCs w:val="20"/>
          <w:color w:val="auto"/>
        </w:rPr>
      </w:pPr>
    </w:p>
    <w:p>
      <w:pPr>
        <w:ind w:left="580" w:right="420" w:hanging="58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access.</w:t>
      </w:r>
    </w:p>
    <w:p>
      <w:pPr>
        <w:spacing w:after="0" w:line="50" w:lineRule="exact"/>
        <w:rPr>
          <w:sz w:val="20"/>
          <w:szCs w:val="20"/>
          <w:color w:val="auto"/>
        </w:rPr>
      </w:pPr>
    </w:p>
    <w:p>
      <w:pPr>
        <w:ind w:left="580" w:right="200" w:hanging="58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in non-active markets, or (ii) inputs other than quoted prices that are directly observable or derived principally from, or corroborated by, market data.</w:t>
      </w:r>
    </w:p>
    <w:p>
      <w:pPr>
        <w:spacing w:after="0" w:line="65" w:lineRule="exact"/>
        <w:rPr>
          <w:sz w:val="20"/>
          <w:szCs w:val="20"/>
          <w:color w:val="auto"/>
        </w:rPr>
      </w:pPr>
    </w:p>
    <w:p>
      <w:pPr>
        <w:ind w:left="580" w:hanging="580"/>
        <w:spacing w:after="0" w:line="261"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76"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62"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securities sold, not yet purchased, is classified as Level 1 when the fair values are based on unadjusted quoted prices in active markets.</w:t>
      </w:r>
    </w:p>
    <w:p>
      <w:pPr>
        <w:spacing w:after="0" w:line="162" w:lineRule="exact"/>
        <w:rPr>
          <w:sz w:val="20"/>
          <w:szCs w:val="20"/>
          <w:color w:val="auto"/>
        </w:rPr>
      </w:pPr>
    </w:p>
    <w:p>
      <w:pPr>
        <w:ind w:right="56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Investments Measured at Net Asset Value (“NAV”)</w:t>
      </w:r>
      <w:r>
        <w:rPr>
          <w:rFonts w:ascii="Times New Roman" w:cs="Times New Roman" w:eastAsia="Times New Roman" w:hAnsi="Times New Roman"/>
          <w:sz w:val="18"/>
          <w:szCs w:val="18"/>
          <w:color w:val="auto"/>
        </w:rPr>
        <w:t>—As a practical expedient, the Company uses NAV or its equivalent to measure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1" w:lineRule="exact"/>
        <w:rPr>
          <w:sz w:val="20"/>
          <w:szCs w:val="20"/>
          <w:color w:val="auto"/>
        </w:rPr>
      </w:pPr>
    </w:p>
    <w:p>
      <w:pPr>
        <w:jc w:val="both"/>
        <w:ind w:right="46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tables present, as of September 30,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86,151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429,617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39,509</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209,313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7" w:name="page18"/>
    <w:bookmarkEnd w:id="1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and liabilities for the three month and nine month periods ended September 30, 2017 and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1"/>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8" w:name="page19"/>
    <w:bookmarkEnd w:id="1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8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4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right="240" w:hanging="372"/>
        <w:spacing w:after="0" w:line="258"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recorded in “other revenue” for investments in equities for the three month and nine month periods ended September 30, 2017 and the three month and nine month periods ended September 30, 2016 include net unrealized gains of $130, $2, $2 and $7, respectively. Earnings recorded in “amortization and other acquisition-related costs” for the contingent consideration liability for the three month and nine month periods ended September 30, 2017 and the three month and nine month periods ended September 30, 2016 include unrealized gains (losses) of $612, $(2,568), $(28) and $(28), respectively.</w:t>
      </w:r>
    </w:p>
    <w:p>
      <w:pPr>
        <w:spacing w:after="0" w:line="19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and nine month periods ended September 30, 2017 and 2016. Certain investments that were valued at NAV as of December 31, 2016 were transferred to Level 2 from the NAV category in the six months ended June 30, 2017, as these investments were valued based on a probable transaction value as of the reporting date that differs from NAV. Such investments were sold in the second quarter of 2017.</w:t>
      </w:r>
    </w:p>
    <w:p>
      <w:pPr>
        <w:spacing w:after="0" w:line="180"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tables present, at September 30, 2017 and December 31, 2016, certain investments that are valued using NAV or its equivalent as a practical expedient in determining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Next</w:t>
            </w:r>
          </w:p>
        </w:tc>
        <w:tc>
          <w:tcPr>
            <w:tcW w:w="1060" w:type="dxa"/>
            <w:vAlign w:val="bottom"/>
          </w:tcPr>
          <w:p>
            <w:pPr>
              <w:jc w:val="right"/>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&lt;30-60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days</w:t>
            </w:r>
          </w:p>
        </w:tc>
        <w:tc>
          <w:tcPr>
            <w:tcW w:w="0" w:type="dxa"/>
            <w:vAlign w:val="bottom"/>
          </w:tcPr>
          <w:p>
            <w:pPr>
              <w:spacing w:after="0"/>
              <w:rPr>
                <w:sz w:val="1"/>
                <w:szCs w:val="1"/>
                <w:color w:val="auto"/>
              </w:rPr>
            </w:pPr>
          </w:p>
        </w:tc>
      </w:tr>
      <w:tr>
        <w:trPr>
          <w:trHeight w:val="210"/>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3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86,151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10,085</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(51%), monthly (2%) and quarterly (47%)</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(97%) and quarterly (3%)</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(18%), monthly (50%) and quarterly (32%)</w:t>
      </w:r>
    </w:p>
    <w:p>
      <w:pPr>
        <w:spacing w:after="0" w:line="9"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$5,915 are excluded. Such commitments are required to be funded by capital contributions from noncontrolling interest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21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Next</w:t>
            </w:r>
          </w:p>
        </w:tc>
        <w:tc>
          <w:tcPr>
            <w:tcW w:w="900" w:type="dxa"/>
            <w:vAlign w:val="bottom"/>
          </w:tcPr>
          <w:p>
            <w:pPr>
              <w:jc w:val="right"/>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4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10"/>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&lt;30-60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days</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&lt;30-90 days</w:t>
            </w: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100%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129,591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(73%), monthly (2%) and quarterly (25%)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(7%) and monthly (93%)</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(19%), monthly (50%) and quarterly (31%)</w:t>
      </w:r>
    </w:p>
    <w:p>
      <w:pPr>
        <w:spacing w:after="0" w:line="9"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176" w:lineRule="exact"/>
        <w:rPr>
          <w:sz w:val="20"/>
          <w:szCs w:val="20"/>
          <w:color w:val="auto"/>
        </w:rPr>
      </w:pPr>
    </w:p>
    <w:p>
      <w:pPr>
        <w:ind w:right="20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September 30, 2017,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69"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September 30, 2017 and December 31,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920" w:type="dxa"/>
            <w:vAlign w:val="bottom"/>
            <w:tcBorders>
              <w:bottom w:val="single" w:sz="8" w:color="CFF0FC"/>
            </w:tcBorders>
          </w:tcPr>
          <w:p>
            <w:pPr>
              <w:spacing w:after="0"/>
              <w:rPr>
                <w:sz w:val="15"/>
                <w:szCs w:val="15"/>
                <w:color w:val="auto"/>
              </w:rPr>
            </w:pPr>
          </w:p>
        </w:tc>
        <w:tc>
          <w:tcPr>
            <w:tcW w:w="4260" w:type="dxa"/>
            <w:vAlign w:val="bottom"/>
            <w:tcBorders>
              <w:bottom w:val="single" w:sz="8" w:color="CFF0FC"/>
            </w:tcBorders>
          </w:tcPr>
          <w:p>
            <w:pPr>
              <w:spacing w:after="0"/>
              <w:rPr>
                <w:sz w:val="15"/>
                <w:szCs w:val="15"/>
                <w:color w:val="auto"/>
              </w:rPr>
            </w:pPr>
          </w:p>
        </w:tc>
        <w:tc>
          <w:tcPr>
            <w:tcW w:w="16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189,142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9" w:lineRule="exact"/>
        <w:rPr>
          <w:sz w:val="20"/>
          <w:szCs w:val="20"/>
          <w:color w:val="auto"/>
        </w:rPr>
      </w:pPr>
    </w:p>
    <w:p>
      <w:pPr>
        <w:ind w:left="380" w:right="8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total return swaps, amounts represent the netting of gross derivative assets and liabilities of $509 and $9,561 as of September 30, 2017, respectively, and $357 and $9,400 as of December 31, 2016, respectively, for contracts with the same counterparty under legally enforceable master netting agreements. Such amounts are recorded “net” in “other assets”, with receivables for net cash collateral under such contracts of $17,496 and $16,996 as of September 30, 2017 and December 31, 2016, respectively.</w:t>
      </w:r>
    </w:p>
    <w:p>
      <w:pPr>
        <w:spacing w:after="0" w:line="194"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2017 and 2016,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(4,707)</w:t>
            </w: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(3,890)</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(4,032)</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(12,872)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(5,494)</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September 30, 2017 and December 31, 2016, property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040" w:type="dxa"/>
            <w:vAlign w:val="bottom"/>
            <w:tcBorders>
              <w:bottom w:val="single" w:sz="8" w:color="CFF0FC"/>
            </w:tcBorders>
          </w:tcPr>
          <w:p>
            <w:pPr>
              <w:spacing w:after="0"/>
              <w:rPr>
                <w:sz w:val="15"/>
                <w:szCs w:val="15"/>
                <w:color w:val="auto"/>
              </w:rPr>
            </w:pPr>
          </w:p>
        </w:tc>
        <w:tc>
          <w:tcPr>
            <w:tcW w:w="136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286,001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209,021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1" w:name="page22"/>
    <w:bookmarkEnd w:id="2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September 30, 2017 and December 31, 2016 are presented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18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385,486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392,068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At September 30, 2017 and December 31, 2016, goodwill of $320,945 and $308,576, respectively, was attributable to the Company’s Financial Advisory segment and, at each such respective date, $64,541 of goodwill was attributable to the Company’s Asset Management segment.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 periods ended September 30, 2017 and 2016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(see Note 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80" w:type="dxa"/>
            <w:vAlign w:val="bottom"/>
            <w:shd w:val="clear" w:color="auto" w:fill="CFF0FC"/>
          </w:tcPr>
          <w:p>
            <w:pPr>
              <w:spacing w:after="0"/>
              <w:rPr>
                <w:sz w:val="19"/>
                <w:szCs w:val="19"/>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346,044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All changes in the carrying amount of goodwill for the nine month periods ended September 30, 2017 and 2016 are attributable to the Company’s Financial Advisory segment.</w:t>
      </w:r>
    </w:p>
    <w:p>
      <w:pPr>
        <w:spacing w:after="0" w:line="162"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September 30, 2017 and December 31, 2016, by major intangible asset category,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4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1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35,259</w:t>
            </w:r>
          </w:p>
        </w:tc>
        <w:tc>
          <w:tcPr>
            <w:tcW w:w="46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included in “amortization and other acquisition-related costs” in the condensed consolidated statements of operations, for the three month and nine month periods ended September 30, 2017 was $784 and $2,435, respectively, and for the three month and nine month periods ended September 30, 2016 was $835 and $1,809, respectively. Estimated future amortization expense is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540" w:type="dxa"/>
            <w:vAlign w:val="bottom"/>
            <w:vMerge w:val="restart"/>
          </w:tcPr>
          <w:p>
            <w:pPr>
              <w:spacing w:after="0"/>
              <w:rPr>
                <w:sz w:val="13"/>
                <w:szCs w:val="13"/>
                <w:color w:val="auto"/>
              </w:rPr>
            </w:pPr>
          </w:p>
        </w:tc>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gridSpan w:val="3"/>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620" w:right="3040" w:hanging="4464"/>
        <w:spacing w:after="0" w:line="783" w:lineRule="auto"/>
        <w:tabs>
          <w:tab w:leader="none" w:pos="15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 of intangible asset amortization is attributable to a noncontrolling interest.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121"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September 30, 2017 and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Rate(a)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5"/>
        </w:trPr>
        <w:tc>
          <w:tcPr>
            <w:tcW w:w="2600" w:type="dxa"/>
            <w:vAlign w:val="bottom"/>
            <w:tcBorders>
              <w:top w:val="single" w:sz="8" w:color="CFF0FC"/>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Lazard Group 2020</w:t>
            </w: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2027</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296,293</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1,189,936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80" w:right="200" w:hanging="372"/>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9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2017 and December 31, 2016, no amounts were outstanding under the Amended and Restated Credit Agreement.</w:t>
      </w:r>
    </w:p>
    <w:p>
      <w:pPr>
        <w:spacing w:after="0" w:line="18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2017, the Company was in compliance with such provisions. All of the Company’s senior debt obligations are unsecured.</w:t>
      </w:r>
    </w:p>
    <w:p>
      <w:pPr>
        <w:spacing w:after="0" w:line="176"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2017, the Company had approximately $175,000 in unused lines of credit available to it, including the credit facility provided under the Amended and Restated Credit Agreement and unused lines of credit available to LFB of approximately $24,000 (at September 30, 2017 exchange rates).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Company’s senior debt at September 30, 2017 and December 31, 2016 is carried at historical amounts of $1,189,936 and $1,188,600, respectively. At those dates, the fair value of such senior debt was approximately $1,230,000 and $1,204,000, respectively. The fair value of the Company’s senior debt is based on market quotations. The Company’s senior debt would be categorized within Level 2 of the hierarchy of fair value measurements if carried at fair value.</w:t>
      </w:r>
    </w:p>
    <w:p>
      <w:pPr>
        <w:spacing w:after="0" w:line="36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7" w:lineRule="exact"/>
        <w:rPr>
          <w:rFonts w:ascii="Times New Roman" w:cs="Times New Roman" w:eastAsia="Times New Roman" w:hAnsi="Times New Roman"/>
          <w:sz w:val="18"/>
          <w:szCs w:val="18"/>
          <w:b w:val="1"/>
          <w:bCs w:val="1"/>
          <w:i w:val="1"/>
          <w:iCs w:val="1"/>
          <w:color w:val="auto"/>
        </w:rPr>
      </w:pPr>
    </w:p>
    <w:p>
      <w:pPr>
        <w:ind w:left="5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September 30, 2017, LFB had $2,948 of such indemnifications and held $2,948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77" w:lineRule="exact"/>
        <w:rPr>
          <w:sz w:val="20"/>
          <w:szCs w:val="20"/>
          <w:color w:val="auto"/>
        </w:rPr>
      </w:pPr>
    </w:p>
    <w:p>
      <w:pPr>
        <w:ind w:right="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w:t>
      </w:r>
      <w:r>
        <w:rPr>
          <w:rFonts w:ascii="Times New Roman" w:cs="Times New Roman" w:eastAsia="Times New Roman" w:hAnsi="Times New Roman"/>
          <w:sz w:val="18"/>
          <w:szCs w:val="18"/>
          <w:color w:val="auto"/>
        </w:rPr>
        <w:t>—For businesses acquired in 2016, consideration consists of (i) previously paid one-time cash payments, 60,817 shares of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common stock subject to non-compete provisions, and non-contingent interests exchangeable into 204,651 shares of Class A common stock, and (ii) up to 810,742 additional shares of Class A common stock that are subject to certain performance thresholds. As of September 30, 2017, none of the contingent shares had been earned.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—The Company has various other contractual commitments arising in the ordinary course of business. In addition,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each of LFB and LFNY may enter into underwriting commitments in which it will participate as an underwriter. At September 30, 2017, LFB and LFNY had no such underwriting commitments.</w:t>
      </w:r>
    </w:p>
    <w:p>
      <w:pPr>
        <w:spacing w:after="0" w:line="175"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See Notes 5 and 13 for information regarding commitments relating to investment capital funding commitments and obligations to fund our pension plans, respectively.</w:t>
      </w:r>
    </w:p>
    <w:p>
      <w:pPr>
        <w:spacing w:after="0" w:line="162"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58"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7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117"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nine month period ended September 30, 2017 and since 2014, the Board of Directors of Lazard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repurchase of Class A common stock as set forth in the table below:</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0" w:type="dxa"/>
            <w:vAlign w:val="bottom"/>
            <w:vMerge w:val="restart"/>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2016</w:t>
            </w:r>
          </w:p>
        </w:tc>
        <w:tc>
          <w:tcPr>
            <w:tcW w:w="2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113,182</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 Per</w:t>
            </w:r>
          </w:p>
        </w:tc>
      </w:tr>
      <w:tr>
        <w:trPr>
          <w:trHeight w:val="178"/>
        </w:trPr>
        <w:tc>
          <w:tcPr>
            <w:tcW w:w="628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bottom w:val="single" w:sz="8" w:color="CFF0FC"/>
            </w:tcBorders>
          </w:tcPr>
          <w:p>
            <w:pPr>
              <w:spacing w:after="0" w:line="20" w:lineRule="exact"/>
              <w:rPr>
                <w:sz w:val="1"/>
                <w:szCs w:val="1"/>
                <w:color w:val="auto"/>
              </w:rPr>
            </w:pPr>
          </w:p>
        </w:tc>
        <w:tc>
          <w:tcPr>
            <w:tcW w:w="38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3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6,656,250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8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5,838,520</w:t>
            </w:r>
          </w:p>
        </w:tc>
        <w:tc>
          <w:tcPr>
            <w:tcW w:w="4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80" w:type="dxa"/>
            <w:vAlign w:val="bottom"/>
          </w:tcPr>
          <w:p>
            <w:pPr>
              <w:spacing w:after="0"/>
              <w:rPr>
                <w:sz w:val="20"/>
                <w:szCs w:val="20"/>
                <w:color w:val="auto"/>
              </w:rPr>
            </w:pPr>
          </w:p>
        </w:tc>
      </w:tr>
    </w:tbl>
    <w:p>
      <w:pPr>
        <w:spacing w:after="0" w:line="22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During the nine month periods ended September 30, 2017 and 2016,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nine month periods ended September 30, 2017 and 2016, the Company purchased shares of Class A common stock from an executive officer. The aggregate value of all such purchases during the nine month periods ended September 30, 2017 and 2016 was approximately $14,700 and $4,900, respectively.</w:t>
      </w:r>
    </w:p>
    <w:p>
      <w:pPr>
        <w:spacing w:after="0" w:line="18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2017, a total of $102,587 of share repurchase authorization remained available under the Company’s share repurchase program, which will expire on December 31,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In addition, on October 25, 2017, the Board of Directors of Lazard authorized the repurchase of up to $200,000 of additional shares of Class A common stock, which authorization will expire on December 31, 2019.</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 period ended September 30, 2017, the Company had in place trading plans under Rule 10b5-1 of the Securities Exchange Act of 1934, as amended (the “Exchange Act”), pursuant to which it effected stock repurchases in the open market.</w:t>
      </w:r>
    </w:p>
    <w:p>
      <w:pPr>
        <w:spacing w:after="0" w:line="158" w:lineRule="exact"/>
        <w:rPr>
          <w:sz w:val="20"/>
          <w:szCs w:val="20"/>
          <w:color w:val="auto"/>
        </w:rPr>
      </w:pPr>
    </w:p>
    <w:p>
      <w:pPr>
        <w:ind w:right="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and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September 30, 2017 and December 31, 2016, no shares of Series A or Series B preferred stock were outstanding.</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 (“AOCI”)</w:t>
      </w:r>
      <w:r>
        <w:rPr>
          <w:rFonts w:ascii="Times New Roman" w:cs="Times New Roman" w:eastAsia="Times New Roman" w:hAnsi="Times New Roman"/>
          <w:sz w:val="18"/>
          <w:szCs w:val="18"/>
          <w:color w:val="auto"/>
        </w:rPr>
        <w:t>—The tables below reflect the balances of each component of AOCI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2016 and activity during the three month and nine month periods then ended: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July 1, 2017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(165,682</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(277,787</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(4,715)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(261,673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(261,673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(314,224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49,028</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(92,357)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(169,316</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(261,673</w:t>
            </w:r>
          </w:p>
        </w:tc>
        <w:tc>
          <w:tcPr>
            <w:tcW w:w="220" w:type="dxa"/>
            <w:vAlign w:val="bottom"/>
            <w:tcBorders>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5" w:name="page26"/>
    <w:bookmarkEnd w:id="2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July 1, 2016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(101,649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(135,382</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(237,031</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(137,073</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(5,173)</w:t>
            </w: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(101,808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(134,281</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(236,089</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and nine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9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1,285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1,081</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1,134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ind w:left="380" w:right="56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13). Such amounts are included in “compensation and benefits” expense on the condensed consolidated statements of operations.</w:t>
      </w:r>
    </w:p>
    <w:p>
      <w:pPr>
        <w:spacing w:after="0" w:line="158" w:lineRule="exact"/>
        <w:rPr>
          <w:sz w:val="20"/>
          <w:szCs w:val="20"/>
          <w:color w:val="auto"/>
        </w:rPr>
      </w:pPr>
    </w:p>
    <w:p>
      <w:pPr>
        <w:ind w:right="4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deemed to control, but does not own.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and nine month periods ended September 30, 2017 and 2016 and noncontrolling interests as of September 30, 2017 and December 31, 2016 in the Company’s condensed consolidated financial statements: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960" w:type="dxa"/>
            <w:vAlign w:val="bottom"/>
          </w:tcPr>
          <w:p>
            <w:pPr>
              <w:spacing w:after="0"/>
              <w:rPr>
                <w:sz w:val="12"/>
                <w:szCs w:val="12"/>
                <w:color w:val="auto"/>
              </w:rPr>
            </w:pPr>
          </w:p>
        </w:tc>
        <w:tc>
          <w:tcPr>
            <w:tcW w:w="2180" w:type="dxa"/>
            <w:vAlign w:val="bottom"/>
            <w:gridSpan w:val="5"/>
          </w:tcPr>
          <w:p>
            <w:pPr>
              <w:jc w:val="center"/>
              <w:ind w:left="262"/>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center"/>
              <w:ind w:left="2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2,260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5,657</w:t>
            </w:r>
          </w:p>
        </w:tc>
        <w:tc>
          <w:tcPr>
            <w:tcW w:w="820" w:type="dxa"/>
            <w:vAlign w:val="bottom"/>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2,260</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5,660</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4"/>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right"/>
              <w:ind w:right="29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4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5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60,633</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Declared, October 25, 2017</w:t>
      </w:r>
      <w:r>
        <w:rPr>
          <w:rFonts w:ascii="Times New Roman" w:cs="Times New Roman" w:eastAsia="Times New Roman" w:hAnsi="Times New Roman"/>
          <w:sz w:val="18"/>
          <w:szCs w:val="18"/>
          <w:color w:val="auto"/>
        </w:rPr>
        <w:t>—On October 25, 2017, the Board of Directors of Lazard declared a quarterly dividend of $0.41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Class A common stock, payable on November 17, 2017, to stockholders of record on November 6, 2017.</w:t>
      </w:r>
    </w:p>
    <w:p>
      <w:pPr>
        <w:spacing w:after="0" w:line="34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12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 description of Lazard Ltd’s 2008 Plan and 2005 Equity Incentive Plan (the “2005 Plan”) and activity with respect thereto during the three month and nine month periods ended September 30, 2017 and 2016 is presented below.</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2008 Plan and 2005 Plan</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and nine month periods ended September 30, 2017 and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150,193</w:t>
            </w:r>
          </w:p>
        </w:tc>
        <w:tc>
          <w:tcPr>
            <w:tcW w:w="260" w:type="dxa"/>
            <w:vAlign w:val="bottom"/>
          </w:tcPr>
          <w:p>
            <w:pPr>
              <w:spacing w:after="0"/>
              <w:rPr>
                <w:sz w:val="19"/>
                <w:szCs w:val="19"/>
                <w:color w:val="auto"/>
              </w:rPr>
            </w:pP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220,648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share-based incentive plans and awards are described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2017 and 2016, issuances of RSUs pertaining to such dividend participation rights and respective charges to “retained earnings”, net of estimated forfeitures (with corresponding credits to “additional paid-in-capital”),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99"/>
              </w:rPr>
              <w:t>866,914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969,054</w:t>
            </w:r>
          </w:p>
        </w:tc>
        <w:tc>
          <w:tcPr>
            <w:tcW w:w="120" w:type="dxa"/>
            <w:vAlign w:val="bottom"/>
            <w:shd w:val="clear" w:color="auto" w:fill="CFF0FC"/>
          </w:tcPr>
          <w:p>
            <w:pPr>
              <w:spacing w:after="0"/>
              <w:rPr>
                <w:sz w:val="19"/>
                <w:szCs w:val="19"/>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36,482</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120" w:type="dxa"/>
            <w:vAlign w:val="bottom"/>
          </w:tcPr>
          <w:p>
            <w:pPr>
              <w:spacing w:after="0"/>
              <w:rPr>
                <w:sz w:val="20"/>
                <w:szCs w:val="20"/>
                <w:color w:val="auto"/>
              </w:rPr>
            </w:pPr>
          </w:p>
        </w:tc>
      </w:tr>
    </w:tbl>
    <w:p>
      <w:pPr>
        <w:spacing w:after="0" w:line="22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Non-executive members of the Board of Directors (“Non-Executive Directors”) receive approximately 55% of their annual compensation for service on the Board of Directors and its committees in the form of DSUs, which resulted in 31,280 and 38,771 DSUs granted during the nine month periods ended September 30,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4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2017 and 2016, 10,541 and 7,407 DSUs, respectively, had been granted pursuant to such Plan.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nine month periods ended September 30, 2017 and 2016:</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866,914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5,294,156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(162,320)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(3,977,477)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12,852,497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312,670</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(including 969,054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6,649,625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(4,527,559)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(84,759)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11,540,387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274,089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RSUs that vested during the nine month periods ended September 30, 2017 and 2016, the Company satisfied its minimum statutory tax withholding requirements in lieu of delivering 1,282,843 and 1,416,643 shares of Class A common stock during such respective nine month periods. Accordingly, 2,694,634 and 3,110,916 shares of Class A common stock held by the Company were delivered during the nine month periods ended September 30, 2017 and 2016, respectively.</w:t>
      </w:r>
    </w:p>
    <w:p>
      <w:pPr>
        <w:spacing w:after="0" w:line="180"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2017, estimated unrecognized RSU compensation expense was approximately $178,321, with such expense expected to be recognized over a weighted average period of approximately 0.9 years subsequent to September 30, 2017.</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9" w:name="page30"/>
    <w:bookmarkEnd w:id="29"/>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nine month periods ended September 30, 2017 and 2016:</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(65,086)</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(483,811)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1,947,531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(33,943)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(802,276)</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1,672,777</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vested during the nine month periods ended September 30, 2017 and 2016, the Company satisfied its minimum statutory tax withholding requirements in lieu of delivering 147,775 and 132,984 shares of Class A common stock during such respective nine month periods. Accordingly, 336,036 and 669,292 shares of Class A common stock held by the Company were delivered during the nine month periods ended September 30, 2017 and 2016, respectively.</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restricted stock awards include a cash dividend participation right equivalent to dividends paid on Class A common stock during the period, which will vest concurrently with the underlying restricted stock award. At September 30, 2017, estimated unrecognized restricted stock expense was approximately $35,369, with such expense to be recognized over a weighted average period of approximately 0.8 years subsequent to September 30, 2017.</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21"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0" w:name="page31"/>
    <w:bookmarkEnd w:id="3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nine month periods ended September 30, 2017 and 2016:</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(825,565)</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1,223,304</w:t>
            </w:r>
          </w:p>
        </w:tc>
        <w:tc>
          <w:tcPr>
            <w:tcW w:w="120" w:type="dxa"/>
            <w:vAlign w:val="bottom"/>
          </w:tcPr>
          <w:p>
            <w:pPr>
              <w:spacing w:after="0"/>
              <w:rPr>
                <w:sz w:val="22"/>
                <w:szCs w:val="22"/>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(417,021)</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1,229,973</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20" w:hanging="518"/>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certain PRSUs that vested or were settled during the nine month periods ended September 30, 2017 and 2016, the Company satisfied its minimum statutory tax withholding requirements in lieu of delivering 127,530 and 64,169 shares of Class A common stock during such respective nine month periods. Accordingly, 698,035 and 352,852 shares of Class A common stock held by the Company were delivered during the nine month periods ended September 30, 2017 and 2016, respectively.</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2017, the total estimated unrecognized compensation expense was approximately $11,846, and the Company expects to amortize such expense over a weighted-average period of approximately 0.8 years subsequent to September 30, 2017.</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121" w:lineRule="exact"/>
        <w:rPr>
          <w:sz w:val="20"/>
          <w:szCs w:val="20"/>
          <w:color w:val="auto"/>
        </w:rPr>
      </w:pPr>
    </w:p>
    <w:p>
      <w:pPr>
        <w:ind w:right="120" w:firstLine="518"/>
        <w:spacing w:after="0" w:line="273" w:lineRule="auto"/>
        <w:rPr>
          <w:sz w:val="20"/>
          <w:szCs w:val="20"/>
          <w:color w:val="auto"/>
        </w:rPr>
      </w:pPr>
      <w:r>
        <w:rPr>
          <w:rFonts w:ascii="Times New Roman" w:cs="Times New Roman" w:eastAsia="Times New Roman" w:hAnsi="Times New Roman"/>
          <w:sz w:val="17"/>
          <w:szCs w:val="17"/>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1" w:name="page32"/>
    <w:bookmarkEnd w:id="3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nine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and 2016:</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(95,718)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(52,702)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(75,583)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0.9 years subsequent to September 30, 2017.</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2017 and 2016:</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6"/>
              </w:rPr>
              <w:t>57,254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58,867</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17,981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6"/>
              </w:rPr>
              <w:t>75,235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32" w:name="page33"/>
    <w:bookmarkEnd w:id="3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19" w:lineRule="exact"/>
        <w:rPr>
          <w:sz w:val="20"/>
          <w:szCs w:val="20"/>
          <w:color w:val="auto"/>
        </w:rPr>
      </w:pPr>
    </w:p>
    <w:p>
      <w:pPr>
        <w:ind w:right="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upon an agreement with the plans’ trustees (the “Trustees”). Management also evaluates from time to time whether to make voluntary contributions to the plans.</w:t>
      </w:r>
    </w:p>
    <w:p>
      <w:pPr>
        <w:spacing w:after="0" w:line="17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related to the Company’s post-retirement plans for the three month and nine month periods ended September 30, 2017 and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(18,855)</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(21,047)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Company recorded income tax provisions of $32,742 and $124,109 for the three month and nine month periods ended September 30, 2017, respectively, and $36,374 and $95,900 for the three month and nine month periods ended September 30, 2016, respectively, representing effective tax rates of 22.7%, 26.6%, 24.4% and 26.6%,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w:t>
      </w:r>
    </w:p>
    <w:p>
      <w:pPr>
        <w:spacing w:after="0" w:line="3" w:lineRule="exact"/>
        <w:rPr>
          <w:sz w:val="20"/>
          <w:szCs w:val="20"/>
          <w:color w:val="auto"/>
        </w:rPr>
      </w:pPr>
    </w:p>
    <w:p>
      <w:pPr>
        <w:ind w:right="220" w:firstLine="8"/>
        <w:spacing w:after="0" w:line="261" w:lineRule="auto"/>
        <w:tabs>
          <w:tab w:leader="none" w:pos="3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net tax benefit for share-based incentive compensation, and (v) U.S. state and local taxes, which are incremental to the U.S. federal statutory tax rate.</w:t>
      </w:r>
    </w:p>
    <w:p>
      <w:pPr>
        <w:spacing w:after="0" w:line="18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On January 1, 2017, the Company adopted new accounting guidance on share-based incentive compensation. As a result of the adoption of this new guidance, the Company recognized excess tax benefits of $9,053 from the vesting of share-based incentive compensation in the provision for income taxes in the condensed consolidated statements of operations for the nine month period ended September 30, 2017.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ectPr>
          <w:pgSz w:w="11900" w:h="16838" w:orient="portrait"/>
          <w:cols w:equalWidth="0" w:num="1">
            <w:col w:w="11420"/>
          </w:cols>
          <w:pgMar w:left="240" w:top="117"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3" w:name="page34"/>
    <w:bookmarkEnd w:id="33"/>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3"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36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three month and nine month periods ended September 30, 2017 and 2016 are computed as described below.</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w:t>
      </w:r>
    </w:p>
    <w:p>
      <w:pPr>
        <w:spacing w:after="0" w:line="225" w:lineRule="exact"/>
        <w:rPr>
          <w:sz w:val="20"/>
          <w:szCs w:val="20"/>
          <w:color w:val="auto"/>
        </w:rPr>
      </w:pPr>
    </w:p>
    <w:p>
      <w:pPr>
        <w:ind w:right="5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plus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such shares associated with shares of Class A common stock issuable on a non-contingent basis.</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as in the basic net income per share calculation described above.</w:t>
      </w:r>
    </w:p>
    <w:p>
      <w:pPr>
        <w:spacing w:after="0" w:line="225" w:lineRule="exact"/>
        <w:rPr>
          <w:sz w:val="20"/>
          <w:szCs w:val="20"/>
          <w:color w:val="auto"/>
        </w:rPr>
      </w:pPr>
    </w:p>
    <w:p>
      <w:pPr>
        <w:ind w:right="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as in the basic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per share calculation described above, plus, to the extent dilutive, the incremental number of shares of Class A common stock required to settle share-based incentive compensation.</w:t>
      </w:r>
    </w:p>
    <w:p>
      <w:pPr>
        <w:spacing w:after="0" w:line="176"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three month and nine month periods ended September 30, 2017 and 2016 are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5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337,141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109,210</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337,141</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259,716</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0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shares of Class A common</w:t>
            </w: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outstanding</w:t>
            </w: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120,987,607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124,296,449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121,868,223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125,218,272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 - adjustment for shares of Class A common stock</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issuable on a non-contingent basis</w:t>
            </w:r>
          </w:p>
        </w:tc>
        <w:tc>
          <w:tcPr>
            <w:tcW w:w="8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255,991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112,435</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274,080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outstanding - basic</w:t>
            </w: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121,243,598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124,408,884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122,142,303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125,303,758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 average number of incremental shares of Class A</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issuable from share-based</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incentive compensation</w:t>
            </w:r>
          </w:p>
        </w:tc>
        <w:tc>
          <w:tcPr>
            <w:tcW w:w="8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11,150,066</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7,911,971</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10,265,248</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7,214,129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0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outstanding - diluted</w:t>
            </w:r>
          </w:p>
        </w:tc>
        <w:tc>
          <w:tcPr>
            <w:tcW w:w="8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132,393,664</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132,320,855</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132,407,551</w:t>
            </w:r>
          </w:p>
        </w:tc>
        <w:tc>
          <w:tcPr>
            <w:tcW w:w="26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132,517,887</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income attributable to Lazard Ltd per share of Class</w:t>
            </w: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 common stock:</w:t>
            </w: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0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4" w:name="page35"/>
    <w:bookmarkEnd w:id="3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260" w:right="9300" w:hanging="252"/>
        <w:spacing w:after="0" w:line="400" w:lineRule="auto"/>
        <w:tabs>
          <w:tab w:leader="none" w:pos="514" w:val="left"/>
        </w:tabs>
        <w:numPr>
          <w:ilvl w:val="0"/>
          <w:numId w:val="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RELATED PARTIES Sponsored Funds</w:t>
      </w:r>
    </w:p>
    <w:p>
      <w:pPr>
        <w:spacing w:after="0" w:line="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$163,767 and $471,727 for the three month and nine month periods ended September 30, 2017, respectively, and $130,546 and $374,250 for the three month and nine month periods ended September 30, 2016, respectively, and are included in “asset management fees” on the condensed consolidated statements of operations. Of such amounts, $57,156 and $49,944 remained as receivables at September 30, 2017 and December 31, 2016, respectively, and are included in “fees receivable” on the condensed consolidated statements of financial condition.</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780" w:firstLine="518"/>
        <w:spacing w:after="0" w:line="276" w:lineRule="auto"/>
        <w:rPr>
          <w:sz w:val="20"/>
          <w:szCs w:val="20"/>
          <w:color w:val="auto"/>
        </w:rPr>
      </w:pPr>
      <w:r>
        <w:rPr>
          <w:rFonts w:ascii="Times New Roman" w:cs="Times New Roman" w:eastAsia="Times New Roman" w:hAnsi="Times New Roman"/>
          <w:sz w:val="17"/>
          <w:szCs w:val="17"/>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spacing w:after="0" w:line="1" w:lineRule="exact"/>
        <w:rPr>
          <w:sz w:val="20"/>
          <w:szCs w:val="20"/>
          <w:color w:val="auto"/>
        </w:rPr>
      </w:pPr>
    </w:p>
    <w:p>
      <w:pPr>
        <w:ind w:right="60" w:firstLine="8"/>
        <w:spacing w:after="0" w:line="252"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9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84" w:lineRule="exact"/>
        <w:rPr>
          <w:sz w:val="20"/>
          <w:szCs w:val="20"/>
          <w:color w:val="auto"/>
        </w:rPr>
      </w:pPr>
    </w:p>
    <w:p>
      <w:pPr>
        <w:ind w:right="40" w:firstLine="518"/>
        <w:spacing w:after="0" w:line="277" w:lineRule="auto"/>
        <w:rPr>
          <w:sz w:val="20"/>
          <w:szCs w:val="20"/>
          <w:color w:val="auto"/>
        </w:rPr>
      </w:pPr>
      <w:r>
        <w:rPr>
          <w:rFonts w:ascii="Times New Roman" w:cs="Times New Roman" w:eastAsia="Times New Roman" w:hAnsi="Times New Roman"/>
          <w:sz w:val="17"/>
          <w:szCs w:val="17"/>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6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as of September 30, 2017 and December 31, 2016 was $512,821 and $513,610, respectively, and is recorded in “tax receivable agreement obligation” on the condensed consolidated statements of financial condition. The balance at September 30, 2017 reflects a payment made under the Amended and Restated Tax Receivable Agreement in the nine months ended September 30, 2017 of $789.</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3"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2017, LFNY’s regulatory net capital was $254,141, which exceeded the minimum requirement by $247,866. LFNY’s aggregate indebtedness to net capital ratio was 0.37:1 as of September 30, 2017.</w:t>
      </w:r>
    </w:p>
    <w:p>
      <w:pPr>
        <w:spacing w:after="0" w:line="188"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September 30, 2017, the aggregate regulatory net capital of the U.K. Subsidiaries was $190,884, which exceeded the minimum requirement by $172,104.</w:t>
      </w:r>
    </w:p>
    <w:p>
      <w:pPr>
        <w:spacing w:after="0" w:line="176"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September 30, 2017, the consolidated regulatory net capital of CFLF was $137,988, which exceeded the minimum requirement set for regulatory capital levels by $89,582.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2017, the regulatory net capital of the combined European regulated group was $167,325, which exceeded the minimum requirement set for regulatory capital levels by $81,079.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9"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September 30, 2017, for those subsidiaries with regulatory capital requirements, their aggregate net capital was $151,460, which exceeded the minimum required capital by $124,535.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2017, each of these subsidiaries individually was in compliance with its regulatory capital requirements.</w:t>
      </w:r>
    </w:p>
    <w:p>
      <w:pPr>
        <w:spacing w:after="0" w:line="225"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34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80"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Company’s segment information for the three month and nine month periods ended September 30, 2017 and 2016 is prepared using the following methodology:</w:t>
      </w:r>
    </w:p>
    <w:p>
      <w:pPr>
        <w:spacing w:after="0" w:line="54" w:lineRule="exact"/>
        <w:rPr>
          <w:sz w:val="20"/>
          <w:szCs w:val="20"/>
          <w:color w:val="auto"/>
        </w:rPr>
      </w:pPr>
    </w:p>
    <w:p>
      <w:pPr>
        <w:ind w:left="900" w:hanging="379"/>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17" w:lineRule="exact"/>
        <w:rPr>
          <w:rFonts w:ascii="Times New Roman" w:cs="Times New Roman" w:eastAsia="Times New Roman" w:hAnsi="Times New Roman"/>
          <w:sz w:val="18"/>
          <w:szCs w:val="18"/>
          <w:color w:val="auto"/>
        </w:rPr>
      </w:pPr>
    </w:p>
    <w:p>
      <w:pPr>
        <w:ind w:left="900" w:right="440" w:hanging="379"/>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6" w:name="page37"/>
    <w:bookmarkEnd w:id="36"/>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15" w:lineRule="exact"/>
        <w:rPr>
          <w:sz w:val="20"/>
          <w:szCs w:val="20"/>
          <w:color w:val="auto"/>
        </w:rPr>
      </w:pPr>
    </w:p>
    <w:p>
      <w:pPr>
        <w:ind w:left="900" w:right="80" w:hanging="379"/>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62"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62"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4"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305,890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896,467</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245,465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258,865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821,935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176,797</w:t>
            </w:r>
          </w:p>
        </w:tc>
        <w:tc>
          <w:tcPr>
            <w:tcW w:w="120" w:type="dxa"/>
            <w:vAlign w:val="bottom"/>
            <w:shd w:val="clear" w:color="auto" w:fill="CFF0FC"/>
          </w:tcPr>
          <w:p>
            <w:pPr>
              <w:spacing w:after="0"/>
              <w:rPr>
                <w:sz w:val="19"/>
                <w:szCs w:val="19"/>
                <w:color w:val="auto"/>
              </w:rPr>
            </w:pP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320,487</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913,728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767,610</w:t>
            </w:r>
          </w:p>
        </w:tc>
        <w:tc>
          <w:tcPr>
            <w:tcW w:w="12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185,753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621,885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543,616</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81,972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291,843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223,994</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(809)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120" w:type="dxa"/>
            <w:vAlign w:val="bottom"/>
            <w:shd w:val="clear" w:color="auto" w:fill="CFF0FC"/>
          </w:tcPr>
          <w:p>
            <w:pPr>
              <w:spacing w:after="0"/>
              <w:rPr>
                <w:sz w:val="19"/>
                <w:szCs w:val="19"/>
                <w:color w:val="auto"/>
              </w:rPr>
            </w:pP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624,859</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1,965,503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1,641,806</w:t>
            </w:r>
          </w:p>
        </w:tc>
        <w:tc>
          <w:tcPr>
            <w:tcW w:w="12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480,647</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459,916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1,498,593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1,281,201</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148,992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466,910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360,605</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Pr>
          <w:p>
            <w:pPr>
              <w:spacing w:after="0"/>
              <w:rPr>
                <w:sz w:val="13"/>
                <w:szCs w:val="13"/>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828,948</w:t>
            </w:r>
          </w:p>
        </w:tc>
        <w:tc>
          <w:tcPr>
            <w:tcW w:w="80" w:type="dxa"/>
            <w:vAlign w:val="bottom"/>
          </w:tcPr>
          <w:p>
            <w:pPr>
              <w:spacing w:after="0"/>
              <w:rPr>
                <w:sz w:val="19"/>
                <w:szCs w:val="19"/>
                <w:color w:val="auto"/>
              </w:rPr>
            </w:pPr>
          </w:p>
        </w:tc>
        <w:tc>
          <w:tcPr>
            <w:tcW w:w="3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907,035</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645,653</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3,339,030</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3,003,820</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4,836,388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7" w:name="page38"/>
    <w:bookmarkEnd w:id="3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“third quarter,” “first nine months” or “the period” refer to, as the context requires, the three month and nine month periods ended September 30, 2017 and September 30, 2016.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1" w:lineRule="exact"/>
        <w:rPr>
          <w:sz w:val="20"/>
          <w:szCs w:val="20"/>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global or regional financial markets;</w:t>
      </w:r>
    </w:p>
    <w:p>
      <w:pPr>
        <w:spacing w:after="0" w:line="117" w:lineRule="exact"/>
        <w:rPr>
          <w:rFonts w:ascii="Times New Roman" w:cs="Times New Roman" w:eastAsia="Times New Roman" w:hAnsi="Times New Roman"/>
          <w:sz w:val="18"/>
          <w:szCs w:val="18"/>
          <w:color w:val="auto"/>
        </w:rPr>
      </w:pPr>
    </w:p>
    <w:p>
      <w:pPr>
        <w:ind w:left="900" w:right="220" w:hanging="37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mergers and acquisitions (“M&amp;A”) activity, our share of the M&amp;A market or our assets under management (“AUM”);</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15"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19"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the ratio of awarded compensation and benefits expense to operating revenue;</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dividends, share repurchases and debt repurchases;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offset stockholder dilution through share repurchases;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8" w:name="page39"/>
    <w:bookmarkEnd w:id="38"/>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117" w:lineRule="exact"/>
        <w:rPr>
          <w:rFonts w:ascii="Times New Roman" w:cs="Times New Roman" w:eastAsia="Times New Roman" w:hAnsi="Times New Roman"/>
          <w:sz w:val="18"/>
          <w:szCs w:val="18"/>
          <w:color w:val="auto"/>
        </w:rPr>
      </w:pPr>
    </w:p>
    <w:p>
      <w:pPr>
        <w:ind w:left="900" w:right="56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including awarded compensation and benefits expense and adjusted compensation and benefits expense, and non-compensation expense;</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certain tax benefits, including certain potential deductions;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certain events or circumstances on our financial statements;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900" w:right="260" w:hanging="379"/>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22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social media sites and the information contained therein or connected thereto shall not be deemed to be incorporated into this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0"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shareholder advisory, and various other financial matters, and</w:t>
      </w:r>
    </w:p>
    <w:p>
      <w:pPr>
        <w:spacing w:after="0" w:line="68" w:lineRule="exact"/>
        <w:rPr>
          <w:rFonts w:ascii="Times New Roman" w:cs="Times New Roman" w:eastAsia="Times New Roman" w:hAnsi="Times New Roman"/>
          <w:sz w:val="18"/>
          <w:szCs w:val="18"/>
          <w:color w:val="auto"/>
        </w:rPr>
      </w:pPr>
    </w:p>
    <w:p>
      <w:pPr>
        <w:ind w:left="900" w:right="120" w:hanging="379"/>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39" w:name="page40"/>
    <w:bookmarkEnd w:id="39"/>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2017.We also make investments to seed our Asset Management strategies.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Equity market indices for developed and emerging markets at September 30, 2017 increased as compared to such indices at September 30, 2016 and December 31, 2016. In the global M&amp;A markets during the first nine months of 2017, the value of all completed M&amp;A transactions decreased as compared to the same period in the prior year, as did the subset of such transactions involving values greater than $500 million. During the same time, the number of all announced M&amp;A transactions, including the subset of such transactions involving values greater than $500 million, increased. During the first nine months of 2017, global restructuring activity, as measured by the number of corporate defaults, decreased as compared to the first nine months of 2016.</w:t>
      </w:r>
    </w:p>
    <w:p>
      <w:pPr>
        <w:spacing w:after="0" w:line="184"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On an ongoing basis, regional, macroeconomic and geopolitical factors, including any potential regional tax or regulatory reform, may impact our business. Overall, the global macroeconomic outlook for the near- to mid-term appears positive. The U.S. economy appears to be healthy, and the European economy seems to continue to recover.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113" w:lineRule="exact"/>
        <w:rPr>
          <w:sz w:val="20"/>
          <w:szCs w:val="20"/>
          <w:color w:val="auto"/>
        </w:rPr>
      </w:pPr>
    </w:p>
    <w:p>
      <w:pPr>
        <w:ind w:left="900" w:right="40" w:hanging="379"/>
        <w:spacing w:after="0" w:line="254"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Advisory</w:t>
      </w:r>
      <w:r>
        <w:rPr>
          <w:rFonts w:ascii="Times New Roman" w:cs="Times New Roman" w:eastAsia="Times New Roman" w:hAnsi="Times New Roman"/>
          <w:sz w:val="18"/>
          <w:szCs w:val="18"/>
          <w:color w:val="auto"/>
        </w:rPr>
        <w:t>—The fundamentals for continued M&amp;A activity appear to remain in place. Although the strength of our Financial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 the second half of 2016 could make comparisons to future periods more challenging, we believe our Financial Advisory business 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left="900" w:right="40" w:hanging="379"/>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w:t>
      </w:r>
      <w:r>
        <w:rPr>
          <w:rFonts w:ascii="Times New Roman" w:cs="Times New Roman" w:eastAsia="Times New Roman" w:hAnsi="Times New Roman"/>
          <w:sz w:val="18"/>
          <w:szCs w:val="18"/>
          <w:color w:val="auto"/>
        </w:rPr>
        <w:t>—In the short to intermediate term, we expect most investor demand will come from defined benefit and defined contribution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various Quantitative Equity strategies, various Multi-Asset strategies, a Real Assets strategy, and a Global Equity Franchise strategy.</w:t>
      </w:r>
    </w:p>
    <w:p>
      <w:pPr>
        <w:spacing w:after="0" w:line="18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shareholder returns, the evaluation of potential growth opportunities, the prudent management of our costs and expenses, the efficient use of our assets and the return of capital to our shareholders.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of all completed transactions, including completed transactions with values greater than $500 million, decreased in the first nine months of 2017 as compared to 2016. With respect to announced M&amp;A transactions, the number of all transactions, including the number of announced transactions involving values greater than $500 million, increased in the first nine months of 2017 as compared to 2016.</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8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0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932</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2,781</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29,035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2,093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821</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2,523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9,214</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28,975</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1,837</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57150</wp:posOffset>
            </wp:positionV>
            <wp:extent cx="1209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Source: Dealogic as of October 5, 2017.</w:t>
      </w:r>
    </w:p>
    <w:p>
      <w:pPr>
        <w:spacing w:after="0" w:line="22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Global restructuring activity during the first nine months of 2017, as measured by the number of corporate defaults, decreased as compared to the first nine months of 2016. The number of defaulting issuers decreased to 64 in the first nine months of 2017, according to Moody’s Investors Service, Inc., as compared to 115 in the first nine months of 2016.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1" w:name="page42"/>
    <w:bookmarkEnd w:id="41"/>
    <w:p>
      <w:pPr>
        <w:ind w:firstLine="518"/>
        <w:spacing w:after="0" w:line="254" w:lineRule="auto"/>
        <w:rPr>
          <w:sz w:val="20"/>
          <w:szCs w:val="20"/>
          <w:color w:val="auto"/>
        </w:rPr>
      </w:pPr>
      <w:r>
        <w:rPr>
          <w:rFonts w:ascii="Times New Roman" w:cs="Times New Roman" w:eastAsia="Times New Roman" w:hAnsi="Times New Roman"/>
          <w:sz w:val="18"/>
          <w:szCs w:val="18"/>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Sovereign Advisory and Shareholder Advisory revenue, increased 13% in the first nine months of 2017 as compared to 2016. The industry statistics for global M&amp;A transactions described above reflect a 5% decrease in the value of all completed transactions in the first nine months of 2017 as compared to 2016. In addition, with respect to our restructuring activity, revenue increased 38% in the first nine months of 2017 as compared to 2016, in contrast to a 44% decrease in global default activity in the first nine months of 2017 as compared to 2016.</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percentage change in major equity market indices at September 30, 2017, as compared to such indices at June 30, 2017, December 31, 2016, and at September 30, 2016, is shown in the table below.</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122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September 30, 2017 vs.</w:t>
            </w:r>
          </w:p>
        </w:tc>
        <w:tc>
          <w:tcPr>
            <w:tcW w:w="1220" w:type="dxa"/>
            <w:vAlign w:val="bottom"/>
            <w:tcBorders>
              <w:bottom w:val="single" w:sz="8" w:color="auto"/>
            </w:tcBorders>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60" w:type="dxa"/>
            <w:vAlign w:val="bottom"/>
          </w:tcPr>
          <w:p>
            <w:pPr>
              <w:jc w:val="center"/>
              <w:ind w:left="108"/>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0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5"/>
                <w:szCs w:val="15"/>
                <w:color w:val="auto"/>
              </w:rPr>
            </w:pPr>
          </w:p>
        </w:tc>
        <w:tc>
          <w:tcPr>
            <w:tcW w:w="12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8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 Stoxx</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3" w:lineRule="exact"/>
        <w:rPr>
          <w:sz w:val="20"/>
          <w:szCs w:val="20"/>
          <w:color w:val="auto"/>
        </w:rPr>
      </w:pPr>
    </w:p>
    <w:p>
      <w:pPr>
        <w:jc w:val="both"/>
        <w:ind w:right="100" w:firstLine="518"/>
        <w:spacing w:after="0" w:line="257"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Movements in AUM during the period generally reflect the changes in equity market indices. Our AUM at September 30, 2017 increased 20% versus AUM at December 31, 2016, primarily due to market and foreign exchange appreciation and net inflows. Average AUM for the three month period ended September 30, 2017 was 16% higher than the average AUM for the three month period ended September 30, 2016. Average AUM for the first nine months of 2017 increased 14% as compared to average AUM in the first nine months of 2016.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2" w:name="page43"/>
    <w:bookmarkEnd w:id="42"/>
    <w:p>
      <w:pPr>
        <w:ind w:right="100"/>
        <w:spacing w:after="0" w:line="255" w:lineRule="auto"/>
        <w:rPr>
          <w:sz w:val="20"/>
          <w:szCs w:val="20"/>
          <w:color w:val="auto"/>
        </w:rPr>
      </w:pPr>
      <w:r>
        <w:rPr>
          <w:rFonts w:ascii="Times New Roman" w:cs="Times New Roman" w:eastAsia="Times New Roman" w:hAnsi="Times New Roman"/>
          <w:sz w:val="18"/>
          <w:szCs w:val="18"/>
          <w:color w:val="auto"/>
        </w:rPr>
        <w:t>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0"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Corporate segment net revenue during 2017 is not significant compared to Lazard’s net revenue, total assets in the Corporate segment represented 69% of Lazard’s consolidated total assets as of September 30,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72" w:lineRule="exact"/>
        <w:rPr>
          <w:sz w:val="20"/>
          <w:szCs w:val="20"/>
          <w:color w:val="auto"/>
        </w:rPr>
      </w:pPr>
    </w:p>
    <w:p>
      <w:pPr>
        <w:ind w:left="900" w:right="20" w:hanging="379"/>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incentive compensation with respect to the fiscal year, which is comprised of:</w:t>
      </w:r>
    </w:p>
    <w:p>
      <w:pPr>
        <w:spacing w:after="0" w:line="115" w:lineRule="exact"/>
        <w:rPr>
          <w:rFonts w:ascii="Times New Roman" w:cs="Times New Roman" w:eastAsia="Times New Roman" w:hAnsi="Times New Roman"/>
          <w:sz w:val="18"/>
          <w:szCs w:val="18"/>
          <w:color w:val="auto"/>
        </w:rPr>
      </w:pPr>
    </w:p>
    <w:p>
      <w:pPr>
        <w:ind w:left="1420" w:right="200" w:hanging="386"/>
        <w:spacing w:after="0" w:line="267"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incentive compensation awards granted in the year-end compensation process with respect to the fiscal year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65" w:lineRule="exact"/>
        <w:rPr>
          <w:rFonts w:ascii="Times New Roman" w:cs="Times New Roman" w:eastAsia="Times New Roman" w:hAnsi="Times New Roman"/>
          <w:sz w:val="18"/>
          <w:szCs w:val="18"/>
          <w:color w:val="auto"/>
        </w:rPr>
      </w:pPr>
    </w:p>
    <w:p>
      <w:pPr>
        <w:ind w:left="1420" w:right="380" w:hanging="386"/>
        <w:spacing w:after="0" w:line="284"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“sign-on” bonuses or retention awards) and other special deferred incentive compensation awards that is applicable to the fiscal year the award becomes effective; and</w:t>
      </w:r>
    </w:p>
    <w:p>
      <w:pPr>
        <w:spacing w:after="0" w:line="52" w:lineRule="exact"/>
        <w:rPr>
          <w:rFonts w:ascii="Times New Roman" w:cs="Times New Roman" w:eastAsia="Times New Roman" w:hAnsi="Times New Roman"/>
          <w:sz w:val="18"/>
          <w:szCs w:val="18"/>
          <w:color w:val="auto"/>
        </w:rPr>
      </w:pPr>
    </w:p>
    <w:p>
      <w:pPr>
        <w:ind w:left="1420" w:hanging="386"/>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excess of the target payout level for PRSU awards at the end of their respective performance periods;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 the amounts in (i), (ii) and (iii) above by an estimate of future forfeitures with respect to such awards;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adjust for year-end foreign exchange fluctuations.</w:t>
      </w:r>
    </w:p>
    <w:p>
      <w:pPr>
        <w:spacing w:after="0" w:line="22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62"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3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84"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and Estimates—Income Taxes” below and Notes 14 and 16 of Notes to Condensed Consolidated Financial Statements for additional information regarding income taxes and the tax receivable agreement obligation.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8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Net revenue for the three month period ended September 30, 2017 was positively impacted, and net revenue for the nine month period ended September 30, 2017 was negatively impacted, by exchange rate movements, in each case in comparison to the relevant prior year period. The majority of the impact to net revenue, in both periods, was offset by the impact of the exchange rate movements on our operating expenses during the periods denominated in currencies other than the U.S. Dollar.</w:t>
      </w:r>
    </w:p>
    <w:p>
      <w:pPr>
        <w:spacing w:after="0" w:line="184" w:lineRule="exact"/>
        <w:rPr>
          <w:sz w:val="20"/>
          <w:szCs w:val="20"/>
          <w:color w:val="auto"/>
        </w:rPr>
      </w:pPr>
    </w:p>
    <w:p>
      <w:pPr>
        <w:ind w:right="380" w:firstLine="48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9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624,859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608,908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1,965,503</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1,641,806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361,787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353,756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959,276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costs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1,498,593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1,281,201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109,210</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337,141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9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624,859</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608,908</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1,965,503</w:t>
            </w:r>
          </w:p>
        </w:tc>
        <w:tc>
          <w:tcPr>
            <w:tcW w:w="160" w:type="dxa"/>
            <w:vAlign w:val="bottom"/>
          </w:tcPr>
          <w:p>
            <w:pPr>
              <w:spacing w:after="0"/>
              <w:rPr>
                <w:sz w:val="19"/>
                <w:szCs w:val="19"/>
                <w:color w:val="auto"/>
              </w:rPr>
            </w:pP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1,641,806</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(5,039)</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(2,661)</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(12,271)</w:t>
            </w:r>
          </w:p>
        </w:tc>
      </w:tr>
      <w:tr>
        <w:trPr>
          <w:trHeight w:val="230"/>
        </w:trPr>
        <w:tc>
          <w:tcPr>
            <w:tcW w:w="5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Gains on investments pertaining to LFI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(4,707)</w:t>
            </w:r>
          </w:p>
        </w:tc>
      </w:tr>
      <w:tr>
        <w:trPr>
          <w:trHeight w:val="223"/>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1,971,920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ind w:left="380" w:right="4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53"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spacing w:after="0" w:line="53" w:lineRule="exact"/>
        <w:rPr>
          <w:rFonts w:ascii="Times New Roman" w:cs="Times New Roman" w:eastAsia="Times New Roman" w:hAnsi="Times New Roman"/>
          <w:sz w:val="18"/>
          <w:szCs w:val="18"/>
          <w:color w:val="auto"/>
        </w:rPr>
      </w:pPr>
    </w:p>
    <w:p>
      <w:pPr>
        <w:ind w:left="380" w:right="46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361,787</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353,756</w:t>
            </w:r>
          </w:p>
        </w:tc>
        <w:tc>
          <w:tcPr>
            <w:tcW w:w="240" w:type="dxa"/>
            <w:vAlign w:val="bottom"/>
          </w:tcPr>
          <w:p>
            <w:pPr>
              <w:spacing w:after="0"/>
              <w:rPr>
                <w:sz w:val="19"/>
                <w:szCs w:val="19"/>
                <w:color w:val="auto"/>
              </w:rPr>
            </w:pPr>
          </w:p>
        </w:tc>
        <w:tc>
          <w:tcPr>
            <w:tcW w:w="4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1,138,200</w:t>
            </w:r>
          </w:p>
        </w:tc>
        <w:tc>
          <w:tcPr>
            <w:tcW w:w="240" w:type="dxa"/>
            <w:vAlign w:val="bottom"/>
          </w:tcPr>
          <w:p>
            <w:pPr>
              <w:spacing w:after="0"/>
              <w:rPr>
                <w:sz w:val="19"/>
                <w:szCs w:val="19"/>
                <w:color w:val="auto"/>
              </w:rPr>
            </w:pP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959,276</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(5,109)</w:t>
            </w:r>
          </w:p>
        </w:tc>
      </w:tr>
      <w:tr>
        <w:trPr>
          <w:trHeight w:val="230"/>
        </w:trPr>
        <w:tc>
          <w:tcPr>
            <w:tcW w:w="5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(6,909)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(17,981)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(4,707)</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354,439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345,084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1,114,135</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949,460</w:t>
            </w:r>
          </w:p>
        </w:tc>
        <w:tc>
          <w:tcPr>
            <w:tcW w:w="180" w:type="dxa"/>
            <w:vAlign w:val="bottom"/>
            <w:tcBorders>
              <w:bottom w:val="single" w:sz="8" w:color="CFF0FC"/>
            </w:tcBorders>
          </w:tcPr>
          <w:p>
            <w:pPr>
              <w:spacing w:after="0"/>
              <w:rPr>
                <w:sz w:val="22"/>
                <w:szCs w:val="22"/>
                <w:color w:val="auto"/>
              </w:rPr>
            </w:pPr>
          </w:p>
        </w:tc>
      </w:tr>
      <w:tr>
        <w:trPr>
          <w:trHeight w:val="192"/>
        </w:trPr>
        <w:tc>
          <w:tcPr>
            <w:tcW w:w="572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compensation and benefits expense, as a % of operating</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57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130"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7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118,688</w:t>
            </w:r>
          </w:p>
        </w:tc>
        <w:tc>
          <w:tcPr>
            <w:tcW w:w="320" w:type="dxa"/>
            <w:vAlign w:val="bottom"/>
          </w:tcPr>
          <w:p>
            <w:pPr>
              <w:spacing w:after="0"/>
              <w:rPr>
                <w:sz w:val="19"/>
                <w:szCs w:val="19"/>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40" w:type="dxa"/>
            <w:vAlign w:val="bottom"/>
          </w:tcPr>
          <w:p>
            <w:pPr>
              <w:spacing w:after="0"/>
              <w:rPr>
                <w:sz w:val="19"/>
                <w:szCs w:val="19"/>
                <w:color w:val="auto"/>
              </w:rPr>
            </w:pPr>
          </w:p>
        </w:tc>
        <w:tc>
          <w:tcPr>
            <w:tcW w:w="4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355,390</w:t>
            </w:r>
          </w:p>
        </w:tc>
        <w:tc>
          <w:tcPr>
            <w:tcW w:w="240" w:type="dxa"/>
            <w:vAlign w:val="bottom"/>
          </w:tcPr>
          <w:p>
            <w:pPr>
              <w:spacing w:after="0"/>
              <w:rPr>
                <w:sz w:val="19"/>
                <w:szCs w:val="19"/>
                <w:color w:val="auto"/>
              </w:rPr>
            </w:pPr>
          </w:p>
        </w:tc>
        <w:tc>
          <w:tcPr>
            <w:tcW w:w="42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(1,412)</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(c)</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110,507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318,588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Enterprise Resource Planning (“ERP”) system implementation.</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incremental rent expense and lease abandonment costs related to office space reorganization.</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627,325</w:t>
            </w:r>
          </w:p>
        </w:tc>
        <w:tc>
          <w:tcPr>
            <w:tcW w:w="100" w:type="dxa"/>
            <w:vAlign w:val="bottom"/>
          </w:tcPr>
          <w:p>
            <w:pPr>
              <w:spacing w:after="0"/>
              <w:rPr>
                <w:sz w:val="19"/>
                <w:szCs w:val="19"/>
                <w:color w:val="auto"/>
              </w:rPr>
            </w:pPr>
          </w:p>
        </w:tc>
        <w:tc>
          <w:tcPr>
            <w:tcW w:w="6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1,971,920</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(354,439)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(345,084)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(1,114,135)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(110,507)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(104,832)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(334,088)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162,379</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160,852</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523,697</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391,093</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25.9%</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Headcount information is set forth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5"/>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72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Managing Directors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Employees: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17" w:lineRule="exact"/>
        <w:rPr>
          <w:sz w:val="20"/>
          <w:szCs w:val="20"/>
          <w:color w:val="auto"/>
        </w:rPr>
      </w:pPr>
    </w:p>
    <w:p>
      <w:pPr>
        <w:ind w:right="22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versus September 30, 2016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reported net income attributable to Lazard Ltd of $109 million, as compared to net income of $113 million in the 2016 period.</w:t>
      </w:r>
    </w:p>
    <w:p>
      <w:pPr>
        <w:spacing w:after="0" w:line="22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Net revenue increased $16 million, or 3%, with operating revenue increasing $17 million, or 3%, as compared to the 2016 period. Fee revenue from investment banking and other advisory activities decreased $38 million, or 11%, as compared to the 2016 period, primarily due to a decrease in M&amp;A and Strategic Advisory revenue. Asset management fees, including incentive fees, increased $47 million, or 19%, as compared to the 2016 period, primarily due to an increase in average AUM. In the aggregate, interest income, other revenue and interest expense increased $7 million as compared to the 2016 period.</w:t>
      </w:r>
    </w:p>
    <w:p>
      <w:pPr>
        <w:spacing w:after="0" w:line="180"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increased $8 million, or 2%, as compared to the 2016 period, primarily associated with increased operating revenue.</w:t>
      </w:r>
    </w:p>
    <w:p>
      <w:pPr>
        <w:spacing w:after="0" w:line="16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$354 million, an increase of $9 million, or 3%, as compared to $345 million in the 2016 period. The ratio of adjusted compensation and benefits expense to operating revenue was 56.5% for both the 2017 and 2016 periods and 56.5% for full-year 2016.</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Non-compensation expense increased $13 million, or 13%, as compared to the 2016 period, primarily due to expenses associated with the ERP system implementation and expenses related to office space reorganization, as well as higher mutual fund service fees related to the growth in AUM and higher marketing and business development expenses. Adjusted non-compensation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47" w:name="page48"/>
    <w:bookmarkEnd w:id="47"/>
    <w:p>
      <w:pPr>
        <w:ind w:right="180"/>
        <w:spacing w:after="0" w:line="266" w:lineRule="auto"/>
        <w:rPr>
          <w:sz w:val="20"/>
          <w:szCs w:val="20"/>
          <w:color w:val="auto"/>
        </w:rPr>
      </w:pPr>
      <w:r>
        <w:rPr>
          <w:rFonts w:ascii="Times New Roman" w:cs="Times New Roman" w:eastAsia="Times New Roman" w:hAnsi="Times New Roman"/>
          <w:sz w:val="18"/>
          <w:szCs w:val="18"/>
          <w:color w:val="auto"/>
        </w:rPr>
        <w:t>expense, which excludes non-compensation costs related to the ERP system implementation, office space reorganization and noncontrolling interests, increased $6 million, or 5%, as compared to the 2016 period. The ratio of adjusted non-compensation expense to operating revenue was 17.6% for the 2017 period, as compared to 17.2% in the 2016 period.</w:t>
      </w:r>
    </w:p>
    <w:p>
      <w:pPr>
        <w:spacing w:after="0" w:line="17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Amortization and other acquisition-related costs decreased $1 million as compared to the 2016 period, primarily due to the change in the fair market value of contingent consideration.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income decreased $5 million, or 3%, as compared to the 2016 period.</w:t>
      </w:r>
    </w:p>
    <w:p>
      <w:pPr>
        <w:spacing w:after="0" w:line="225"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Earnings from operations increased $2 million, or 1%, as compared to the 2016 period, and, as a percentage of operating revenue, was 25.9%, as compared to 26.3% in the 2016 period.</w:t>
      </w:r>
    </w:p>
    <w:p>
      <w:pPr>
        <w:spacing w:after="0" w:line="162"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22.7%, as compared to 24.4% for the 2016 period. The effective tax rate decreased primarily due to the change in the geographic mix of earnings.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$2 million as compared to the 2016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versus September 30, 2016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reported net income attributable to Lazard Ltd of $337 million, as compared to net income of $260 million in the 2016 period.</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Net revenue increased $324 million, or 20%, with operating revenue increasing $313 million, or 19%, as compared to the 2016 period. Fee revenue from investment banking and other advisory activities increased $156 million, or 17%, as compared to the 2016 period, due to an increase in M&amp;A and Strategic Advisory and Restructuring revenue. Asset management fees, including incentive fees, increased $139 million, or 19%, as compared to the 2016 period, primarily due to an increase in average AUM. In the aggregate, interest income, other revenue and interest expense increased $29 million as compared to the 2016 period, primarily due to gains in the 2017 period attributable to investments held in connection with LFI.</w:t>
      </w:r>
    </w:p>
    <w:p>
      <w:pPr>
        <w:spacing w:after="0" w:line="184"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increased $179 million, or 19%, as compared to the 2016 period, primarily associated with increased operating revenue.</w:t>
      </w:r>
    </w:p>
    <w:p>
      <w:pPr>
        <w:spacing w:after="0" w:line="16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$1,114 million, an increase of $165 million, or 17%, as compared to $949 million in the 2016 period. The ratio of adjusted compensation and benefits expense to operating revenue was 56.5% for the 2017 period, as compared to 57.2% for the 2016 period and 56.5% for full-year 2016.</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Non-compensation expense increased $35 million, or 11%, as compared to the 2016 period, primarily due to expenses associated with the ERP system implementation and expenses related to office space reorganization, as well as higher mutual fund service fees related to the growth in AUM and higher marketing and business development expenses. Adjusted non-compensation expense, which excludes non-compensation costs related to the ERP system implementation, office space reorganization and noncontrolling interests, increased $16 million, or 5%, as compared to the 2016 period. The ratio of adjusted non-compensation expense to operating revenue was 16.9% for the 2017 period, as compared to 19.2% in the 2016 period.</w:t>
      </w:r>
    </w:p>
    <w:p>
      <w:pPr>
        <w:spacing w:after="0" w:line="184"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Amortization and other acquisition-related costs increased $3 million as compared to the 2016 period, primarily due to the change in the fair market value of contingent consideration.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income increased $106 million, or 29%, as compared to the 2016 period.</w:t>
      </w:r>
    </w:p>
    <w:p>
      <w:pPr>
        <w:spacing w:after="0" w:line="225"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Earnings from operations increased $133 million, or 34%, as compared to the 2016 period, and, as a percentage of operating revenue, was 26.6%, as compared to 23.6% in the 2016 period.</w:t>
      </w:r>
    </w:p>
    <w:p>
      <w:pPr>
        <w:spacing w:after="0" w:line="162"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26.6% for both the 2017 and the 2016 periods. The effective tax rate reflects the Company’s adoption of new accounting guidance on share-based incentive compensation and the change in the geographic mix of earnings. See Notes 2 and 14 of Notes to Condensed Consolidated Financial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$1 million, or 13%, as compared to the 2016 period.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640" w:firstLine="518"/>
        <w:spacing w:after="0" w:line="276" w:lineRule="auto"/>
        <w:rPr>
          <w:sz w:val="20"/>
          <w:szCs w:val="20"/>
          <w:color w:val="auto"/>
        </w:rPr>
      </w:pPr>
      <w:r>
        <w:rPr>
          <w:rFonts w:ascii="Times New Roman" w:cs="Times New Roman" w:eastAsia="Times New Roman" w:hAnsi="Times New Roman"/>
          <w:sz w:val="17"/>
          <w:szCs w:val="17"/>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spacing w:after="0" w:line="1" w:lineRule="exact"/>
        <w:rPr>
          <w:sz w:val="20"/>
          <w:szCs w:val="20"/>
          <w:color w:val="auto"/>
        </w:rPr>
      </w:pPr>
    </w:p>
    <w:p>
      <w:pPr>
        <w:ind w:right="40" w:firstLine="8"/>
        <w:spacing w:after="0" w:line="253"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28"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Financial Advisory segment: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305,890</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343,488</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1,052,584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896,467</w:t>
            </w:r>
          </w:p>
        </w:tc>
        <w:tc>
          <w:tcPr>
            <w:tcW w:w="180" w:type="dxa"/>
            <w:vAlign w:val="bottom"/>
            <w:shd w:val="clear" w:color="auto" w:fill="CFF0FC"/>
          </w:tcPr>
          <w:p>
            <w:pPr>
              <w:spacing w:after="0"/>
              <w:rPr>
                <w:sz w:val="21"/>
                <w:szCs w:val="2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245,465</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258,865</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821,935</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719,670</w:t>
            </w:r>
          </w:p>
        </w:tc>
        <w:tc>
          <w:tcPr>
            <w:tcW w:w="180" w:type="dxa"/>
            <w:vAlign w:val="bottom"/>
            <w:tcBorders>
              <w:bottom w:val="single" w:sz="8" w:color="CFF0FC"/>
            </w:tcBorders>
          </w:tcPr>
          <w:p>
            <w:pPr>
              <w:spacing w:after="0"/>
              <w:rPr>
                <w:sz w:val="19"/>
                <w:szCs w:val="19"/>
                <w:color w:val="auto"/>
              </w:rPr>
            </w:pPr>
          </w:p>
        </w:tc>
      </w:tr>
      <w:tr>
        <w:trPr>
          <w:trHeight w:val="23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60,425</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84,623</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230,649</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176,797</w:t>
            </w:r>
          </w:p>
        </w:tc>
        <w:tc>
          <w:tcPr>
            <w:tcW w:w="180" w:type="dxa"/>
            <w:vAlign w:val="bottom"/>
            <w:shd w:val="clear" w:color="auto" w:fill="CFF0FC"/>
          </w:tcPr>
          <w:p>
            <w:pPr>
              <w:spacing w:after="0"/>
              <w:rPr>
                <w:sz w:val="20"/>
                <w:szCs w:val="20"/>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5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40"/>
        </w:trPr>
        <w:tc>
          <w:tcPr>
            <w:tcW w:w="79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Certain Lazard fee and transaction statistics for the Financial Advisory segment are set forth below:</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4"/>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Borders>
              <w:bottom w:val="single" w:sz="8" w:color="auto"/>
            </w:tcBorders>
            <w:gridSpan w:val="4"/>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6"/>
        </w:trPr>
        <w:tc>
          <w:tcPr>
            <w:tcW w:w="5780" w:type="dxa"/>
            <w:vAlign w:val="bottom"/>
            <w:gridSpan w:val="2"/>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60" w:type="dxa"/>
            <w:vAlign w:val="bottom"/>
            <w:gridSpan w:val="5"/>
          </w:tcPr>
          <w:p>
            <w:pPr>
              <w:ind w:left="114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Financial Advisory</w:t>
            </w:r>
          </w:p>
        </w:tc>
        <w:tc>
          <w:tcPr>
            <w:tcW w:w="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9"/>
                <w:szCs w:val="19"/>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M&amp;A and Strategic Advisory</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9"/>
                <w:szCs w:val="19"/>
                <w:color w:val="auto"/>
              </w:rPr>
            </w:pPr>
          </w:p>
        </w:tc>
      </w:tr>
      <w:tr>
        <w:trPr>
          <w:trHeight w:val="211"/>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65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clients</w:t>
            </w:r>
          </w:p>
        </w:tc>
        <w:tc>
          <w:tcPr>
            <w:tcW w:w="5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1"/>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6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$500 million (a)</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Source: Dealogic as of October 5, 2017.</w:t>
      </w:r>
    </w:p>
    <w:p>
      <w:pPr>
        <w:spacing w:after="0" w:line="23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r>
      <w:tr>
        <w:trPr>
          <w:trHeight w:val="173"/>
        </w:trPr>
        <w:tc>
          <w:tcPr>
            <w:tcW w:w="57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654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49" w:name="page50"/>
    <w:bookmarkEnd w:id="49"/>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117" w:lineRule="exact"/>
        <w:rPr>
          <w:sz w:val="20"/>
          <w:szCs w:val="20"/>
          <w:color w:val="auto"/>
        </w:rPr>
      </w:pPr>
    </w:p>
    <w:p>
      <w:pPr>
        <w:ind w:right="220"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versus September 30, 2016</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Financial Advisory net revenue decreased $38 million, or 11%, as compared to the 2016 period. M&amp;A and Strategic Advisory net revenue was $253 million, a decrease of $39 million, or 13%, as compared to $292 million in the 2016 period. Restructuring revenue was $53 million, an increase of $2 million, or 3%, as compared to $51 million in the 2016 period. The decrease in M&amp;A and Strategic Advisory revenue was primarily a result of a smaller number of M&amp;A transactions completed with values greater than $500 million, as compared to the 2016 period. Clients which in the aggregate represented a significant portion of our M&amp;A and Strategic Advisory revenue in the 2017 period included Dow Chemical, Elis, L’Oreal, Lexmark International, Milestone AV Technologies and Reynolds American. Clients which in the aggregate represented a significant portion of our Restructuring revenue in the 2017 period included Gymboree and Toys “R” Us.</w:t>
      </w:r>
    </w:p>
    <w:p>
      <w:pPr>
        <w:spacing w:after="0" w:line="189"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decreased $13 million, or 5%, as compared to the 2016 period, primarily due to a decrease in compensation associated with decreased operating revenue.</w:t>
      </w:r>
    </w:p>
    <w:p>
      <w:pPr>
        <w:spacing w:after="0" w:line="162"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$60 million, a decrease of $25 million, or 29%, as compared to operating income of $85 million in the 2016 period and, as a percentage of net revenue, was 19.8%, as compared to 24.6% in the 2016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versus September 30, 2016</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Financial Advisory net revenue increased $156 million, or 17%, as compared to the 2016 period. M&amp;A and Strategic Advisory net revenue was $824 million, an increase of $93 million, or 13%, as compared to $731 million in the 2016 period. Restructuring revenue was $229 million, an increase of $63 million, or 38%, as compared to $166 million in the 2016 period. The increase in M&amp;A and Strategic Advisory revenue was primarily due to an increase in the number of completed transactions involving fees greater than $1 million as compared to the 2016 period.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revenue in the 2017 period primarily reflected the closing of large assignments.</w:t>
      </w:r>
    </w:p>
    <w:p>
      <w:pPr>
        <w:spacing w:after="0" w:line="225"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$102 million, or 14%, as compared to the 2016 period, primarily due to an increase in compensation associated with increased operating revenue.</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$231 million, an increase of $54 million, or 30%, as compared to operating income of $177 million in the 2016 period and, as a percentage of net revenue, was 21.9%, as compared to 19.7% in the 2016 period.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r>
      <w:tr>
        <w:trPr>
          <w:trHeight w:val="173"/>
        </w:trPr>
        <w:tc>
          <w:tcPr>
            <w:tcW w:w="48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49,548</w:t>
            </w:r>
          </w:p>
        </w:tc>
        <w:tc>
          <w:tcPr>
            <w:tcW w:w="6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198,521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238,125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518"/>
        <w:spacing w:after="0" w:line="289" w:lineRule="auto"/>
        <w:rPr>
          <w:sz w:val="20"/>
          <w:szCs w:val="20"/>
          <w:color w:val="auto"/>
        </w:rPr>
      </w:pPr>
      <w:r>
        <w:rPr>
          <w:rFonts w:ascii="Times New Roman" w:cs="Times New Roman" w:eastAsia="Times New Roman" w:hAnsi="Times New Roman"/>
          <w:sz w:val="17"/>
          <w:szCs w:val="17"/>
          <w:color w:val="auto"/>
        </w:rPr>
        <w:t>Total AUM at September 30, 2017 was $238 billion, an increase of $40 billion, or 20%, as compared to total AUM of $198 billion at December 31, 2016, primarily due to market and foreign exchange appreciation and net inflows. Average AUM for the three month and nine month periods ended September 30, 2017 increased 16% and 14%, respectively, as compared to the three month and nine month periods ended September 30, 2016, respectively.</w:t>
      </w:r>
    </w:p>
    <w:p>
      <w:pPr>
        <w:spacing w:after="0" w:line="158"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As of September 30, 2017,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2016. As of September 30, 2017, approximately 11% of our AUM was managed on behalf of individual client relationships, which are principally with family offices and individuals, compared to approximately 12% at December 31, 2016.</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2017, AUM with foreign currency exposure represented approximately 74%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three month and nine month periods ended September 30,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9"/>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(8,769)</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225,761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260" w:hanging="372"/>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in the Equity asset class were primarily attributable to the Global and Multi-Regional platforms, and inflows in the Fixed Income asset class were primarily attributable to the Emerging Markets platform. Outflows in the Equity asset class were primarily attributable to the Emerging Markets and Multi-Regional equity platforms, and outflows in the Fixed Income asset class were primarily attributable to the Emerging Markets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Nine Months Ended September 30, 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right="80" w:hanging="372"/>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Inflows in the Equity asset class were primarily attributable to the Multi-Regional, Global and Emerging Markets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Emerging Markets and Multi-Regional platforms.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As of October 20, 2017, AUM was $240.4 billion, a $2.3 billion increase since September 30, 2017. The increase in AUM was due to market appreciation of $3.8 billion, partially offset by net outflows of $0.8 billion and foreign exchange depreciation of $0.7 billion.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Average AUM for the three month and nine month periods ended September 30, 2017 and 2016 for each significant asset class is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AUM generally represents the average of the monthly ending AUM balances for the period.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w:t>
            </w:r>
          </w:p>
        </w:tc>
        <w:tc>
          <w:tcPr>
            <w:tcW w:w="22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163,462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183,630</w:t>
            </w:r>
          </w:p>
        </w:tc>
        <w:tc>
          <w:tcPr>
            <w:tcW w:w="62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Management</w:t>
            </w:r>
          </w:p>
        </w:tc>
        <w:tc>
          <w:tcPr>
            <w:tcW w:w="2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Average AUM</w:t>
            </w:r>
          </w:p>
        </w:tc>
        <w:tc>
          <w:tcPr>
            <w:tcW w:w="2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220,840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192,989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8" w:right="21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320,487</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267,725</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913,728</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767,610</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217,233</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185,753</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621,885</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543,616</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103,254</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291,843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223,994</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117" w:lineRule="exact"/>
        <w:rPr>
          <w:sz w:val="20"/>
          <w:szCs w:val="20"/>
          <w:color w:val="auto"/>
        </w:rPr>
      </w:pPr>
    </w:p>
    <w:p>
      <w:pPr>
        <w:ind w:right="5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versus September 30, 2016</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Asset Management net revenue increased $52 million, or 20%, as compared to the 2016 period. Management fees and other revenue was $317 million, an increase of $50 million, or 19%, as compared to $267 million in the 2016 period, primarily due to an increase in average AUM. Incentive fees were $3 million, an increase of $2 million as compared to $1 million in the 2016 period.</w:t>
      </w:r>
    </w:p>
    <w:p>
      <w:pPr>
        <w:spacing w:after="0" w:line="176"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$31 million, or 17%, as compared to the 2016 period, primarily due to increases in compensation associated with increased operating revenue.</w:t>
      </w:r>
    </w:p>
    <w:p>
      <w:pPr>
        <w:spacing w:after="0" w:line="162"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$103 million, an increase of $21 million, or 26%, as compared to operating income of $82 million in the 2016 period and, as a percentage of net revenue, was 32.2%, as compared to 30.6% in the 2016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versus September 30, 2016</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Asset Management net revenue increased $146 million, or 19%, as compared to the 2016 period. Management fees and other revenue was $887 million, an increase of $123 million, or 16%, as compared to $764 million in the 2016 period, primarily due to an increase in average AUM. Incentive fees were $27 million, an increase of $23 million as compared to $4 million in the 2016 period.</w:t>
      </w:r>
    </w:p>
    <w:p>
      <w:pPr>
        <w:spacing w:after="0" w:line="176"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$78 million, or 14%, as compared to the 2016 period, primarily due to increases in compensation associated with increased operating revenue.</w:t>
      </w:r>
    </w:p>
    <w:p>
      <w:pPr>
        <w:spacing w:after="0" w:line="16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$292 million, an increase of $68 million, or 30%, as compared to operating income of $224 million in the 2016 period and, as a percentage of net revenue, was 31.9%, as compared to 29.2% in the 2016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(13,000)</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(12,044)</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(35,700)</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Revenue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117" w:lineRule="exact"/>
        <w:rPr>
          <w:sz w:val="20"/>
          <w:szCs w:val="20"/>
          <w:color w:val="auto"/>
        </w:rPr>
      </w:pPr>
    </w:p>
    <w:p>
      <w:pPr>
        <w:ind w:right="180"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versus September 30, 2016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interest expense was substantially unchanged as compared to the 2016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revenue increased $1 million as compared to the 2016 period.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increased $3 million as compared to the 2016 period, primarily related to office space reorganization.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versus September 30, 2016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interest expense increased $1 million, or 4%, as compared to the 2016 period.</w:t>
      </w:r>
    </w:p>
    <w:p>
      <w:pPr>
        <w:spacing w:after="0" w:line="225"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Other revenue increased $23 million as compared to the 2016 period, primarily due to gains in the 2017 period attributable to investments held in connection with LFI.</w:t>
      </w:r>
    </w:p>
    <w:p>
      <w:pPr>
        <w:spacing w:after="0" w:line="16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Operating expenses increased $37 million as compared to the 2016 period, primarily due to an increase in compensation and benefits expense, including an increase in charges pertaining to LFI.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84"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February 2017 and February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ectPr>
          <w:pgSz w:w="11900" w:h="16838" w:orient="portrait"/>
          <w:cols w:equalWidth="0" w:num="1">
            <w:col w:w="11360"/>
          </w:cols>
          <w:pgMar w:left="240" w:top="65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 (a)</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operating activities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Financing activities (c)</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right="2960"/>
        <w:spacing w:after="0" w:line="271" w:lineRule="auto"/>
        <w:rPr>
          <w:sz w:val="20"/>
          <w:szCs w:val="20"/>
          <w:color w:val="auto"/>
        </w:rPr>
      </w:pPr>
      <w:r>
        <w:rPr>
          <w:rFonts w:ascii="Times New Roman" w:cs="Times New Roman" w:eastAsia="Times New Roman" w:hAnsi="Times New Roman"/>
          <w:sz w:val="18"/>
          <w:szCs w:val="18"/>
          <w:b w:val="1"/>
          <w:bCs w:val="1"/>
          <w:color w:val="auto"/>
        </w:rPr>
        <w:t>Net Increase (Decrease) in Cash and Cash Equivalents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b w:val="1"/>
          <w:bCs w:val="1"/>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209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of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expenses and stock units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and other acquisition-related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3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tab/>
        <w:t>Includes net changes in operating assets and liabilities.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r>
      <w:tr>
        <w:trPr>
          <w:trHeight w:val="18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4"/>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56"/>
        </w:trPr>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4"/>
                <w:szCs w:val="24"/>
                <w:color w:val="auto"/>
              </w:rPr>
            </w:pPr>
          </w:p>
        </w:tc>
        <w:tc>
          <w:tcPr>
            <w:tcW w:w="560" w:type="dxa"/>
            <w:vAlign w:val="bottom"/>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8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jc w:val="center"/>
              <w:ind w:left="575"/>
              <w:spacing w:after="0" w:line="151"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560" w:type="dxa"/>
            <w:vAlign w:val="bottom"/>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2" w:lineRule="exact"/>
        <w:rPr>
          <w:sz w:val="20"/>
          <w:szCs w:val="20"/>
          <w:color w:val="auto"/>
        </w:rPr>
      </w:pPr>
    </w:p>
    <w:p>
      <w:pPr>
        <w:sectPr>
          <w:pgSz w:w="11900" w:h="16838" w:orient="portrait"/>
          <w:cols w:equalWidth="0" w:num="2">
            <w:col w:w="7140" w:space="720"/>
            <w:col w:w="3500"/>
          </w:cols>
          <w:pgMar w:left="240" w:top="657" w:right="299" w:bottom="1440" w:gutter="0" w:footer="0" w:header="0"/>
          <w:type w:val="continuous"/>
        </w:sectPr>
      </w:pPr>
    </w:p>
    <w:p>
      <w:pPr>
        <w:ind w:left="380" w:right="20" w:hanging="372"/>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40" w:firstLine="518"/>
        <w:spacing w:after="0" w:line="313" w:lineRule="auto"/>
        <w:rPr>
          <w:sz w:val="20"/>
          <w:szCs w:val="20"/>
          <w:color w:val="auto"/>
        </w:rPr>
      </w:pPr>
      <w:r>
        <w:rPr>
          <w:rFonts w:ascii="Times New Roman" w:cs="Times New Roman" w:eastAsia="Times New Roman" w:hAnsi="Times New Roman"/>
          <w:sz w:val="17"/>
          <w:szCs w:val="17"/>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3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first nine months of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type w:val="continuous"/>
        </w:sectPr>
      </w:pPr>
    </w:p>
    <w:bookmarkStart w:id="55" w:name="page56"/>
    <w:bookmarkEnd w:id="55"/>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8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September 30, 2017, Lazard had approximately $1,254 million of cash, with such amount including approximately $607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88"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We maintain lines of credit in excess of anticipated liquidity requirements. As of September 30, 2017, Lazard had approximately $175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$24 million (at September 30, 2017 exchange rates).</w:t>
      </w:r>
    </w:p>
    <w:p>
      <w:pPr>
        <w:spacing w:after="0" w:line="180"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September 30, 2017 and December 31, 2016. The agreements with respect to this indebtedness are discussed in more detail in our condensed consolidated financial statements and related notes included elsewhere in this Form 10-Q and in our Form 10-K.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2025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2017, Lazard Group was in compliance with such ratios, with its Consolidated Leverage Ratio being 1.15 to 1.00 and its Consolidated Interest Coverage Ratio being 20.44 to 1.00. In any event, no amounts were outstanding under the Amended and Restated Credit Agreement as of September 30, 2017.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9 of Notes to Condensed Consolidated Financial Statements for additional information regarding senior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At September 30, 2017, total stockholders’ equity was $1,368 million, as compared to $1,294 million at December 31, 2016, including $1,308 million and $1,236 million attributable to Lazard Ltd on the respective dates. The net activity in stockholders’ equity during the nine month period ended September 30, 2017 is reflected in the table below (in millions of dollars):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 January 1, 2017</w:t>
            </w:r>
          </w:p>
        </w:tc>
        <w:tc>
          <w:tcPr>
            <w:tcW w:w="21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19"/>
                <w:szCs w:val="19"/>
                <w:color w:val="auto"/>
              </w:rPr>
            </w:pPr>
          </w:p>
        </w:tc>
      </w:tr>
      <w:tr>
        <w:trPr>
          <w:trHeight w:val="211"/>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 for the cumulative effect on prior years from the adoption of new</w:t>
            </w: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Borders>
              <w:bottom w:val="single" w:sz="8" w:color="CFF0FC"/>
            </w:tcBorders>
          </w:tcPr>
          <w:p>
            <w:pPr>
              <w:spacing w:after="0"/>
              <w:rPr>
                <w:sz w:val="20"/>
                <w:szCs w:val="20"/>
                <w:color w:val="auto"/>
              </w:rPr>
            </w:pPr>
          </w:p>
        </w:tc>
        <w:tc>
          <w:tcPr>
            <w:tcW w:w="696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accounting guidance related to share-based incentive compensation</w:t>
            </w:r>
          </w:p>
        </w:tc>
        <w:tc>
          <w:tcPr>
            <w:tcW w:w="14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tcPr>
          <w:p>
            <w:pPr>
              <w:spacing w:after="0"/>
              <w:rPr>
                <w:sz w:val="20"/>
                <w:szCs w:val="20"/>
                <w:color w:val="auto"/>
              </w:rPr>
            </w:pPr>
          </w:p>
        </w:tc>
      </w:tr>
      <w:tr>
        <w:trPr>
          <w:trHeight w:val="223"/>
        </w:trPr>
        <w:tc>
          <w:tcPr>
            <w:tcW w:w="7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adjusted, January 1, 2017</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share-based incentive compensation (a)</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40" w:type="dxa"/>
            <w:vAlign w:val="bottom"/>
            <w:shd w:val="clear" w:color="auto" w:fill="CFF0FC"/>
          </w:tcPr>
          <w:p>
            <w:pPr>
              <w:spacing w:after="0"/>
              <w:rPr>
                <w:sz w:val="19"/>
                <w:szCs w:val="19"/>
                <w:color w:val="auto"/>
              </w:rPr>
            </w:pPr>
          </w:p>
        </w:tc>
        <w:tc>
          <w:tcPr>
            <w:tcW w:w="6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1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 net</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 September 30, 2017</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50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2"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6,656,250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5,838,520</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620" w:firstLine="518"/>
        <w:spacing w:after="0" w:line="282" w:lineRule="auto"/>
        <w:rPr>
          <w:sz w:val="20"/>
          <w:szCs w:val="20"/>
          <w:color w:val="auto"/>
        </w:rPr>
      </w:pPr>
      <w:r>
        <w:rPr>
          <w:rFonts w:ascii="Times New Roman" w:cs="Times New Roman" w:eastAsia="Times New Roman" w:hAnsi="Times New Roman"/>
          <w:sz w:val="18"/>
          <w:szCs w:val="18"/>
          <w:color w:val="auto"/>
        </w:rPr>
        <w:t>As of September 30, 2017, a total of $103 million of share repurchase authorization remained available under the Company’s share repurchase program, which will expire on December 31, 2018.</w:t>
      </w:r>
    </w:p>
    <w:p>
      <w:pPr>
        <w:spacing w:after="0" w:line="162"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In addition, on October 25, 2017, the Board of Directors of Lazard authorized the repurchase of up to $200 million of additional shares of Class A common stock, which authorization will expire on December 31, 2019.</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 period ended September 30, 2017, the Company had in place trading plans under Rule 10b5-1 of the Securities Exchange Act of 1934, as amended (the “Exchange Act”), pursuant to which it effected stock repurchases in the open market.</w:t>
      </w:r>
    </w:p>
    <w:p>
      <w:pPr>
        <w:spacing w:after="0" w:line="16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See Notes 11 and 12 of Notes to Condensed Consolidated Financial Statements for additional information regarding Lazard’s stockholders’ equity and incentive plans,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September 30,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Contractual Obligations Payment Due by Period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1,489,479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$42,410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814,695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2,314,259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238,919</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693,278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of Notes to Condensed Consolidated Financial Statements.</w:t>
      </w:r>
    </w:p>
    <w:p>
      <w:pPr>
        <w:spacing w:after="0" w:line="117" w:lineRule="exact"/>
        <w:rPr>
          <w:rFonts w:ascii="Times New Roman" w:cs="Times New Roman" w:eastAsia="Times New Roman" w:hAnsi="Times New Roman"/>
          <w:sz w:val="18"/>
          <w:szCs w:val="18"/>
          <w:color w:val="auto"/>
        </w:rPr>
      </w:pPr>
    </w:p>
    <w:p>
      <w:pPr>
        <w:ind w:left="380" w:right="100" w:hanging="372"/>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$5,915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68" w:lineRule="exact"/>
        <w:rPr>
          <w:rFonts w:ascii="Times New Roman" w:cs="Times New Roman" w:eastAsia="Times New Roman" w:hAnsi="Times New Roman"/>
          <w:sz w:val="18"/>
          <w:szCs w:val="18"/>
          <w:color w:val="auto"/>
        </w:rPr>
      </w:pPr>
    </w:p>
    <w:p>
      <w:pPr>
        <w:ind w:left="380" w:right="160" w:hanging="372"/>
        <w:spacing w:after="0" w:line="255"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September 30, 2017, a tax receivable agreement obligation of $512,821 was recorded on the condensed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85"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54" w:lineRule="exact"/>
        <w:rPr>
          <w:sz w:val="20"/>
          <w:szCs w:val="20"/>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reasonably assured.</w:t>
      </w:r>
    </w:p>
    <w:p>
      <w:pPr>
        <w:spacing w:after="0" w:line="22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$1.23 billion, with such amount partially offset by a valuation allowance of approximately $70 million (as described below).</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22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information, including the following:</w:t>
      </w:r>
    </w:p>
    <w:p>
      <w:pPr>
        <w:spacing w:after="0" w:line="54" w:lineRule="exact"/>
        <w:rPr>
          <w:sz w:val="20"/>
          <w:szCs w:val="20"/>
          <w:color w:val="auto"/>
        </w:rPr>
      </w:pPr>
    </w:p>
    <w:p>
      <w:pPr>
        <w:ind w:left="900" w:hanging="379"/>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7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2016.</w:t>
      </w:r>
    </w:p>
    <w:p>
      <w:pPr>
        <w:spacing w:after="0" w:line="18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8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On January 1, 2017, we adopted new accounting guidance on share-based incentive compensation. As a result of the adoption of this new guidance, we recognized excess tax benefits of $9.1 million from the vesting of share-based incentive compensation in the provision for income taxes in the condensed consolidated statements of operations for the nine month period ended September 30, 2017.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See Item 1A, “Risk Factors” in our Form 10-K and Note 14 of Notes to Condensed Consolidated Financial Statements for additional information related to income taxes.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i w:val="1"/>
          <w:iCs w:val="1"/>
          <w:color w:val="auto"/>
        </w:rPr>
        <w:t>Amended and Restated Tax Receivable Agreement</w:t>
      </w:r>
    </w:p>
    <w:p>
      <w:pPr>
        <w:spacing w:after="0" w:line="11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16 of Notes to Condensed Consolidated Financial Statements for additional information regarding the Amended and Restated Tax Receivable Agreement.</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4"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recorded as of September 30, 2017 and December 31, 2016 was $513 million and $514 million, respectively, and is recorded in “tax receivable agreement obligation” on the condensed consolidated statements of financial condition.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6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80"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 (a)</w:t>
            </w:r>
          </w:p>
        </w:tc>
        <w:tc>
          <w:tcPr>
            <w:tcW w:w="3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110,835</w:t>
            </w:r>
          </w:p>
        </w:tc>
        <w:tc>
          <w:tcPr>
            <w:tcW w:w="6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3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137,100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 (b)</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Interest-bearing deposits (c)</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 and other</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3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119,453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219,850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method (d)</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 equity consolidated, not owned (e)</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LFI (f)</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186,871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426,948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61" w:name="page62"/>
    <w:bookmarkEnd w:id="61"/>
    <w:p>
      <w:pPr>
        <w:spacing w:after="0"/>
        <w:tabs>
          <w:tab w:leader="none" w:pos="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Times New Roman" w:cs="Times New Roman" w:eastAsia="Times New Roman" w:hAnsi="Times New Roman"/>
          <w:sz w:val="17"/>
          <w:szCs w:val="17"/>
          <w:color w:val="auto"/>
        </w:rPr>
        <w:t>At September 30, 2017 and December 31, 2016, seed investments in directly owned equity securities were invested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invested in:</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left="380" w:right="300" w:hanging="372"/>
        <w:spacing w:after="0" w:line="290" w:lineRule="auto"/>
        <w:tabs>
          <w:tab w:leader="none" w:pos="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 investments include investments related to certain legacy businesses and co-investments in private equity funds managed by our Asset Management business. Co-investments owned were $36 million and $34 million as of September 30, 2017 and December 31, 2016, respectively.</w:t>
      </w:r>
    </w:p>
    <w:p>
      <w:pPr>
        <w:ind w:left="380" w:right="80" w:hanging="372"/>
        <w:spacing w:after="0" w:line="261"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accounted for under the equity method of accounting.</w:t>
      </w:r>
    </w:p>
    <w:p>
      <w:pPr>
        <w:spacing w:after="0" w:line="117" w:lineRule="exact"/>
        <w:rPr>
          <w:rFonts w:ascii="Times New Roman" w:cs="Times New Roman" w:eastAsia="Times New Roman" w:hAnsi="Times New Roman"/>
          <w:sz w:val="18"/>
          <w:szCs w:val="18"/>
          <w:color w:val="auto"/>
        </w:rPr>
      </w:pPr>
    </w:p>
    <w:p>
      <w:pPr>
        <w:jc w:val="both"/>
        <w:ind w:left="380" w:right="100" w:hanging="372"/>
        <w:spacing w:after="0" w:line="266"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68" w:lineRule="exact"/>
        <w:rPr>
          <w:rFonts w:ascii="Times New Roman" w:cs="Times New Roman" w:eastAsia="Times New Roman" w:hAnsi="Times New Roman"/>
          <w:sz w:val="18"/>
          <w:szCs w:val="18"/>
          <w:color w:val="auto"/>
        </w:rPr>
      </w:pPr>
    </w:p>
    <w:p>
      <w:pPr>
        <w:ind w:left="380" w:hanging="372"/>
        <w:spacing w:after="0" w:line="258"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$2 million in one entity as of September 30, 2017.</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At September 30, 2017 and December 31, 2016, total investments with a fair value of $426 million and $459 million, respectively, included $86 million and $130 million, respectively, or 20%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2017 and December 31, 2016, the Company held seed investments of approximately $137 million and $134 million, respectively. Seed investments held in entities in which the Company maintained a controlling interest were $24 million in seven entities as of September 30, 2017, as compared to $41 million in six entities as of December 31, 2016.</w:t>
      </w:r>
    </w:p>
    <w:p>
      <w:pPr>
        <w:spacing w:after="0" w:line="17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As of September 30, 2017 and December 31, 2016, the Company did not consolidate or deconsolidate any seed investment entities or LFI investment entities. As such, 100% of the recorded balance of seed investments and LFI investments as of September 30,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62" w:name="page63"/>
    <w:bookmarkEnd w:id="62"/>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68" w:lineRule="exact"/>
        <w:rPr>
          <w:sz w:val="20"/>
          <w:szCs w:val="20"/>
          <w:color w:val="auto"/>
        </w:rPr>
      </w:pPr>
    </w:p>
    <w:p>
      <w:pPr>
        <w:ind w:left="900" w:right="100" w:hanging="379"/>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68" w:lineRule="exact"/>
        <w:rPr>
          <w:rFonts w:ascii="Times New Roman" w:cs="Times New Roman" w:eastAsia="Times New Roman" w:hAnsi="Times New Roman"/>
          <w:sz w:val="18"/>
          <w:szCs w:val="18"/>
          <w:color w:val="auto"/>
        </w:rPr>
      </w:pPr>
    </w:p>
    <w:p>
      <w:pPr>
        <w:ind w:left="900" w:right="100" w:hanging="379"/>
        <w:spacing w:after="0" w:line="261"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84"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17"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ind w:right="60"/>
        <w:spacing w:after="0" w:line="282" w:lineRule="auto"/>
        <w:rPr>
          <w:sz w:val="20"/>
          <w:szCs w:val="20"/>
          <w:color w:val="auto"/>
        </w:rPr>
      </w:pPr>
      <w:r>
        <w:rPr>
          <w:rFonts w:ascii="Times New Roman" w:cs="Times New Roman" w:eastAsia="Times New Roman" w:hAnsi="Times New Roman"/>
          <w:sz w:val="18"/>
          <w:szCs w:val="18"/>
          <w:color w:val="auto"/>
        </w:rPr>
        <w:t>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Equity Market Price Risk—At September 30, 2017 and December 31, 2016, the Company’s exposure to equity market price risk in its investment portfolio, which primarily relates to investments in equity securities, equity funds and hedge funds, was approximately $108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$1.3 million and</w:t>
      </w:r>
    </w:p>
    <w:p>
      <w:pPr>
        <w:spacing w:after="0" w:line="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$1.0 million in the carrying value of such investments as of September 30, 2017 and December 31, 2016, respectively, including the effect of the hedging transactions.</w:t>
      </w:r>
    </w:p>
    <w:p>
      <w:pPr>
        <w:spacing w:after="0" w:line="180"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Interest Rate/Credit Spread Risk—At September 30, 2017 and December 31, 2016, the Company’s exposure to interest rate and credit spread risk in its investment portfolio related to investments in debt securities or funds which invest primarily in debt securities was $61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$1.2 million and $0.9 million in the carrying value of such investments as of September 30, 2017 and December 31, 2016, respectively, including the effect of the hedging transactions.</w:t>
      </w:r>
    </w:p>
    <w:p>
      <w:pPr>
        <w:spacing w:after="0" w:line="16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Foreign Exchange Rate Risk—At both September 30, 2017 and December 31, 2016, the Company’s exposure to foreign exchange rate risk in its investment portfolio, which primarily relates to investments in foreign currency denominated equity and debt securities, was $64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$1.7 million in the carrying value of such investments as of September 30, 2017 and December 31, 2016, respectively, including the effect of the hedging transactions.</w:t>
      </w:r>
    </w:p>
    <w:p>
      <w:pPr>
        <w:spacing w:after="0" w:line="188"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September 30, 2017 and December 31, 2016, the Company’s exposure to changes in fair value of such investments was approximately $58 million and $96 million, respectively. The Company estimates that a hypothetical 10% adverse change in fair value would result in a decrease of approximately $5.8 million and $9.6 million in the carrying value of such investments as of September 30, 2017 and December 31, 2016, respectively.</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2017, total receivables amounted to $552 million, net of an allowance for doubtful accounts of $27 million. As of that date, Financial Advisory and Asset Management fees, and customer receivables comprised 82% and 18% of total receivables, respectively. At December 31, 2016, total receivables amounted to $638 million, net of an allowance for doubtful accounts of $16 million. As of that date, Financial Advisory and Asset Management fees, and customer receivables comprised 88% and 12% of total receivables, respectively. At September 30, 2017 and December 31, 2016, the Company had receivables past due or deemed uncollectible of approximately $44 million and $22 million, respectively. See also “Critical Accounting Policies and Estimates—Revenue Recognition” above and Note 3 of Notes to Condensed Consolidated Financial Statements for additional information regarding receivables.</w:t>
      </w:r>
    </w:p>
    <w:p>
      <w:pPr>
        <w:spacing w:after="0" w:line="18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(primarily for clients of LFG). At September 30, 2017 and December 31, 2016, customer receivables included $56 million and $51 million of LFB loans, respectively, with such loans being fully collateralized and closely monitored for counterparty creditworthiness.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4" w:name="page65"/>
    <w:bookmarkEnd w:id="6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$2 million at September 30, 2017 and December 31, 2016, respectively, and derivative liabilities, excluding the derivative liability arising from the Company’s obligation pertaining to LFI and other similar deferred compensation arrangements, amounted to $13 million and $12 million at such respective dates.</w:t>
      </w:r>
    </w:p>
    <w:p>
      <w:pPr>
        <w:spacing w:after="0" w:line="18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$176 million and $170 million at September 30, 2017 and December 31, 2016,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289" w:lineRule="auto"/>
        <w:rPr>
          <w:sz w:val="20"/>
          <w:szCs w:val="20"/>
          <w:color w:val="auto"/>
        </w:rPr>
      </w:pPr>
      <w:r>
        <w:rPr>
          <w:rFonts w:ascii="Times New Roman" w:cs="Times New Roman" w:eastAsia="Times New Roman" w:hAnsi="Times New Roman"/>
          <w:sz w:val="17"/>
          <w:szCs w:val="17"/>
          <w:color w:val="auto"/>
        </w:rPr>
        <w:t>A significant portion of the Company’s indebtedness has fixed interest rates, while its cash and cash equivalents generally have market interest rates. Based on account balances as of September 30, 2017, Lazard estimates that its annual operating income relating to cash and cash equivalents would increase by approximately $13 million in the event interest rates were to increase by 1% and decrease by approximately $13 million if rates were to decrease by 1%.</w:t>
      </w:r>
    </w:p>
    <w:p>
      <w:pPr>
        <w:spacing w:after="0" w:line="158"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As of September 30, 2017, the Company’s cash and cash equivalents totaled approximately $1,254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65" w:name="page66"/>
    <w:bookmarkEnd w:id="6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720"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from the risk factors previously disclosed in the Company’s Annual Report on Form 10-K for the year ended December 31, 2016.</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Lazard’s purchases of its Class A common stock on a monthly basis during the third quarter of 2017. Share repurchases are recorded on a trade date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July 1 – July 31, 2017</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170.2</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1 – August 31, 2017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1,285,041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114.7</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1 – September 30, 2017</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1,570,041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45.09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2090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05" w:lineRule="exact"/>
        <w:rPr>
          <w:sz w:val="20"/>
          <w:szCs w:val="20"/>
          <w:color w:val="auto"/>
        </w:rPr>
      </w:pPr>
    </w:p>
    <w:p>
      <w:pPr>
        <w:ind w:left="380" w:hanging="372"/>
        <w:spacing w:after="0" w:line="28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2017 and since 2014, the Board of Directors of Lazard authorized the repurchase of Class A common stock as set forth in the table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1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2014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3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April 2016</w:t>
            </w: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113,182</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3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December 31, 2018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In addition, on October 25, 2017, the Board of Directors of Lazard authorized the repurchase of up to $200 million of additional shares of Class A common stock, which authorization will expire on December 31,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purchases under the share repurchase program are used to offset a portion of the shares that have been or will be issued under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84" w:lineRule="exact"/>
        <w:rPr>
          <w:sz w:val="20"/>
          <w:szCs w:val="20"/>
          <w:color w:val="auto"/>
        </w:rPr>
      </w:pPr>
    </w:p>
    <w:p>
      <w:pPr>
        <w:ind w:left="380" w:hanging="372"/>
        <w:spacing w:after="0" w:line="281" w:lineRule="auto"/>
        <w:tabs>
          <w:tab w:leader="none" w:pos="3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the 2008 Plan, upon the vesting of RSUs, PRSUs, DSUs and delivery of restricted Class A common stock, shares of Class A common stock may be withheld by the Company to meet the minimum statutory tax withholding requirements. During the three month period ended September 30, 2017, the Company satisfied such obligations in lieu of issuing (i) 16,549 shares of Class A common stock upon the vesting or settlement of 39,507 RSUs and PRSUs and (ii) 12,247 shares of Class A common stock upon the vesting of 24,997 shares of restricted Class A common stock.</w:t>
      </w:r>
    </w:p>
    <w:p>
      <w:pPr>
        <w:spacing w:after="0" w:line="2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Effective as of October 30, 2017, Lazard Ltd, Lazard Group and Scott D. Hoffman entered into an amendment to Mr. Hoffman’s Amended and Restated Agreement Relating to Retention and Noncompetition and Other Covenants, dated March 9, 2016, solely to reflect that, in addition to continuing to serve as General Counsel of Lazard Ltd and Lazard Group, effective July 26, 2017, Mr. Hoffman was appointed Chief Administrative Officer of Lazard Ltd and Lazard Group. The amendment is attached as an exhibit hereto.</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in connection with Evan L. Russo’s appointment, effective October 1, 2017, as Chief Financial Officer of Lazard Ltd and Lazard Group, effective as of October 30, 2017, Lazard Ltd, Lazard Group and Mr. Russo entered into an Agreement Relating to Retention and Noncompetition and Other Covenants, attached as an exhibit hereto. The material terms of the agreement with Mr. Russo are substantially similar to those with the Company’s other executive officers, including the Amended and Restated Agreements Relating to Retention and Noncompetition and Other Covenants, dated as of March 9, 2016, with Ashish Bhutani, Mr. Hoffman and Alexander F. Stern. Such terms are described under the heading “Amended Retention Agreements with Our NEOs” beginning on page 68 of Lazard Ltd’s Definitive Proxy Statement on Schedule 14A filed with the United States Securities and Exchange Commission on March 10, 2016.</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8"/>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4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Registration Statement (File No. 333-121407) on Form S-1/A filed on March 21, 2005).</w:t>
              </w:r>
            </w:hyperlink>
          </w:p>
        </w:tc>
        <w:tc>
          <w:tcPr>
            <w:tcW w:w="3660" w:type="dxa"/>
            <w:vAlign w:val="bottom"/>
            <w:tcBorders>
              <w:top w:val="single" w:sz="8" w:color="0000EE"/>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Statement (File No. 333-121407) on Form S-1/A filed on March 21, 2005).</w:t>
              </w:r>
            </w:hyperlink>
          </w:p>
        </w:tc>
        <w:tc>
          <w:tcPr>
            <w:tcW w:w="42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w:t>
            </w:r>
          </w:p>
        </w:tc>
        <w:tc>
          <w:tcPr>
            <w:tcW w:w="101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Bye-Laws of Lazard Ltd (incorporated by reference to Exhibit 3.3 to the Registrant’s Quarterly Report (File No. 001-</w:t>
              </w:r>
            </w:hyperlink>
          </w:p>
        </w:tc>
        <w:tc>
          <w:tcPr>
            <w:tcW w:w="22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Report (File No. 001-32492) on Form 10-Q filed on May 9, 2008).</w:t>
              </w:r>
            </w:hyperlink>
          </w:p>
        </w:tc>
        <w:tc>
          <w:tcPr>
            <w:tcW w:w="5240" w:type="dxa"/>
            <w:vAlign w:val="bottom"/>
            <w:tcBorders>
              <w:top w:val="single" w:sz="8" w:color="0000EE"/>
            </w:tcBorders>
            <w:gridSpan w:val="15"/>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Second Amendment to the Amended and Restated Bye-Laws of Lazard Ltd (incorporated by reference to Exhibit 3.5 to the Registrant’s</w:t>
              </w:r>
            </w:hyperlink>
          </w:p>
        </w:tc>
        <w:tc>
          <w:tcPr>
            <w:tcW w:w="60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Quarterly Report (File No. 001-32492) on Form 10-Q filed on April 30, 2010).</w:t>
              </w:r>
            </w:hyperlink>
          </w:p>
        </w:tc>
        <w:tc>
          <w:tcPr>
            <w:tcW w:w="4700" w:type="dxa"/>
            <w:vAlign w:val="bottom"/>
            <w:gridSpan w:val="23"/>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Specimen Certificate for Class A common stock (incorporated by reference to Exhibit 4.1 to the Registrant’s Registration Statement</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(File No. 333-121407) on Form S-1/A filed on April 11, 2005).</w:t>
              </w:r>
            </w:hyperlink>
          </w:p>
        </w:tc>
        <w:tc>
          <w:tcPr>
            <w:tcW w:w="26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4.2</w:t>
            </w:r>
          </w:p>
        </w:tc>
        <w:tc>
          <w:tcPr>
            <w:tcW w:w="102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Indenture, dated as of May 10, 2005, by and between Lazard Group LLC and The Bank of New York, as Trustee (incorporated by reference to</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w:t>
            </w:r>
          </w:p>
        </w:tc>
        <w:tc>
          <w:tcPr>
            <w:tcW w:w="1034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Fourth Supplemental Indenture, dated as of June 21, 2007, between Lazard Group LLC and The Bank of New York, as trustee (incorporated by</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reference to Exhibit 4.1 to the Registrant’s Current Report on Form 8-K (File No. 001-32492) filed on June 22, 2007).</w:t>
              </w:r>
            </w:hyperlink>
          </w:p>
        </w:tc>
        <w:tc>
          <w:tcPr>
            <w:tcW w:w="1820" w:type="dxa"/>
            <w:vAlign w:val="bottom"/>
            <w:gridSpan w:val="19"/>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4.4</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Fifth Supplemental Indenture, dated as of November 14, 2013,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(incorporated by reference to Exhibit 4.1 to the Registrant’s Current Report on Form 8-K (File No. 001-32492) filed on November 14, 2013).</w:t>
              </w:r>
            </w:hyperlink>
          </w:p>
        </w:tc>
        <w:tc>
          <w:tcPr>
            <w:tcW w:w="200" w:type="dxa"/>
            <w:vAlign w:val="bottom"/>
            <w:gridSpan w:val="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4.6</w:t>
            </w:r>
          </w:p>
        </w:tc>
        <w:tc>
          <w:tcPr>
            <w:tcW w:w="101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Seventh Supplemental Indenture, dated as of November 4, 2016, between Lazard Group LLC and The Bank of New York Mellon, as trustee</w:t>
              </w:r>
            </w:hyperlink>
          </w:p>
        </w:tc>
        <w:tc>
          <w:tcPr>
            <w:tcW w:w="2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(incorporated by reference to Exhibit 4.1 of the Registrant’s Current Report on Form 8-K (File No. 001-32492) filed on November 7, 2016).</w:t>
              </w:r>
            </w:hyperlink>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top w:val="single" w:sz="8" w:color="0000EE"/>
            </w:tcBorders>
            <w:gridSpan w:val="2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Senior Note (included in Exhibits </w:t>
            </w:r>
            <w:hyperlink r:id="rId116">
              <w:r>
                <w:rPr>
                  <w:rFonts w:ascii="Times New Roman" w:cs="Times New Roman" w:eastAsia="Times New Roman" w:hAnsi="Times New Roman"/>
                  <w:sz w:val="18"/>
                  <w:szCs w:val="18"/>
                  <w:color w:val="0000EE"/>
                </w:rPr>
                <w:t>4.3</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0000EE"/>
                </w:rPr>
                <w:t>4.4</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19">
              <w:r>
                <w:rPr>
                  <w:rFonts w:ascii="Times New Roman" w:cs="Times New Roman" w:eastAsia="Times New Roman" w:hAnsi="Times New Roman"/>
                  <w:sz w:val="18"/>
                  <w:szCs w:val="18"/>
                  <w:color w:val="0000EE"/>
                </w:rPr>
                <w:t>4.6</w:t>
              </w:r>
            </w:hyperlink>
            <w:r>
              <w:rPr>
                <w:rFonts w:ascii="Times New Roman" w:cs="Times New Roman" w:eastAsia="Times New Roman" w:hAnsi="Times New Roman"/>
                <w:sz w:val="18"/>
                <w:szCs w:val="18"/>
                <w:color w:val="auto"/>
              </w:rPr>
              <w:t>).</w:t>
            </w:r>
          </w:p>
        </w:tc>
        <w:tc>
          <w:tcPr>
            <w:tcW w:w="300" w:type="dxa"/>
            <w:vAlign w:val="bottom"/>
            <w:gridSpan w:val="9"/>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w:t>
            </w:r>
          </w:p>
        </w:tc>
        <w:tc>
          <w:tcPr>
            <w:tcW w:w="103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Amended and Restated Operating Agreement of Lazard Group LLC, dated as of October 26, 2015 (incorporated by reference to Exhibit 10.1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Registrant’s Quarterly Report (File No. 001-32492) on Form 10-Q filed on October 28, 2015).</w:t>
              </w:r>
            </w:hyperlink>
          </w:p>
        </w:tc>
        <w:tc>
          <w:tcPr>
            <w:tcW w:w="3600" w:type="dxa"/>
            <w:vAlign w:val="bottom"/>
            <w:gridSpan w:val="21"/>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No.1 to Amended and Restated Operating Agreement of Lazard Group LLC, dated as of October 27, 2016 (incorporated by</w:t>
              </w:r>
            </w:hyperlink>
          </w:p>
        </w:tc>
      </w:tr>
      <w:tr>
        <w:trPr>
          <w:trHeight w:val="196"/>
        </w:trPr>
        <w:tc>
          <w:tcPr>
            <w:tcW w:w="10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reference to Exhibit 10.2 to Registrant’s Quarterly Report (File No. 001-32492) on Form 10-Q filed on October 28, 2016).</w:t>
              </w:r>
            </w:hyperlink>
          </w:p>
        </w:tc>
        <w:tc>
          <w:tcPr>
            <w:tcW w:w="1060" w:type="dxa"/>
            <w:vAlign w:val="bottom"/>
            <w:tcBorders>
              <w:top w:val="single" w:sz="8" w:color="0000EE"/>
            </w:tcBorders>
            <w:gridSpan w:val="3"/>
          </w:tcPr>
          <w:p>
            <w:pPr>
              <w:spacing w:after="0"/>
              <w:rPr>
                <w:sz w:val="17"/>
                <w:szCs w:val="17"/>
                <w:color w:val="auto"/>
              </w:rPr>
            </w:pPr>
          </w:p>
        </w:tc>
        <w:tc>
          <w:tcPr>
            <w:tcW w:w="520" w:type="dxa"/>
            <w:vAlign w:val="bottom"/>
            <w:gridSpan w:val="1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w:t>
            </w:r>
          </w:p>
        </w:tc>
        <w:tc>
          <w:tcPr>
            <w:tcW w:w="103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Second Amended and Restated Tax Receivable Agreement, dated as of October 26, 2015, by and among Ltd Sub A, Ltd Sub B and LTBP Trust</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by reference to Exhibit 10.2 to the Registrant’s Quarterly Report (File No. 001-32492) on Form 10-Q filed on October 28, 2015).</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w:t>
            </w:r>
          </w:p>
        </w:tc>
        <w:tc>
          <w:tcPr>
            <w:tcW w:w="1038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Center Properties), RCPI 30 Rock 22234849, L.L.C. and Lazard Group LLC (as the successor in interest to Lazard Frères &amp; Co. LLC), to the</w:t>
              </w:r>
            </w:hyperlink>
          </w:p>
        </w:tc>
        <w:tc>
          <w:tcPr>
            <w:tcW w:w="2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Lease dated as of January 27, 1994, by and among Rockefeller Center Properties and Lazard Frères &amp; Co. LLC (incorporated by reference to</w:t>
              </w:r>
            </w:hyperlink>
          </w:p>
        </w:tc>
        <w:tc>
          <w:tcPr>
            <w:tcW w:w="2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22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10.6</w:t>
            </w:r>
          </w:p>
        </w:tc>
        <w:tc>
          <w:tcPr>
            <w:tcW w:w="10400" w:type="dxa"/>
            <w:vAlign w:val="bottom"/>
            <w:gridSpan w:val="35"/>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Occupational Lease, dated as of August 9, 2002, by and among Burford (Stratton) Nominee 1 Limited, Burford (Stratton) Nominee 2 Limited,</w:t>
              </w:r>
            </w:hyperlink>
          </w:p>
        </w:tc>
      </w:tr>
      <w:tr>
        <w:trPr>
          <w:trHeight w:val="20"/>
        </w:trPr>
        <w:tc>
          <w:tcPr>
            <w:tcW w:w="1040" w:type="dxa"/>
            <w:vAlign w:val="bottom"/>
          </w:tcPr>
          <w:p>
            <w:pPr>
              <w:spacing w:after="0" w:line="20" w:lineRule="exact"/>
              <w:rPr>
                <w:sz w:val="1"/>
                <w:szCs w:val="1"/>
                <w:color w:val="auto"/>
              </w:rPr>
            </w:pPr>
          </w:p>
        </w:tc>
        <w:tc>
          <w:tcPr>
            <w:tcW w:w="5600" w:type="dxa"/>
            <w:vAlign w:val="bottom"/>
            <w:gridSpan w:val="11"/>
            <w:shd w:val="clear" w:color="auto" w:fill="0000EE"/>
          </w:tcPr>
          <w:p>
            <w:pPr>
              <w:spacing w:after="0" w:line="20" w:lineRule="exact"/>
              <w:rPr>
                <w:sz w:val="1"/>
                <w:szCs w:val="1"/>
                <w:color w:val="auto"/>
              </w:rPr>
            </w:pPr>
          </w:p>
        </w:tc>
        <w:tc>
          <w:tcPr>
            <w:tcW w:w="4660" w:type="dxa"/>
            <w:vAlign w:val="bottom"/>
            <w:gridSpan w:val="2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Burford (Stratton) Limited, Lazard &amp; Co., Limited and Lazard LLC (incorporated by reference to Exhibit 10.21 to the Registrant’s Registration</w:t>
              </w:r>
            </w:hyperlink>
          </w:p>
        </w:tc>
        <w:tc>
          <w:tcPr>
            <w:tcW w:w="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Statement (File No. 333-121407) on Form S-1/A filed on February 11, 2005).</w:t>
              </w:r>
            </w:hyperlink>
          </w:p>
        </w:tc>
      </w:tr>
      <w:tr>
        <w:trPr>
          <w:trHeight w:val="453"/>
        </w:trPr>
        <w:tc>
          <w:tcPr>
            <w:tcW w:w="1040" w:type="dxa"/>
            <w:vAlign w:val="bottom"/>
          </w:tcPr>
          <w:p>
            <w:pPr>
              <w:spacing w:after="0"/>
              <w:rPr>
                <w:sz w:val="24"/>
                <w:szCs w:val="24"/>
                <w:color w:val="auto"/>
              </w:rPr>
            </w:pPr>
          </w:p>
        </w:tc>
        <w:tc>
          <w:tcPr>
            <w:tcW w:w="4820" w:type="dxa"/>
            <w:vAlign w:val="bottom"/>
            <w:tcBorders>
              <w:top w:val="single" w:sz="8" w:color="0000EE"/>
            </w:tcBorders>
            <w:gridSpan w:val="9"/>
          </w:tcPr>
          <w:p>
            <w:pPr>
              <w:ind w:left="458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Lazard Ltd 2005 Equity Incentive Plan (incorporated by reference to Exhibit 10.21 to the Registrant’s Registration Statement (File No. 333-</w:t>
              </w:r>
            </w:hyperlink>
          </w:p>
        </w:tc>
        <w:tc>
          <w:tcPr>
            <w:tcW w:w="3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Lazard Ltd 2008 Incentive Compensation Plan (incorporated by reference to Annex B to the Registrant’s Definitive Proxy Statement on</w:t>
              </w:r>
            </w:hyperlink>
          </w:p>
        </w:tc>
        <w:tc>
          <w:tcPr>
            <w:tcW w:w="60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Schedule 14A (File No. 001-32492) filed on March 24, 2008).</w:t>
              </w:r>
            </w:hyperlink>
          </w:p>
        </w:tc>
        <w:tc>
          <w:tcPr>
            <w:tcW w:w="5900" w:type="dxa"/>
            <w:vAlign w:val="bottom"/>
            <w:gridSpan w:val="25"/>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3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Lazard Ltd 2016 French Sub-plan (incorporated by reference to Annex B to the Registrant’s Definitive Proxy Statement on Schedule 14A (File</w:t>
              </w:r>
            </w:hyperlink>
          </w:p>
        </w:tc>
        <w:tc>
          <w:tcPr>
            <w:tcW w:w="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No. 001-32492) filed on March 10, 2016).</w:t>
              </w:r>
            </w:hyperlink>
          </w:p>
        </w:tc>
        <w:tc>
          <w:tcPr>
            <w:tcW w:w="7340" w:type="dxa"/>
            <w:vAlign w:val="bottom"/>
            <w:gridSpan w:val="33"/>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the Registrant, Lazard Group LLC and Kenneth M. Jacobs (incorporated by reference to Exhibit 10.9 to the Registrant’s Quarterly Report (File</w:t>
              </w:r>
            </w:hyperlink>
          </w:p>
        </w:tc>
      </w:tr>
      <w:tr>
        <w:trPr>
          <w:trHeight w:val="196"/>
        </w:trPr>
        <w:tc>
          <w:tcPr>
            <w:tcW w:w="10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No. 001-32492) on Form 10-Q filed on April 27, 2016).</w:t>
              </w:r>
            </w:hyperlink>
          </w:p>
        </w:tc>
        <w:tc>
          <w:tcPr>
            <w:tcW w:w="6260" w:type="dxa"/>
            <w:vAlign w:val="bottom"/>
            <w:tcBorders>
              <w:top w:val="single" w:sz="8" w:color="0000EE"/>
            </w:tcBorders>
            <w:gridSpan w:val="2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the Registrant, Lazard Group LLC and Ashish Bhutani (incorporated by reference to Exhibit 10.10 to the Registrant’s Quarterly Report (File</w:t>
              </w:r>
            </w:hyperlink>
          </w:p>
        </w:tc>
        <w:tc>
          <w:tcPr>
            <w:tcW w:w="26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No. 001-32492) on Form 10-Q filed on April 27, 2016).</w:t>
              </w:r>
            </w:hyperlink>
          </w:p>
        </w:tc>
        <w:tc>
          <w:tcPr>
            <w:tcW w:w="6360" w:type="dxa"/>
            <w:vAlign w:val="bottom"/>
            <w:gridSpan w:val="28"/>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the Registrant, Lazard Group LLC and Matthieu Bucaille (incorporated by reference to Exhibit 10.11 to the Registrant’s Quarterly Report (File</w:t>
              </w:r>
            </w:hyperlink>
          </w:p>
        </w:tc>
      </w:tr>
      <w:tr>
        <w:trPr>
          <w:trHeight w:val="196"/>
        </w:trPr>
        <w:tc>
          <w:tcPr>
            <w:tcW w:w="10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No. 001-32492) on Form 10-Q filed on April 27, 2016).</w:t>
              </w:r>
            </w:hyperlink>
          </w:p>
        </w:tc>
        <w:tc>
          <w:tcPr>
            <w:tcW w:w="6260" w:type="dxa"/>
            <w:vAlign w:val="bottom"/>
            <w:tcBorders>
              <w:top w:val="single" w:sz="8" w:color="0000EE"/>
            </w:tcBorders>
            <w:gridSpan w:val="2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the Registrant, Lazard Group LLC and Scott D. Hoffman (incorporated by reference to Exhibit 10.12 to the Registrant’s Quarterly Report (File</w:t>
              </w:r>
            </w:hyperlink>
          </w:p>
        </w:tc>
        <w:tc>
          <w:tcPr>
            <w:tcW w:w="1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No. 001-32492) on Form 10-Q filed on April 27, 2016).</w:t>
              </w:r>
            </w:hyperlink>
          </w:p>
        </w:tc>
        <w:tc>
          <w:tcPr>
            <w:tcW w:w="6360" w:type="dxa"/>
            <w:vAlign w:val="bottom"/>
            <w:gridSpan w:val="28"/>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10400" w:type="dxa"/>
            <w:vAlign w:val="bottom"/>
            <w:gridSpan w:val="36"/>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Amendment, dated as of October 30, 2017, to Amended and Restated Agreement relating to Retention and Noncompetition and Other</w:t>
              </w:r>
            </w:hyperlink>
          </w:p>
        </w:tc>
      </w:tr>
      <w:tr>
        <w:trPr>
          <w:trHeight w:val="196"/>
        </w:trPr>
        <w:tc>
          <w:tcPr>
            <w:tcW w:w="104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Covenants, dated as of March 9, 2016, by and among the Registrant, Lazard Group LLC and Scott D. Hoffman.</w:t>
              </w:r>
            </w:hyperlink>
          </w:p>
        </w:tc>
        <w:tc>
          <w:tcPr>
            <w:tcW w:w="1600" w:type="dxa"/>
            <w:vAlign w:val="bottom"/>
            <w:tcBorders>
              <w:top w:val="single" w:sz="8" w:color="0000EE"/>
            </w:tcBorders>
            <w:gridSpan w:val="2"/>
          </w:tcPr>
          <w:p>
            <w:pPr>
              <w:spacing w:after="0"/>
              <w:rPr>
                <w:sz w:val="17"/>
                <w:szCs w:val="17"/>
                <w:color w:val="auto"/>
              </w:rPr>
            </w:pPr>
          </w:p>
        </w:tc>
        <w:tc>
          <w:tcPr>
            <w:tcW w:w="740" w:type="dxa"/>
            <w:vAlign w:val="bottom"/>
            <w:gridSpan w:val="19"/>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34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Agreement relating to Retention and Noncompetition and Other Covenants, dated as of October 30, 2017, by and among the Registrant, Lazard</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Group LLC and Evan L. Russo.</w:t>
              </w:r>
            </w:hyperlink>
          </w:p>
        </w:tc>
      </w:tr>
      <w:tr>
        <w:trPr>
          <w:trHeight w:val="20"/>
        </w:trPr>
        <w:tc>
          <w:tcPr>
            <w:tcW w:w="10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Agreement relating to Retention and Noncompetition and Other Covenants, dated as of March 9, 2016, by and among</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the Registrant, Lazard Group LLC and Alexander F. Stern (incorporated by reference to Exhibit 10.13 to the Registrant’s Quarterly Report (File</w:t>
              </w:r>
            </w:hyperlink>
          </w:p>
        </w:tc>
      </w:tr>
      <w:tr>
        <w:trPr>
          <w:trHeight w:val="196"/>
        </w:trPr>
        <w:tc>
          <w:tcPr>
            <w:tcW w:w="10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No. 001-32492) on Form 10-Q filed on April 27, 2016).</w:t>
              </w:r>
            </w:hyperlink>
          </w:p>
        </w:tc>
        <w:tc>
          <w:tcPr>
            <w:tcW w:w="6320" w:type="dxa"/>
            <w:vAlign w:val="bottom"/>
            <w:tcBorders>
              <w:top w:val="single" w:sz="8" w:color="0000EE"/>
            </w:tcBorders>
            <w:gridSpan w:val="27"/>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2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Award Letter for Annual Grant of Deferred Stock Units to Non-Executive Directors (incorporated by reference to Exhibit 99.1 to the</w:t>
              </w:r>
            </w:hyperlink>
          </w:p>
        </w:tc>
        <w:tc>
          <w:tcPr>
            <w:tcW w:w="20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Registrant’s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400" w:type="dxa"/>
            <w:vAlign w:val="bottom"/>
            <w:gridSpan w:val="36"/>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(incorporated by reference to Exhibit 10.41 to the Registrant’s Annual Report (File No. 001-32492) on Form 10-K filed on March 2, 2009).</w:t>
              </w:r>
            </w:hyperlink>
          </w:p>
        </w:tc>
        <w:tc>
          <w:tcPr>
            <w:tcW w:w="340" w:type="dxa"/>
            <w:vAlign w:val="bottom"/>
            <w:gridSpan w:val="12"/>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400" w:type="dxa"/>
            <w:vAlign w:val="bottom"/>
            <w:gridSpan w:val="36"/>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Agreement evidencing a grant of Deferred Cash Award to Executive Officers (incorporated by reference to Exhibit 10.42 to the</w:t>
              </w:r>
            </w:hyperlink>
          </w:p>
        </w:tc>
      </w:tr>
      <w:tr>
        <w:trPr>
          <w:trHeight w:val="196"/>
        </w:trPr>
        <w:tc>
          <w:tcPr>
            <w:tcW w:w="104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Registrant’s Annual Report (File No. 001-32492) on Form 10-K filed on March 2, 2009).</w:t>
              </w:r>
            </w:hyperlink>
          </w:p>
        </w:tc>
        <w:tc>
          <w:tcPr>
            <w:tcW w:w="3360" w:type="dxa"/>
            <w:vAlign w:val="bottom"/>
            <w:tcBorders>
              <w:top w:val="single" w:sz="8" w:color="0000EE"/>
            </w:tcBorders>
            <w:gridSpan w:val="6"/>
          </w:tcPr>
          <w:p>
            <w:pPr>
              <w:spacing w:after="0"/>
              <w:rPr>
                <w:sz w:val="17"/>
                <w:szCs w:val="17"/>
                <w:color w:val="auto"/>
              </w:rPr>
            </w:pPr>
          </w:p>
        </w:tc>
        <w:tc>
          <w:tcPr>
            <w:tcW w:w="600" w:type="dxa"/>
            <w:vAlign w:val="bottom"/>
            <w:gridSpan w:val="18"/>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0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Directors’ Fee Deferral Unit Plan (incorporated by reference to Exhibit 10.39 to the Registrant’s Quarterly Report (File No. 001-32492) on</w:t>
              </w:r>
            </w:hyperlink>
          </w:p>
        </w:tc>
        <w:tc>
          <w:tcPr>
            <w:tcW w:w="38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10-Q filed on May 11, 2006).</w:t>
              </w:r>
            </w:hyperlink>
          </w:p>
        </w:tc>
      </w:tr>
      <w:tr>
        <w:trPr>
          <w:trHeight w:val="20"/>
        </w:trPr>
        <w:tc>
          <w:tcPr>
            <w:tcW w:w="10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 Credit Agreement, dated as of September 25, 2015, among Lazard Group LLC, the Banks from time to time parties</w:t>
              </w:r>
            </w:hyperlink>
          </w:p>
        </w:tc>
        <w:tc>
          <w:tcPr>
            <w:tcW w:w="36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thereto, and Citibank, N.A., as Administrative Agent (incorporated by reference to Exhibit 10.27 to the Registrant’s Quarterly Report (File</w:t>
              </w:r>
            </w:hyperlink>
          </w:p>
        </w:tc>
      </w:tr>
      <w:tr>
        <w:trPr>
          <w:trHeight w:val="196"/>
        </w:trPr>
        <w:tc>
          <w:tcPr>
            <w:tcW w:w="104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No. 001-32492) on Form 10-Q filed on October 28, 2015).</w:t>
              </w:r>
            </w:hyperlink>
          </w:p>
        </w:tc>
        <w:tc>
          <w:tcPr>
            <w:tcW w:w="5740" w:type="dxa"/>
            <w:vAlign w:val="bottom"/>
            <w:tcBorders>
              <w:top w:val="single" w:sz="8" w:color="0000EE"/>
            </w:tcBorders>
            <w:gridSpan w:val="12"/>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1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Agreement evidencing a grant of Lazard Fund Interests to Named Executive Officers (incorporated by reference to Exhibit 10.55 to</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the Registrant’s Quarterly Report (File No. 001-32492) on Form 10-Q filed on May 1, 2013).</w:t>
              </w:r>
            </w:hyperlink>
          </w:p>
        </w:tc>
      </w:tr>
      <w:tr>
        <w:trPr>
          <w:trHeight w:val="20"/>
        </w:trPr>
        <w:tc>
          <w:tcPr>
            <w:tcW w:w="104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0400" w:type="dxa"/>
            <w:vAlign w:val="bottom"/>
            <w:gridSpan w:val="36"/>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Agreement evidencing a February 20, 2014 grant of Performance-Based Stock Units under the 2008 Incentive Compensation Plan</w:t>
              </w:r>
            </w:hyperlink>
          </w:p>
        </w:tc>
      </w:tr>
      <w:tr>
        <w:trPr>
          <w:trHeight w:val="196"/>
        </w:trPr>
        <w:tc>
          <w:tcPr>
            <w:tcW w:w="104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by reference to Exhibit 10.55 to the Registrant’s Quarterly Report (File No. 001-32492) on Form 10-Q filed May 6, 2014).</w:t>
              </w:r>
            </w:hyperlink>
          </w:p>
        </w:tc>
        <w:tc>
          <w:tcPr>
            <w:tcW w:w="38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10400" w:type="dxa"/>
            <w:vAlign w:val="bottom"/>
            <w:gridSpan w:val="36"/>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Agreement between the Company and Kenneth M. Jacobs, dated as of February 20, 2014, evidencing a grant of Performance-Based Stock</w:t>
              </w:r>
            </w:hyperlink>
          </w:p>
        </w:tc>
      </w:tr>
      <w:tr>
        <w:trPr>
          <w:trHeight w:val="196"/>
        </w:trPr>
        <w:tc>
          <w:tcPr>
            <w:tcW w:w="10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Units under the 2008 Incentive Compensation Plan (incorporated by reference to Exhibit 10.56 to the Registrant’s Quarterly Report</w:t>
              </w:r>
            </w:hyperlink>
          </w:p>
        </w:tc>
        <w:tc>
          <w:tcPr>
            <w:tcW w:w="420" w:type="dxa"/>
            <w:vAlign w:val="bottom"/>
            <w:tcBorders>
              <w:top w:val="single" w:sz="8" w:color="0000EE"/>
            </w:tcBorders>
            <w:gridSpan w:val="4"/>
          </w:tcPr>
          <w:p>
            <w:pPr>
              <w:spacing w:after="0"/>
              <w:rPr>
                <w:sz w:val="17"/>
                <w:szCs w:val="17"/>
                <w:color w:val="auto"/>
              </w:rPr>
            </w:pPr>
          </w:p>
        </w:tc>
        <w:tc>
          <w:tcPr>
            <w:tcW w:w="44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(File No. 001-32492) on Form 10-Q filed on May 6, 2014).</w:t>
              </w:r>
            </w:hyperlink>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3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Computation of Ratio of Earnings to Fixed Charges.</w:t>
              </w:r>
            </w:hyperlink>
          </w:p>
        </w:tc>
        <w:tc>
          <w:tcPr>
            <w:tcW w:w="500" w:type="dxa"/>
            <w:vAlign w:val="bottom"/>
            <w:tcBorders>
              <w:top w:val="single" w:sz="8" w:color="0000EE"/>
            </w:tcBorders>
            <w:gridSpan w:val="3"/>
          </w:tcPr>
          <w:p>
            <w:pPr>
              <w:spacing w:after="0"/>
              <w:rPr>
                <w:sz w:val="24"/>
                <w:szCs w:val="24"/>
                <w:color w:val="auto"/>
              </w:rPr>
            </w:pPr>
          </w:p>
        </w:tc>
        <w:tc>
          <w:tcPr>
            <w:tcW w:w="6120" w:type="dxa"/>
            <w:vAlign w:val="bottom"/>
            <w:gridSpan w:val="26"/>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Rule 13a-14(a) Certification of Kenneth M. Jacobs.</w:t>
              </w:r>
            </w:hyperlink>
          </w:p>
        </w:tc>
        <w:tc>
          <w:tcPr>
            <w:tcW w:w="6680" w:type="dxa"/>
            <w:vAlign w:val="bottom"/>
            <w:gridSpan w:val="30"/>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400" w:type="dxa"/>
            <w:vAlign w:val="bottom"/>
            <w:gridSpan w:val="36"/>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60" w:type="dxa"/>
            <w:vAlign w:val="bottom"/>
            <w:gridSpan w:val="31"/>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Section 1350 Certification for Kenneth M. Jacobs.</w:t>
              </w:r>
            </w:hyperlink>
          </w:p>
        </w:tc>
        <w:tc>
          <w:tcPr>
            <w:tcW w:w="6760" w:type="dxa"/>
            <w:vAlign w:val="bottom"/>
            <w:gridSpan w:val="31"/>
          </w:tcPr>
          <w:p>
            <w:pPr>
              <w:spacing w:after="0"/>
              <w:rPr>
                <w:sz w:val="24"/>
                <w:szCs w:val="24"/>
                <w:color w:val="auto"/>
              </w:rPr>
            </w:pPr>
          </w:p>
        </w:tc>
      </w:tr>
      <w:tr>
        <w:trPr>
          <w:trHeight w:val="534"/>
        </w:trPr>
        <w:tc>
          <w:tcPr>
            <w:tcW w:w="1040" w:type="dxa"/>
            <w:vAlign w:val="bottom"/>
          </w:tcPr>
          <w:p>
            <w:pPr>
              <w:spacing w:after="0"/>
              <w:rPr>
                <w:sz w:val="24"/>
                <w:szCs w:val="24"/>
                <w:color w:val="auto"/>
              </w:rPr>
            </w:pPr>
          </w:p>
        </w:tc>
        <w:tc>
          <w:tcPr>
            <w:tcW w:w="6440" w:type="dxa"/>
            <w:vAlign w:val="bottom"/>
            <w:gridSpan w:val="12"/>
          </w:tcPr>
          <w:p>
            <w:pPr>
              <w:ind w:left="458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5"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3700" w:type="dxa"/>
            <w:vAlign w:val="bottom"/>
            <w:gridSpan w:val="2"/>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3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2017</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Evan L. Russo</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Evan L. Russo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Dominick Ragone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333"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30, 2017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Scott D. Hoffman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Lazard Frères &amp; Co. LLC</w:t>
      </w:r>
    </w:p>
    <w:p>
      <w:pPr>
        <w:spacing w:after="0" w:line="230" w:lineRule="auto"/>
        <w:rPr>
          <w:sz w:val="20"/>
          <w:szCs w:val="20"/>
          <w:color w:val="auto"/>
        </w:rPr>
      </w:pPr>
      <w:r>
        <w:rPr>
          <w:rFonts w:ascii="Times New Roman" w:cs="Times New Roman" w:eastAsia="Times New Roman" w:hAnsi="Times New Roman"/>
          <w:sz w:val="22"/>
          <w:szCs w:val="22"/>
          <w:color w:val="auto"/>
        </w:rPr>
        <w:t>30 Rockefeller Plaza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182" w:lineRule="exact"/>
        <w:rPr>
          <w:sz w:val="20"/>
          <w:szCs w:val="20"/>
          <w:color w:val="auto"/>
        </w:rPr>
      </w:pPr>
    </w:p>
    <w:p>
      <w:pPr>
        <w:ind w:right="3640"/>
        <w:spacing w:after="0" w:line="384" w:lineRule="auto"/>
        <w:rPr>
          <w:sz w:val="20"/>
          <w:szCs w:val="20"/>
          <w:color w:val="auto"/>
        </w:rPr>
      </w:pPr>
      <w:r>
        <w:rPr>
          <w:rFonts w:ascii="Times New Roman" w:cs="Times New Roman" w:eastAsia="Times New Roman" w:hAnsi="Times New Roman"/>
          <w:sz w:val="22"/>
          <w:szCs w:val="22"/>
          <w:color w:val="auto"/>
        </w:rPr>
        <w:t>Re: Amendment to Retention Agreement to Reflect Chief Administrative Officer Position Dear Mr. Hoffman:</w:t>
      </w:r>
    </w:p>
    <w:p>
      <w:pPr>
        <w:spacing w:after="0" w:line="1"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color w:val="auto"/>
        </w:rPr>
        <w:t>In connection with your appointment as Chief Administrative Officer of Lazard Ltd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and Lazard Group LLC (“</w:t>
      </w:r>
      <w:r>
        <w:rPr>
          <w:rFonts w:ascii="Times New Roman" w:cs="Times New Roman" w:eastAsia="Times New Roman" w:hAnsi="Times New Roman"/>
          <w:sz w:val="22"/>
          <w:szCs w:val="22"/>
          <w:u w:val="single" w:color="auto"/>
          <w:color w:val="auto"/>
        </w:rPr>
        <w:t>Lazard Group</w:t>
      </w:r>
      <w:r>
        <w:rPr>
          <w:rFonts w:ascii="Times New Roman" w:cs="Times New Roman" w:eastAsia="Times New Roman" w:hAnsi="Times New Roman"/>
          <w:sz w:val="22"/>
          <w:szCs w:val="22"/>
          <w:color w:val="auto"/>
        </w:rPr>
        <w:t>”), effective July 26, 2017, Lazard, Lazard Group and you desire to amend the Amended and Restated Agreement Relating to Retention and Noncompetition and Other Covenants, dated as of March 9, 2016, by and among Lazard, Lazard Group and you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to reflect such new position. Accordingly, Lazard, Lazard Group and you hereby agree that, effective as of the date hereof, clause (i) of Section 3(b) of the Retention Agreement shall be amended to read as follows: “(i) serve as the General Counsel of Lazard and Lazard Group and as the Chief Administrative Officer of Lazard and Lazard Group, with such authority, duties and responsibilities as are consistent with the authority, duties and responsibilities exercised by the Executive on October 30, 2017,”.</w:t>
      </w:r>
    </w:p>
    <w:p>
      <w:pPr>
        <w:spacing w:after="0" w:line="179" w:lineRule="exact"/>
        <w:rPr>
          <w:sz w:val="20"/>
          <w:szCs w:val="20"/>
          <w:color w:val="auto"/>
        </w:rPr>
      </w:pPr>
    </w:p>
    <w:p>
      <w:pPr>
        <w:ind w:right="620" w:firstLine="877"/>
        <w:spacing w:after="0" w:line="258" w:lineRule="auto"/>
        <w:rPr>
          <w:sz w:val="20"/>
          <w:szCs w:val="20"/>
          <w:color w:val="auto"/>
        </w:rPr>
      </w:pPr>
      <w:r>
        <w:rPr>
          <w:rFonts w:ascii="Times New Roman" w:cs="Times New Roman" w:eastAsia="Times New Roman" w:hAnsi="Times New Roman"/>
          <w:sz w:val="22"/>
          <w:szCs w:val="22"/>
          <w:color w:val="auto"/>
        </w:rPr>
        <w:t>Except as specifically set forth herein, this letter amendment shall not, by implication or otherwise, alter, amend or modify in any way any terms of the Retention Agreement, all of which shall continue in full force and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3" w:name="page74"/>
    <w:bookmarkEnd w:id="73"/>
    <w:p>
      <w:pPr>
        <w:ind w:left="57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5720" w:type="dxa"/>
        <w:tblCellMar>
          <w:top w:w="0" w:type="dxa"/>
          <w:left w:w="0" w:type="dxa"/>
          <w:bottom w:w="0" w:type="dxa"/>
          <w:right w:w="0" w:type="dxa"/>
        </w:tblCellMar>
      </w:tblPr>
      <w:tr>
        <w:trPr>
          <w:trHeight w:val="271"/>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M. Jacobs</w:t>
            </w:r>
          </w:p>
        </w:tc>
      </w:tr>
      <w:tr>
        <w:trPr>
          <w:trHeight w:val="209"/>
        </w:trPr>
        <w:tc>
          <w:tcPr>
            <w:tcW w:w="9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Kenneth M. Jacobs</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Chairman and Chief Executive Officer</w:t>
            </w:r>
          </w:p>
        </w:tc>
      </w:tr>
      <w:tr>
        <w:trPr>
          <w:trHeight w:val="459"/>
        </w:trPr>
        <w:tc>
          <w:tcPr>
            <w:tcW w:w="5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LAZARD GROUP LLC,</w:t>
            </w:r>
          </w:p>
        </w:tc>
      </w:tr>
      <w:tr>
        <w:trPr>
          <w:trHeight w:val="447"/>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M. Jacobs</w:t>
            </w:r>
          </w:p>
        </w:tc>
      </w:tr>
      <w:tr>
        <w:trPr>
          <w:trHeight w:val="209"/>
        </w:trPr>
        <w:tc>
          <w:tcPr>
            <w:tcW w:w="9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Kenneth M. Jacobs</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Pr>
          <w:p>
            <w:pPr>
              <w:spacing w:after="0"/>
              <w:rPr>
                <w:sz w:val="20"/>
                <w:szCs w:val="20"/>
                <w:color w:val="auto"/>
              </w:rPr>
            </w:pPr>
            <w:r>
              <w:rPr>
                <w:rFonts w:ascii="Times New Roman" w:cs="Times New Roman" w:eastAsia="Times New Roman" w:hAnsi="Times New Roman"/>
                <w:sz w:val="22"/>
                <w:szCs w:val="22"/>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11430</wp:posOffset>
            </wp:positionV>
            <wp:extent cx="3181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Scott D. Hoffman</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Date: October 30, 2017</w:t>
      </w:r>
    </w:p>
    <w:p>
      <w:pPr>
        <w:sectPr>
          <w:pgSz w:w="11900" w:h="16838" w:orient="portrait"/>
          <w:cols w:equalWidth="0" w:num="1">
            <w:col w:w="11420"/>
          </w:cols>
          <w:pgMar w:left="240" w:top="544"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AGREEMENT RELATING TO RETENTION AND</w:t>
      </w:r>
    </w:p>
    <w:p>
      <w:pPr>
        <w:spacing w:after="0" w:line="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ind w:right="220" w:firstLine="877"/>
        <w:spacing w:after="0" w:line="239" w:lineRule="auto"/>
        <w:rPr>
          <w:sz w:val="20"/>
          <w:szCs w:val="20"/>
          <w:color w:val="auto"/>
        </w:rPr>
      </w:pPr>
      <w:r>
        <w:rPr>
          <w:rFonts w:ascii="Times New Roman" w:cs="Times New Roman" w:eastAsia="Times New Roman" w:hAnsi="Times New Roman"/>
          <w:sz w:val="22"/>
          <w:szCs w:val="22"/>
          <w:color w:val="auto"/>
        </w:rPr>
        <w:t>AGREEMENT, dated as of October 30, 2017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 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Evan L. Russo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WHEREAS, as of the date hereof, the Executive is the Chief Financial Officer of Lazard and Lazard Group.</w:t>
      </w:r>
    </w:p>
    <w:p>
      <w:pPr>
        <w:spacing w:after="0" w:line="206" w:lineRule="exact"/>
        <w:rPr>
          <w:sz w:val="20"/>
          <w:szCs w:val="20"/>
          <w:color w:val="auto"/>
        </w:rPr>
      </w:pPr>
    </w:p>
    <w:p>
      <w:pPr>
        <w:ind w:right="240" w:firstLine="877"/>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40" w:firstLine="885"/>
        <w:spacing w:after="0" w:line="233" w:lineRule="auto"/>
        <w:tabs>
          <w:tab w:leader="none" w:pos="168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78" w:lineRule="exact"/>
        <w:rPr>
          <w:rFonts w:ascii="Times New Roman" w:cs="Times New Roman" w:eastAsia="Times New Roman" w:hAnsi="Times New Roman"/>
          <w:sz w:val="22"/>
          <w:szCs w:val="22"/>
          <w:color w:val="auto"/>
        </w:rPr>
      </w:pPr>
    </w:p>
    <w:p>
      <w:pPr>
        <w:ind w:left="1700" w:hanging="815"/>
        <w:spacing w:after="0"/>
        <w:tabs>
          <w:tab w:leader="none" w:pos="17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right="180" w:firstLine="885"/>
        <w:spacing w:after="0" w:line="258" w:lineRule="auto"/>
        <w:tabs>
          <w:tab w:leader="none" w:pos="168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right="340" w:firstLine="885"/>
        <w:spacing w:after="0" w:line="262" w:lineRule="auto"/>
        <w:tabs>
          <w:tab w:leader="none" w:pos="177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Responsibilities; Code of Conduct</w:t>
      </w:r>
      <w:r>
        <w:rPr>
          <w:rFonts w:ascii="Times New Roman" w:cs="Times New Roman" w:eastAsia="Times New Roman" w:hAnsi="Times New Roman"/>
          <w:sz w:val="21"/>
          <w:szCs w:val="21"/>
          <w:color w:val="auto"/>
        </w:rPr>
        <w:t>. During the Term until the Specified Expiration Date, the Executive shall continue to (i) serve as the Chief Financial Officer of Lazard and Lazard Group, with such authority, duties and responsibilities as are consistent with the authority, duties and responsibilities exercised by the Executive on the date hereof,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5" w:name="page76"/>
    <w:bookmarkEnd w:id="75"/>
    <w:p>
      <w:pPr>
        <w:spacing w:after="0" w:line="235" w:lineRule="auto"/>
        <w:rPr>
          <w:sz w:val="20"/>
          <w:szCs w:val="20"/>
          <w:color w:val="auto"/>
        </w:rPr>
      </w:pPr>
      <w:r>
        <w:rPr>
          <w:rFonts w:ascii="Times New Roman" w:cs="Times New Roman" w:eastAsia="Times New Roman" w:hAnsi="Times New Roman"/>
          <w:sz w:val="22"/>
          <w:szCs w:val="22"/>
          <w:color w:val="auto"/>
        </w:rPr>
        <w:t>report directly to the Firm’s Chief Executive Officer and the Audit Committee of the Board of Directors of Lazard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79" w:lineRule="exact"/>
        <w:rPr>
          <w:sz w:val="20"/>
          <w:szCs w:val="20"/>
          <w:color w:val="auto"/>
        </w:rPr>
      </w:pPr>
    </w:p>
    <w:p>
      <w:pPr>
        <w:ind w:left="1780" w:hanging="895"/>
        <w:spacing w:after="0"/>
        <w:tabs>
          <w:tab w:leader="none" w:pos="17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885"/>
        <w:spacing w:after="0" w:line="234" w:lineRule="auto"/>
        <w:tabs>
          <w:tab w:leader="none" w:pos="173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commencing on October 1, 2017 and ending on the Specified Expiration Date, subject to the Executive’s continued employment hereunder, the Executive shall be entitled to receive an annual base salary of not less than $750,000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4" w:lineRule="exact"/>
        <w:rPr>
          <w:rFonts w:ascii="Times New Roman" w:cs="Times New Roman" w:eastAsia="Times New Roman" w:hAnsi="Times New Roman"/>
          <w:sz w:val="22"/>
          <w:szCs w:val="22"/>
          <w:color w:val="auto"/>
        </w:rPr>
      </w:pPr>
    </w:p>
    <w:p>
      <w:pPr>
        <w:ind w:right="40" w:firstLine="885"/>
        <w:spacing w:after="0" w:line="234" w:lineRule="auto"/>
        <w:tabs>
          <w:tab w:leader="none" w:pos="179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portion of any such annual bonus may be satisfied in the form of equity compensation or deferred awards which may be subject to vesting conditions or restrictive covenants.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80" w:lineRule="exact"/>
        <w:rPr>
          <w:rFonts w:ascii="Times New Roman" w:cs="Times New Roman" w:eastAsia="Times New Roman" w:hAnsi="Times New Roman"/>
          <w:sz w:val="22"/>
          <w:szCs w:val="22"/>
          <w:color w:val="auto"/>
        </w:rPr>
      </w:pPr>
    </w:p>
    <w:p>
      <w:pPr>
        <w:ind w:right="320" w:firstLine="885"/>
        <w:spacing w:after="0" w:line="244" w:lineRule="auto"/>
        <w:tabs>
          <w:tab w:leader="none" w:pos="185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76" w:name="page77"/>
    <w:bookmarkEnd w:id="76"/>
    <w:p>
      <w:pPr>
        <w:ind w:left="-20" w:firstLine="885"/>
        <w:spacing w:after="0" w:line="236" w:lineRule="auto"/>
        <w:tabs>
          <w:tab w:leader="none" w:pos="18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82" w:lineRule="exact"/>
        <w:rPr>
          <w:sz w:val="20"/>
          <w:szCs w:val="20"/>
          <w:color w:val="auto"/>
        </w:rPr>
      </w:pPr>
    </w:p>
    <w:p>
      <w:pPr>
        <w:ind w:left="-20" w:right="60" w:firstLine="885"/>
        <w:spacing w:after="0" w:line="236" w:lineRule="auto"/>
        <w:tabs>
          <w:tab w:leader="none" w:pos="175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82" w:lineRule="exact"/>
        <w:rPr>
          <w:sz w:val="20"/>
          <w:szCs w:val="20"/>
          <w:color w:val="auto"/>
        </w:rPr>
      </w:pPr>
    </w:p>
    <w:p>
      <w:pPr>
        <w:ind w:left="-20" w:right="20" w:firstLine="885"/>
        <w:spacing w:after="0" w:line="232" w:lineRule="auto"/>
        <w:tabs>
          <w:tab w:leader="none" w:pos="177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2"/>
          <w:szCs w:val="22"/>
          <w:u w:val="single" w:color="auto"/>
          <w:color w:val="auto"/>
        </w:rPr>
        <w:t>Average Bonus</w:t>
      </w:r>
      <w:r>
        <w:rPr>
          <w:rFonts w:ascii="Times New Roman" w:cs="Times New Roman" w:eastAsia="Times New Roman" w:hAnsi="Times New Roman"/>
          <w:sz w:val="22"/>
          <w:szCs w:val="22"/>
          <w:color w:val="auto"/>
        </w:rPr>
        <w:t>”). In addition, upon a Qualifying Termination, for 24 months (the “</w:t>
      </w:r>
      <w:r>
        <w:rPr>
          <w:rFonts w:ascii="Times New Roman" w:cs="Times New Roman" w:eastAsia="Times New Roman" w:hAnsi="Times New Roman"/>
          <w:sz w:val="22"/>
          <w:szCs w:val="22"/>
          <w:u w:val="single" w:color="auto"/>
          <w:color w:val="auto"/>
        </w:rPr>
        <w:t>Benefit Continuation Period</w:t>
      </w:r>
      <w:r>
        <w:rPr>
          <w:rFonts w:ascii="Times New Roman" w:cs="Times New Roman" w:eastAsia="Times New Roman" w:hAnsi="Times New Roman"/>
          <w:sz w:val="22"/>
          <w:szCs w:val="22"/>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77" w:name="page78"/>
    <w:bookmarkEnd w:id="77"/>
    <w:p>
      <w:pPr>
        <w:spacing w:after="0" w:line="236" w:lineRule="auto"/>
        <w:rPr>
          <w:sz w:val="20"/>
          <w:szCs w:val="20"/>
          <w:color w:val="auto"/>
        </w:rPr>
      </w:pPr>
      <w:r>
        <w:rPr>
          <w:rFonts w:ascii="Times New Roman" w:cs="Times New Roman" w:eastAsia="Times New Roman" w:hAnsi="Times New Roman"/>
          <w:sz w:val="22"/>
          <w:szCs w:val="22"/>
          <w:color w:val="auto"/>
        </w:rPr>
        <w:t>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82" w:lineRule="exact"/>
        <w:rPr>
          <w:sz w:val="20"/>
          <w:szCs w:val="20"/>
          <w:color w:val="auto"/>
        </w:rPr>
      </w:pPr>
    </w:p>
    <w:p>
      <w:pPr>
        <w:ind w:left="880" w:right="20" w:firstLine="816"/>
        <w:spacing w:after="0" w:line="244" w:lineRule="auto"/>
        <w:tabs>
          <w:tab w:leader="none" w:pos="246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1"/>
          <w:szCs w:val="21"/>
          <w:u w:val="single" w:color="auto"/>
          <w:color w:val="auto"/>
        </w:rPr>
        <w:t>Pro-Ration Fraction</w:t>
      </w:r>
      <w:r>
        <w:rPr>
          <w:rFonts w:ascii="Times New Roman" w:cs="Times New Roman" w:eastAsia="Times New Roman" w:hAnsi="Times New Roman"/>
          <w:sz w:val="21"/>
          <w:szCs w:val="21"/>
          <w:color w:val="auto"/>
        </w:rPr>
        <w:t>”); or</w:t>
      </w:r>
    </w:p>
    <w:p>
      <w:pPr>
        <w:spacing w:after="0" w:line="177" w:lineRule="exact"/>
        <w:rPr>
          <w:sz w:val="20"/>
          <w:szCs w:val="20"/>
          <w:color w:val="auto"/>
        </w:rPr>
      </w:pPr>
    </w:p>
    <w:p>
      <w:pPr>
        <w:ind w:left="880" w:right="160" w:firstLine="816"/>
        <w:spacing w:after="0" w:line="245" w:lineRule="auto"/>
        <w:tabs>
          <w:tab w:leader="none" w:pos="2536"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w:t>
      </w:r>
    </w:p>
    <w:p>
      <w:pPr>
        <w:spacing w:after="0" w:line="3" w:lineRule="exact"/>
        <w:rPr>
          <w:rFonts w:ascii="Times New Roman" w:cs="Times New Roman" w:eastAsia="Times New Roman" w:hAnsi="Times New Roman"/>
          <w:sz w:val="21"/>
          <w:szCs w:val="21"/>
          <w:color w:val="auto"/>
        </w:rPr>
      </w:pPr>
    </w:p>
    <w:p>
      <w:pPr>
        <w:ind w:left="1200" w:hanging="315"/>
        <w:spacing w:after="0"/>
        <w:tabs>
          <w:tab w:leader="none" w:pos="12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Pro-Ration Fraction.</w:t>
      </w:r>
    </w:p>
    <w:p>
      <w:pPr>
        <w:spacing w:after="0" w:line="182" w:lineRule="exact"/>
        <w:rPr>
          <w:sz w:val="20"/>
          <w:szCs w:val="20"/>
          <w:color w:val="auto"/>
        </w:rPr>
      </w:pPr>
    </w:p>
    <w:p>
      <w:pPr>
        <w:ind w:right="220" w:firstLine="877"/>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8" w:name="page79"/>
    <w:bookmarkEnd w:id="78"/>
    <w:p>
      <w:pPr>
        <w:ind w:right="20" w:firstLine="885"/>
        <w:spacing w:after="0" w:line="235" w:lineRule="auto"/>
        <w:tabs>
          <w:tab w:leader="none" w:pos="185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83" w:lineRule="exact"/>
        <w:rPr>
          <w:rFonts w:ascii="Times New Roman" w:cs="Times New Roman" w:eastAsia="Times New Roman" w:hAnsi="Times New Roman"/>
          <w:sz w:val="22"/>
          <w:szCs w:val="22"/>
          <w:color w:val="auto"/>
        </w:rPr>
      </w:pPr>
    </w:p>
    <w:p>
      <w:pPr>
        <w:ind w:right="240" w:firstLine="885"/>
        <w:spacing w:after="0" w:line="236" w:lineRule="auto"/>
        <w:tabs>
          <w:tab w:leader="none" w:pos="183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right="40" w:firstLine="885"/>
        <w:spacing w:after="0" w:line="236" w:lineRule="auto"/>
        <w:tabs>
          <w:tab w:leader="none" w:pos="177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2" w:lineRule="exact"/>
        <w:rPr>
          <w:sz w:val="20"/>
          <w:szCs w:val="20"/>
          <w:color w:val="auto"/>
        </w:rPr>
      </w:pPr>
    </w:p>
    <w:p>
      <w:pPr>
        <w:ind w:right="820" w:firstLine="885"/>
        <w:spacing w:after="0" w:line="258" w:lineRule="auto"/>
        <w:tabs>
          <w:tab w:leader="none" w:pos="176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 meanings:</w:t>
      </w:r>
    </w:p>
    <w:p>
      <w:pPr>
        <w:spacing w:after="0" w:line="158"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or the Audit Committee of the Board of Directors of Lazard,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9" w:name="page80"/>
    <w:bookmarkEnd w:id="79"/>
    <w:p>
      <w:pPr>
        <w:ind w:right="40"/>
        <w:spacing w:after="0" w:line="234" w:lineRule="auto"/>
        <w:rPr>
          <w:sz w:val="20"/>
          <w:szCs w:val="20"/>
          <w:color w:val="auto"/>
        </w:rPr>
      </w:pPr>
      <w:r>
        <w:rPr>
          <w:rFonts w:ascii="Times New Roman" w:cs="Times New Roman" w:eastAsia="Times New Roman" w:hAnsi="Times New Roman"/>
          <w:sz w:val="22"/>
          <w:szCs w:val="22"/>
          <w:color w:val="auto"/>
        </w:rPr>
        <w:t>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the Audit Committee of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2"/>
          <w:szCs w:val="22"/>
          <w:u w:val="single" w:color="auto"/>
          <w:color w:val="auto"/>
        </w:rPr>
        <w:t>Applicable Board</w:t>
      </w:r>
      <w:r>
        <w:rPr>
          <w:rFonts w:ascii="Times New Roman" w:cs="Times New Roman" w:eastAsia="Times New Roman" w:hAnsi="Times New Roman"/>
          <w:sz w:val="22"/>
          <w:szCs w:val="22"/>
          <w:color w:val="auto"/>
        </w:rPr>
        <w:t>”) finding that, in the good faith opinion of the Applicable Board, circumstances constituting Cause exist.</w:t>
      </w:r>
    </w:p>
    <w:p>
      <w:pPr>
        <w:spacing w:after="0" w:line="180" w:lineRule="exact"/>
        <w:rPr>
          <w:sz w:val="20"/>
          <w:szCs w:val="20"/>
          <w:color w:val="auto"/>
        </w:rPr>
      </w:pPr>
    </w:p>
    <w:p>
      <w:pPr>
        <w:ind w:firstLine="87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80" w:name="page81"/>
    <w:bookmarkEnd w:id="80"/>
    <w:p>
      <w:pPr>
        <w:ind w:firstLine="87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w:t>
      </w:r>
    </w:p>
    <w:p>
      <w:pPr>
        <w:spacing w:after="0" w:line="1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79" w:lineRule="exact"/>
        <w:rPr>
          <w:sz w:val="20"/>
          <w:szCs w:val="20"/>
          <w:color w:val="auto"/>
        </w:rPr>
      </w:pPr>
    </w:p>
    <w:p>
      <w:pPr>
        <w:ind w:right="20" w:firstLine="885"/>
        <w:spacing w:after="0" w:line="232" w:lineRule="auto"/>
        <w:tabs>
          <w:tab w:leader="none" w:pos="174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Limitations on Payments</w:t>
      </w:r>
      <w:r>
        <w:rPr>
          <w:rFonts w:ascii="Times New Roman" w:cs="Times New Roman" w:eastAsia="Times New Roman" w:hAnsi="Times New Roman"/>
          <w:sz w:val="22"/>
          <w:szCs w:val="22"/>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1" w:name="page82"/>
    <w:bookmarkEnd w:id="81"/>
    <w:p>
      <w:pPr>
        <w:spacing w:after="0" w:line="235" w:lineRule="auto"/>
        <w:rPr>
          <w:sz w:val="20"/>
          <w:szCs w:val="20"/>
          <w:color w:val="auto"/>
        </w:rPr>
      </w:pPr>
      <w:r>
        <w:rPr>
          <w:rFonts w:ascii="Times New Roman" w:cs="Times New Roman" w:eastAsia="Times New Roman" w:hAnsi="Times New Roman"/>
          <w:sz w:val="22"/>
          <w:szCs w:val="22"/>
          <w:color w:val="auto"/>
        </w:rPr>
        <w:t>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Times New Roman" w:cs="Times New Roman" w:eastAsia="Times New Roman" w:hAnsi="Times New Roman"/>
          <w:sz w:val="22"/>
          <w:szCs w:val="22"/>
          <w:u w:val="single" w:color="auto"/>
          <w:color w:val="auto"/>
        </w:rPr>
        <w:t>Agreement Payments</w:t>
      </w:r>
      <w:r>
        <w:rPr>
          <w:rFonts w:ascii="Times New Roman" w:cs="Times New Roman" w:eastAsia="Times New Roman" w:hAnsi="Times New Roman"/>
          <w:sz w:val="22"/>
          <w:szCs w:val="22"/>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84" w:lineRule="exact"/>
        <w:rPr>
          <w:sz w:val="20"/>
          <w:szCs w:val="20"/>
          <w:color w:val="auto"/>
        </w:rPr>
      </w:pPr>
    </w:p>
    <w:p>
      <w:pPr>
        <w:ind w:right="20" w:firstLine="877"/>
        <w:spacing w:after="0" w:line="234" w:lineRule="auto"/>
        <w:rPr>
          <w:sz w:val="20"/>
          <w:szCs w:val="20"/>
          <w:color w:val="auto"/>
        </w:rPr>
      </w:pPr>
      <w:r>
        <w:rPr>
          <w:rFonts w:ascii="Times New Roman" w:cs="Times New Roman" w:eastAsia="Times New Roman" w:hAnsi="Times New Roman"/>
          <w:sz w:val="22"/>
          <w:szCs w:val="22"/>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77" w:lineRule="exact"/>
        <w:rPr>
          <w:sz w:val="20"/>
          <w:szCs w:val="20"/>
          <w:color w:val="auto"/>
        </w:rPr>
      </w:pPr>
    </w:p>
    <w:p>
      <w:pPr>
        <w:ind w:firstLine="885"/>
        <w:spacing w:after="0" w:line="233" w:lineRule="auto"/>
        <w:tabs>
          <w:tab w:leader="none" w:pos="177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82" w:name="page83"/>
    <w:bookmarkEnd w:id="82"/>
    <w:p>
      <w:pPr>
        <w:spacing w:after="0" w:line="232" w:lineRule="auto"/>
        <w:rPr>
          <w:sz w:val="20"/>
          <w:szCs w:val="20"/>
          <w:color w:val="auto"/>
        </w:rPr>
      </w:pPr>
      <w:r>
        <w:rPr>
          <w:rFonts w:ascii="Times New Roman" w:cs="Times New Roman" w:eastAsia="Times New Roman" w:hAnsi="Times New Roman"/>
          <w:sz w:val="22"/>
          <w:szCs w:val="22"/>
          <w:color w:val="auto"/>
        </w:rPr>
        <w:t>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87" w:lineRule="exact"/>
        <w:rPr>
          <w:sz w:val="20"/>
          <w:szCs w:val="20"/>
          <w:color w:val="auto"/>
        </w:rPr>
      </w:pPr>
    </w:p>
    <w:p>
      <w:pPr>
        <w:ind w:firstLine="885"/>
        <w:spacing w:after="0" w:line="244" w:lineRule="auto"/>
        <w:tabs>
          <w:tab w:leader="none" w:pos="168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83" w:name="page84"/>
    <w:bookmarkEnd w:id="83"/>
    <w:p>
      <w:pPr>
        <w:ind w:right="60"/>
        <w:spacing w:after="0" w:line="247" w:lineRule="auto"/>
        <w:rPr>
          <w:sz w:val="20"/>
          <w:szCs w:val="20"/>
          <w:color w:val="auto"/>
        </w:rPr>
      </w:pPr>
      <w:r>
        <w:rPr>
          <w:rFonts w:ascii="Times New Roman" w:cs="Times New Roman" w:eastAsia="Times New Roman" w:hAnsi="Times New Roman"/>
          <w:sz w:val="21"/>
          <w:szCs w:val="21"/>
          <w:color w:val="auto"/>
        </w:rPr>
        <w:t>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73" w:lineRule="exact"/>
        <w:rPr>
          <w:sz w:val="20"/>
          <w:szCs w:val="20"/>
          <w:color w:val="auto"/>
        </w:rPr>
      </w:pPr>
    </w:p>
    <w:p>
      <w:pPr>
        <w:ind w:right="40" w:firstLine="885"/>
        <w:spacing w:after="0" w:line="244" w:lineRule="auto"/>
        <w:tabs>
          <w:tab w:leader="none" w:pos="1688"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2" w:lineRule="exact"/>
        <w:rPr>
          <w:rFonts w:ascii="Times New Roman" w:cs="Times New Roman" w:eastAsia="Times New Roman" w:hAnsi="Times New Roman"/>
          <w:sz w:val="21"/>
          <w:szCs w:val="21"/>
          <w:color w:val="auto"/>
        </w:rPr>
      </w:pPr>
    </w:p>
    <w:p>
      <w:pPr>
        <w:ind w:left="320" w:hanging="312"/>
        <w:spacing w:after="0" w:line="230" w:lineRule="auto"/>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months after the Date of Termination by the Firm without Cause or by the Executive for Good Reason (such period, the</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Noncompete Restriction Period</w:t>
      </w:r>
      <w:r>
        <w:rPr>
          <w:rFonts w:ascii="Times New Roman" w:cs="Times New Roman" w:eastAsia="Times New Roman" w:hAnsi="Times New Roman"/>
          <w:sz w:val="21"/>
          <w:szCs w:val="21"/>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Times New Roman" w:cs="Times New Roman" w:eastAsia="Times New Roman" w:hAnsi="Times New Roman"/>
          <w:sz w:val="21"/>
          <w:szCs w:val="21"/>
          <w:u w:val="single" w:color="auto"/>
          <w:color w:val="auto"/>
        </w:rPr>
        <w:t>Competing Activity</w:t>
      </w:r>
      <w:r>
        <w:rPr>
          <w:rFonts w:ascii="Times New Roman" w:cs="Times New Roman" w:eastAsia="Times New Roman" w:hAnsi="Times New Roman"/>
          <w:sz w:val="21"/>
          <w:szCs w:val="21"/>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Times New Roman" w:cs="Times New Roman" w:eastAsia="Times New Roman" w:hAnsi="Times New Roman"/>
          <w:sz w:val="21"/>
          <w:szCs w:val="21"/>
          <w:u w:val="single" w:color="auto"/>
          <w:color w:val="auto"/>
        </w:rPr>
        <w:t>Competitive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84" w:name="page85"/>
    <w:bookmarkEnd w:id="84"/>
    <w:p>
      <w:pPr>
        <w:ind w:left="-20" w:right="20" w:firstLine="885"/>
        <w:spacing w:after="0" w:line="239" w:lineRule="auto"/>
        <w:tabs>
          <w:tab w:leader="none" w:pos="175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left="-20" w:firstLine="885"/>
        <w:spacing w:after="0" w:line="245" w:lineRule="auto"/>
        <w:tabs>
          <w:tab w:leader="none" w:pos="166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78" w:lineRule="exact"/>
        <w:rPr>
          <w:rFonts w:ascii="Times New Roman" w:cs="Times New Roman" w:eastAsia="Times New Roman" w:hAnsi="Times New Roman"/>
          <w:sz w:val="21"/>
          <w:szCs w:val="21"/>
          <w:color w:val="auto"/>
        </w:rPr>
      </w:pPr>
    </w:p>
    <w:p>
      <w:pPr>
        <w:ind w:left="-20" w:firstLine="885"/>
        <w:spacing w:after="0" w:line="235" w:lineRule="auto"/>
        <w:tabs>
          <w:tab w:leader="none" w:pos="16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3" w:lineRule="exact"/>
        <w:rPr>
          <w:rFonts w:ascii="Times New Roman" w:cs="Times New Roman" w:eastAsia="Times New Roman" w:hAnsi="Times New Roman"/>
          <w:sz w:val="22"/>
          <w:szCs w:val="22"/>
          <w:color w:val="auto"/>
        </w:rPr>
      </w:pPr>
    </w:p>
    <w:p>
      <w:pPr>
        <w:ind w:left="-20" w:firstLine="885"/>
        <w:spacing w:after="0" w:line="234" w:lineRule="auto"/>
        <w:tabs>
          <w:tab w:leader="none" w:pos="166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85" w:name="page86"/>
    <w:bookmarkEnd w:id="85"/>
    <w:p>
      <w:pPr>
        <w:spacing w:after="0" w:line="233" w:lineRule="auto"/>
        <w:rPr>
          <w:sz w:val="20"/>
          <w:szCs w:val="20"/>
          <w:color w:val="auto"/>
        </w:rPr>
      </w:pPr>
      <w:r>
        <w:rPr>
          <w:rFonts w:ascii="Times New Roman" w:cs="Times New Roman" w:eastAsia="Times New Roman" w:hAnsi="Times New Roman"/>
          <w:sz w:val="22"/>
          <w:szCs w:val="22"/>
          <w:color w:val="auto"/>
        </w:rPr>
        <w:t>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86" w:lineRule="exact"/>
        <w:rPr>
          <w:sz w:val="20"/>
          <w:szCs w:val="20"/>
          <w:color w:val="auto"/>
        </w:rPr>
      </w:pPr>
    </w:p>
    <w:p>
      <w:pPr>
        <w:ind w:right="120" w:firstLine="885"/>
        <w:spacing w:after="0" w:line="238" w:lineRule="auto"/>
        <w:tabs>
          <w:tab w:leader="none" w:pos="16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right="80" w:firstLine="885"/>
        <w:spacing w:after="0" w:line="235" w:lineRule="auto"/>
        <w:tabs>
          <w:tab w:leader="none" w:pos="17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84" w:lineRule="exact"/>
        <w:rPr>
          <w:sz w:val="20"/>
          <w:szCs w:val="20"/>
          <w:color w:val="auto"/>
        </w:rPr>
      </w:pPr>
    </w:p>
    <w:p>
      <w:pPr>
        <w:ind w:firstLine="885"/>
        <w:spacing w:after="0" w:line="234" w:lineRule="auto"/>
        <w:tabs>
          <w:tab w:leader="none" w:pos="17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86" w:name="page87"/>
    <w:bookmarkEnd w:id="86"/>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74" w:lineRule="exact"/>
        <w:rPr>
          <w:sz w:val="20"/>
          <w:szCs w:val="20"/>
          <w:color w:val="auto"/>
        </w:rPr>
      </w:pPr>
    </w:p>
    <w:p>
      <w:pPr>
        <w:ind w:right="220" w:firstLine="885"/>
        <w:spacing w:after="0" w:line="242" w:lineRule="auto"/>
        <w:tabs>
          <w:tab w:leader="none" w:pos="1765"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w:t>
      </w:r>
    </w:p>
    <w:p>
      <w:pPr>
        <w:ind w:right="2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78" w:lineRule="exact"/>
        <w:rPr>
          <w:sz w:val="20"/>
          <w:szCs w:val="20"/>
          <w:color w:val="auto"/>
        </w:rPr>
      </w:pPr>
    </w:p>
    <w:p>
      <w:pPr>
        <w:ind w:firstLine="885"/>
        <w:spacing w:after="0" w:line="234" w:lineRule="auto"/>
        <w:tabs>
          <w:tab w:leader="none" w:pos="178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76" w:lineRule="exact"/>
        <w:rPr>
          <w:rFonts w:ascii="Times New Roman" w:cs="Times New Roman" w:eastAsia="Times New Roman" w:hAnsi="Times New Roman"/>
          <w:sz w:val="22"/>
          <w:szCs w:val="22"/>
          <w:color w:val="auto"/>
        </w:rPr>
      </w:pPr>
    </w:p>
    <w:p>
      <w:pPr>
        <w:ind w:right="120" w:firstLine="885"/>
        <w:spacing w:after="0" w:line="235" w:lineRule="auto"/>
        <w:tabs>
          <w:tab w:leader="none" w:pos="17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2"/>
          <w:szCs w:val="22"/>
          <w:u w:val="single" w:color="auto"/>
          <w:color w:val="auto"/>
        </w:rPr>
        <w:t>Employment Related Matters</w:t>
      </w:r>
      <w:r>
        <w:rPr>
          <w:rFonts w:ascii="Times New Roman" w:cs="Times New Roman" w:eastAsia="Times New Roman" w:hAnsi="Times New Roman"/>
          <w:sz w:val="22"/>
          <w:szCs w:val="22"/>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accordance with the commercial arbitration rules of the AAA. Prior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to a Change in Control, each party shall bear its own costs and expenses of any such arbitration. Following a Change in Control,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Lazard Group shall pay to the Executive, as incurred, all legal fees and expenses reasonably incurred by the Executive or with</w:t>
      </w:r>
    </w:p>
    <w:p>
      <w:pPr>
        <w:spacing w:after="0"/>
        <w:rPr>
          <w:sz w:val="20"/>
          <w:szCs w:val="20"/>
          <w:color w:val="auto"/>
        </w:rPr>
      </w:pPr>
      <w:r>
        <w:rPr>
          <w:rFonts w:ascii="Times New Roman" w:cs="Times New Roman" w:eastAsia="Times New Roman" w:hAnsi="Times New Roman"/>
          <w:sz w:val="21"/>
          <w:szCs w:val="21"/>
          <w:color w:val="auto"/>
        </w:rPr>
        <w:t>respect to the Executive during his lifetime or within ten years after his death in connection with any contest by Lazard Group, the</w:t>
      </w:r>
    </w:p>
    <w:p>
      <w:pPr>
        <w:spacing w:after="0" w:line="232" w:lineRule="auto"/>
        <w:rPr>
          <w:sz w:val="20"/>
          <w:szCs w:val="20"/>
          <w:color w:val="auto"/>
        </w:rPr>
      </w:pPr>
      <w:r>
        <w:rPr>
          <w:rFonts w:ascii="Times New Roman" w:cs="Times New Roman" w:eastAsia="Times New Roman" w:hAnsi="Times New Roman"/>
          <w:sz w:val="22"/>
          <w:szCs w:val="22"/>
          <w:color w:val="auto"/>
        </w:rPr>
        <w:t>Executive or others of the validity or enforceability of, or liability under, any provision of this Agreement or any guarantee of</w:t>
      </w:r>
    </w:p>
    <w:p>
      <w:pPr>
        <w:spacing w:after="0"/>
        <w:rPr>
          <w:sz w:val="20"/>
          <w:szCs w:val="20"/>
          <w:color w:val="auto"/>
        </w:rPr>
      </w:pPr>
      <w:r>
        <w:rPr>
          <w:rFonts w:ascii="Times New Roman" w:cs="Times New Roman" w:eastAsia="Times New Roman" w:hAnsi="Times New Roman"/>
          <w:sz w:val="21"/>
          <w:szCs w:val="21"/>
          <w:color w:val="auto"/>
        </w:rPr>
        <w:t>performance thereof (including any action to compel arbitration or enforce any arbitration award or as a result of any contest by the</w:t>
      </w:r>
    </w:p>
    <w:p>
      <w:pPr>
        <w:spacing w:after="0" w:line="232" w:lineRule="auto"/>
        <w:rPr>
          <w:sz w:val="20"/>
          <w:szCs w:val="20"/>
          <w:color w:val="auto"/>
        </w:rPr>
      </w:pPr>
      <w:r>
        <w:rPr>
          <w:rFonts w:ascii="Times New Roman" w:cs="Times New Roman" w:eastAsia="Times New Roman" w:hAnsi="Times New Roman"/>
          <w:sz w:val="22"/>
          <w:szCs w:val="22"/>
          <w:color w:val="auto"/>
        </w:rPr>
        <w:t>Executive about the amount of any payment pursuant to this Agreement, and whether or not any such contest is under this</w:t>
      </w:r>
    </w:p>
    <w:p>
      <w:pPr>
        <w:spacing w:after="0"/>
        <w:rPr>
          <w:sz w:val="20"/>
          <w:szCs w:val="20"/>
          <w:color w:val="auto"/>
        </w:rPr>
      </w:pPr>
      <w:r>
        <w:rPr>
          <w:rFonts w:ascii="Times New Roman" w:cs="Times New Roman" w:eastAsia="Times New Roman" w:hAnsi="Times New Roman"/>
          <w:sz w:val="21"/>
          <w:szCs w:val="21"/>
          <w:color w:val="auto"/>
        </w:rPr>
        <w:t>Section 12 or Section 13 of this Agreement or otherwise), plus Interest determined as of the date such legal fees and expenses were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shall promptly repay to Lazard Group all such amounts if the Executive fails to prevail on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least one material issue in dispute in any such contest.</w:t>
      </w:r>
    </w:p>
    <w:p>
      <w:pPr>
        <w:spacing w:after="0" w:line="182" w:lineRule="exact"/>
        <w:rPr>
          <w:sz w:val="20"/>
          <w:szCs w:val="20"/>
          <w:color w:val="auto"/>
        </w:rPr>
      </w:pPr>
    </w:p>
    <w:p>
      <w:pPr>
        <w:ind w:right="40" w:firstLine="885"/>
        <w:spacing w:after="0" w:line="234" w:lineRule="auto"/>
        <w:tabs>
          <w:tab w:leader="none" w:pos="17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84" w:lineRule="exact"/>
        <w:rPr>
          <w:rFonts w:ascii="Times New Roman" w:cs="Times New Roman" w:eastAsia="Times New Roman" w:hAnsi="Times New Roman"/>
          <w:sz w:val="22"/>
          <w:szCs w:val="22"/>
          <w:color w:val="auto"/>
        </w:rPr>
      </w:pPr>
    </w:p>
    <w:p>
      <w:pPr>
        <w:ind w:firstLine="885"/>
        <w:spacing w:after="0" w:line="234" w:lineRule="auto"/>
        <w:tabs>
          <w:tab w:leader="none" w:pos="17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0" w:lineRule="exact"/>
        <w:rPr>
          <w:sz w:val="20"/>
          <w:szCs w:val="20"/>
          <w:color w:val="auto"/>
        </w:rPr>
      </w:pPr>
    </w:p>
    <w:p>
      <w:pPr>
        <w:ind w:right="40" w:firstLine="885"/>
        <w:spacing w:after="0" w:line="238" w:lineRule="auto"/>
        <w:tabs>
          <w:tab w:leader="none" w:pos="177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88" w:name="page89"/>
    <w:bookmarkEnd w:id="88"/>
    <w:p>
      <w:pPr>
        <w:ind w:right="60"/>
        <w:spacing w:after="0" w:line="239" w:lineRule="auto"/>
        <w:rPr>
          <w:sz w:val="20"/>
          <w:szCs w:val="20"/>
          <w:color w:val="auto"/>
        </w:rPr>
      </w:pPr>
      <w:r>
        <w:rPr>
          <w:rFonts w:ascii="Times New Roman" w:cs="Times New Roman" w:eastAsia="Times New Roman" w:hAnsi="Times New Roman"/>
          <w:sz w:val="22"/>
          <w:szCs w:val="22"/>
          <w:color w:val="auto"/>
        </w:rPr>
        <w:t>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81" w:lineRule="exact"/>
        <w:rPr>
          <w:sz w:val="20"/>
          <w:szCs w:val="20"/>
          <w:color w:val="auto"/>
        </w:rPr>
      </w:pPr>
    </w:p>
    <w:p>
      <w:pPr>
        <w:ind w:firstLine="885"/>
        <w:spacing w:after="0" w:line="239" w:lineRule="auto"/>
        <w:tabs>
          <w:tab w:leader="none" w:pos="17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ind w:right="480" w:firstLine="885"/>
        <w:spacing w:after="0" w:line="258" w:lineRule="auto"/>
        <w:tabs>
          <w:tab w:leader="none" w:pos="17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w:t>
      </w:r>
    </w:p>
    <w:p>
      <w:pPr>
        <w:spacing w:after="0" w:line="158" w:lineRule="exact"/>
        <w:rPr>
          <w:sz w:val="20"/>
          <w:szCs w:val="20"/>
          <w:color w:val="auto"/>
        </w:rPr>
      </w:pPr>
    </w:p>
    <w:p>
      <w:pPr>
        <w:ind w:right="20" w:firstLine="885"/>
        <w:spacing w:after="0" w:line="244" w:lineRule="auto"/>
        <w:tabs>
          <w:tab w:leader="none" w:pos="17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right="100" w:firstLine="885"/>
        <w:spacing w:after="0" w:line="239" w:lineRule="auto"/>
        <w:tabs>
          <w:tab w:leader="none" w:pos="176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0" w:lineRule="exact"/>
        <w:rPr>
          <w:rFonts w:ascii="Times New Roman" w:cs="Times New Roman" w:eastAsia="Times New Roman" w:hAnsi="Times New Roman"/>
          <w:sz w:val="22"/>
          <w:szCs w:val="22"/>
          <w:color w:val="auto"/>
        </w:rPr>
      </w:pPr>
    </w:p>
    <w:p>
      <w:pPr>
        <w:ind w:right="20" w:firstLine="885"/>
        <w:spacing w:after="0" w:line="233" w:lineRule="auto"/>
        <w:tabs>
          <w:tab w:leader="none" w:pos="177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86" w:lineRule="exact"/>
        <w:rPr>
          <w:rFonts w:ascii="Times New Roman" w:cs="Times New Roman" w:eastAsia="Times New Roman" w:hAnsi="Times New Roman"/>
          <w:sz w:val="22"/>
          <w:szCs w:val="22"/>
          <w:color w:val="auto"/>
        </w:rPr>
      </w:pPr>
    </w:p>
    <w:p>
      <w:pPr>
        <w:ind w:right="240" w:firstLine="885"/>
        <w:spacing w:after="0" w:line="244" w:lineRule="auto"/>
        <w:tabs>
          <w:tab w:leader="none" w:pos="176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89" w:name="page90"/>
    <w:bookmarkEnd w:id="89"/>
    <w:p>
      <w:pPr>
        <w:ind w:left="-20" w:right="220" w:firstLine="885"/>
        <w:spacing w:after="0" w:line="236" w:lineRule="auto"/>
        <w:tabs>
          <w:tab w:leader="none" w:pos="172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2" w:lineRule="exact"/>
        <w:rPr>
          <w:rFonts w:ascii="Times New Roman" w:cs="Times New Roman" w:eastAsia="Times New Roman" w:hAnsi="Times New Roman"/>
          <w:sz w:val="22"/>
          <w:szCs w:val="22"/>
          <w:color w:val="auto"/>
        </w:rPr>
      </w:pPr>
    </w:p>
    <w:p>
      <w:pPr>
        <w:ind w:left="-20" w:firstLine="885"/>
        <w:spacing w:after="0" w:line="258" w:lineRule="auto"/>
        <w:tabs>
          <w:tab w:leader="none" w:pos="175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left="-20" w:right="200" w:firstLine="885"/>
        <w:spacing w:after="0" w:line="239" w:lineRule="auto"/>
        <w:tabs>
          <w:tab w:leader="none" w:pos="175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left="-20" w:right="40" w:firstLine="885"/>
        <w:spacing w:after="0" w:line="236" w:lineRule="auto"/>
        <w:tabs>
          <w:tab w:leader="none" w:pos="17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82" w:lineRule="exact"/>
        <w:rPr>
          <w:rFonts w:ascii="Times New Roman" w:cs="Times New Roman" w:eastAsia="Times New Roman" w:hAnsi="Times New Roman"/>
          <w:sz w:val="22"/>
          <w:szCs w:val="22"/>
          <w:color w:val="auto"/>
        </w:rPr>
      </w:pPr>
    </w:p>
    <w:p>
      <w:pPr>
        <w:ind w:left="-20" w:right="340" w:firstLine="885"/>
        <w:spacing w:after="0" w:line="244" w:lineRule="auto"/>
        <w:tabs>
          <w:tab w:leader="none" w:pos="17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73" w:lineRule="exact"/>
        <w:rPr>
          <w:rFonts w:ascii="Times New Roman" w:cs="Times New Roman" w:eastAsia="Times New Roman" w:hAnsi="Times New Roman"/>
          <w:sz w:val="22"/>
          <w:szCs w:val="22"/>
          <w:color w:val="auto"/>
        </w:rPr>
      </w:pPr>
    </w:p>
    <w:p>
      <w:pPr>
        <w:ind w:left="-20" w:right="20" w:firstLine="885"/>
        <w:spacing w:after="0" w:line="236" w:lineRule="auto"/>
        <w:tabs>
          <w:tab w:leader="none" w:pos="175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Notwithstanding the foregoing, the Executive’s Covenants shall operate independently of, and shall be in addition to, any similar covenants to which the Executive is subject pursuant to any other agreement with the Firm.</w:t>
      </w:r>
    </w:p>
    <w:p>
      <w:pPr>
        <w:spacing w:after="0" w:line="182" w:lineRule="exact"/>
        <w:rPr>
          <w:rFonts w:ascii="Times New Roman" w:cs="Times New Roman" w:eastAsia="Times New Roman" w:hAnsi="Times New Roman"/>
          <w:sz w:val="22"/>
          <w:szCs w:val="22"/>
          <w:color w:val="auto"/>
        </w:rPr>
      </w:pPr>
    </w:p>
    <w:p>
      <w:pPr>
        <w:ind w:left="-20" w:right="40" w:firstLine="885"/>
        <w:spacing w:after="0" w:line="238" w:lineRule="auto"/>
        <w:tabs>
          <w:tab w:leader="none" w:pos="171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28" w:right="259" w:bottom="1440" w:gutter="0" w:footer="0" w:header="0"/>
        </w:sectPr>
      </w:pPr>
    </w:p>
    <w:bookmarkStart w:id="90" w:name="page91"/>
    <w:bookmarkEnd w:id="90"/>
    <w:p>
      <w:pPr>
        <w:spacing w:after="0" w:line="238" w:lineRule="auto"/>
        <w:rPr>
          <w:sz w:val="20"/>
          <w:szCs w:val="20"/>
          <w:color w:val="auto"/>
        </w:rPr>
      </w:pPr>
      <w:r>
        <w:rPr>
          <w:rFonts w:ascii="Times New Roman" w:cs="Times New Roman" w:eastAsia="Times New Roman" w:hAnsi="Times New Roman"/>
          <w:sz w:val="22"/>
          <w:szCs w:val="22"/>
          <w:color w:val="auto"/>
        </w:rPr>
        <w:t>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77" w:lineRule="exact"/>
        <w:rPr>
          <w:sz w:val="20"/>
          <w:szCs w:val="20"/>
          <w:color w:val="auto"/>
        </w:rPr>
      </w:pPr>
    </w:p>
    <w:p>
      <w:pPr>
        <w:ind w:firstLine="885"/>
        <w:spacing w:after="0" w:line="239" w:lineRule="auto"/>
        <w:tabs>
          <w:tab w:leader="none" w:pos="17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91" w:name="page92"/>
    <w:bookmarkEnd w:id="91"/>
    <w:p>
      <w:pPr>
        <w:ind w:right="200" w:firstLine="877"/>
        <w:spacing w:after="0" w:line="258" w:lineRule="auto"/>
        <w:rPr>
          <w:sz w:val="20"/>
          <w:szCs w:val="20"/>
          <w:color w:val="auto"/>
        </w:rPr>
      </w:pPr>
      <w:r>
        <w:rPr>
          <w:rFonts w:ascii="Times New Roman" w:cs="Times New Roman" w:eastAsia="Times New Roman" w:hAnsi="Times New Roman"/>
          <w:sz w:val="22"/>
          <w:szCs w:val="22"/>
          <w:color w:val="auto"/>
        </w:rPr>
        <w:t>IN WITNESS WHEREOF, the Executive and the Firm hereto have caused this Agreement to be executed and delivered on the date first above written.</w:t>
      </w:r>
    </w:p>
    <w:p>
      <w:pPr>
        <w:spacing w:after="0" w:line="3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572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09"/>
        </w:trPr>
        <w:tc>
          <w:tcPr>
            <w:tcW w:w="1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General Counsel and</w:t>
            </w:r>
          </w:p>
        </w:tc>
      </w:tr>
      <w:tr>
        <w:trPr>
          <w:trHeight w:val="283"/>
        </w:trPr>
        <w:tc>
          <w:tcPr>
            <w:tcW w:w="12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Chief Administrative Officer</w:t>
            </w:r>
          </w:p>
        </w:tc>
      </w:tr>
    </w:tbl>
    <w:p>
      <w:pPr>
        <w:spacing w:after="0" w:line="1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LAZARD GROUP LLC (on its behalf, and on</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behalf of its subsidiaries and affiliates),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94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Scott D. Hoffman</w:t>
            </w:r>
          </w:p>
        </w:tc>
        <w:tc>
          <w:tcPr>
            <w:tcW w:w="20" w:type="dxa"/>
            <w:vAlign w:val="bottom"/>
          </w:tcPr>
          <w:p>
            <w:pPr>
              <w:spacing w:after="0"/>
              <w:rPr>
                <w:sz w:val="23"/>
                <w:szCs w:val="23"/>
                <w:color w:val="auto"/>
              </w:rPr>
            </w:pPr>
          </w:p>
        </w:tc>
      </w:tr>
      <w:tr>
        <w:trPr>
          <w:trHeight w:val="209"/>
        </w:trPr>
        <w:tc>
          <w:tcPr>
            <w:tcW w:w="694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48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Scott D. Hoffman</w:t>
            </w:r>
          </w:p>
        </w:tc>
        <w:tc>
          <w:tcPr>
            <w:tcW w:w="20" w:type="dxa"/>
            <w:vAlign w:val="bottom"/>
          </w:tcPr>
          <w:p>
            <w:pPr>
              <w:spacing w:after="0"/>
              <w:rPr>
                <w:sz w:val="18"/>
                <w:szCs w:val="18"/>
                <w:color w:val="auto"/>
              </w:rPr>
            </w:pPr>
          </w:p>
        </w:tc>
      </w:tr>
      <w:tr>
        <w:trPr>
          <w:trHeight w:val="243"/>
        </w:trPr>
        <w:tc>
          <w:tcPr>
            <w:tcW w:w="6940" w:type="dxa"/>
            <w:vAlign w:val="bottom"/>
          </w:tcPr>
          <w:p>
            <w:pPr>
              <w:ind w:left="572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General Counsel and</w:t>
            </w:r>
          </w:p>
        </w:tc>
        <w:tc>
          <w:tcPr>
            <w:tcW w:w="20" w:type="dxa"/>
            <w:vAlign w:val="bottom"/>
          </w:tcPr>
          <w:p>
            <w:pPr>
              <w:spacing w:after="0"/>
              <w:rPr>
                <w:sz w:val="21"/>
                <w:szCs w:val="21"/>
                <w:color w:val="auto"/>
              </w:rPr>
            </w:pPr>
          </w:p>
        </w:tc>
      </w:tr>
      <w:tr>
        <w:trPr>
          <w:trHeight w:val="283"/>
        </w:trPr>
        <w:tc>
          <w:tcPr>
            <w:tcW w:w="69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Chief Administrative Officer</w:t>
            </w:r>
          </w:p>
        </w:tc>
        <w:tc>
          <w:tcPr>
            <w:tcW w:w="20" w:type="dxa"/>
            <w:vAlign w:val="bottom"/>
          </w:tcPr>
          <w:p>
            <w:pPr>
              <w:spacing w:after="0"/>
              <w:rPr>
                <w:sz w:val="24"/>
                <w:szCs w:val="24"/>
                <w:color w:val="auto"/>
              </w:rPr>
            </w:pPr>
          </w:p>
        </w:tc>
      </w:tr>
      <w:tr>
        <w:trPr>
          <w:trHeight w:val="447"/>
        </w:trPr>
        <w:tc>
          <w:tcPr>
            <w:tcW w:w="69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Evan L. Russo</w:t>
            </w:r>
          </w:p>
        </w:tc>
        <w:tc>
          <w:tcPr>
            <w:tcW w:w="20" w:type="dxa"/>
            <w:vAlign w:val="bottom"/>
          </w:tcPr>
          <w:p>
            <w:pPr>
              <w:spacing w:after="0"/>
              <w:rPr>
                <w:sz w:val="24"/>
                <w:szCs w:val="24"/>
                <w:color w:val="auto"/>
              </w:rPr>
            </w:pPr>
          </w:p>
        </w:tc>
      </w:tr>
      <w:tr>
        <w:trPr>
          <w:trHeight w:val="276"/>
        </w:trPr>
        <w:tc>
          <w:tcPr>
            <w:tcW w:w="69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22"/>
                <w:szCs w:val="22"/>
                <w:color w:val="auto"/>
              </w:rPr>
              <w:t>Evan L. Russo</w:t>
            </w:r>
          </w:p>
        </w:tc>
        <w:tc>
          <w:tcPr>
            <w:tcW w:w="20" w:type="dxa"/>
            <w:vAlign w:val="bottom"/>
          </w:tcPr>
          <w:p>
            <w:pPr>
              <w:spacing w:after="0"/>
              <w:rPr>
                <w:sz w:val="24"/>
                <w:szCs w:val="24"/>
                <w:color w:val="auto"/>
              </w:rPr>
            </w:pPr>
          </w:p>
        </w:tc>
      </w:tr>
      <w:tr>
        <w:trPr>
          <w:trHeight w:val="648"/>
        </w:trPr>
        <w:tc>
          <w:tcPr>
            <w:tcW w:w="69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18</w:t>
            </w: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694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Waiver and General Release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_____, by and between Evan L. Russo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and Lazard Group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700" w:hanging="815"/>
        <w:spacing w:after="0"/>
        <w:tabs>
          <w:tab w:leader="none" w:pos="17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14" w:lineRule="exact"/>
        <w:rPr>
          <w:rFonts w:ascii="Times New Roman" w:cs="Times New Roman" w:eastAsia="Times New Roman" w:hAnsi="Times New Roman"/>
          <w:sz w:val="22"/>
          <w:szCs w:val="22"/>
          <w:color w:val="auto"/>
        </w:rPr>
      </w:pP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1" w:lineRule="exact"/>
        <w:rPr>
          <w:rFonts w:ascii="Times New Roman" w:cs="Times New Roman" w:eastAsia="Times New Roman" w:hAnsi="Times New Roman"/>
          <w:sz w:val="22"/>
          <w:szCs w:val="22"/>
          <w:color w:val="auto"/>
        </w:rPr>
      </w:pPr>
    </w:p>
    <w:p>
      <w:pPr>
        <w:jc w:val="both"/>
        <w:ind w:firstLine="885"/>
        <w:spacing w:after="0" w:line="238" w:lineRule="auto"/>
        <w:tabs>
          <w:tab w:leader="none" w:pos="16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Agreement Relating to Retention and Noncompetition and Other Covenants by and among the Company, Lazard Ltd and you, dated as of October 30, 2017 (such agreement,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that are conditioned on the Release Requirement (as defined in Section 3(d)(iii))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885"/>
        <w:spacing w:after="0" w:line="238" w:lineRule="auto"/>
        <w:tabs>
          <w:tab w:leader="none" w:pos="16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77" w:lineRule="exact"/>
        <w:rPr>
          <w:rFonts w:ascii="Times New Roman" w:cs="Times New Roman" w:eastAsia="Times New Roman" w:hAnsi="Times New Roman"/>
          <w:sz w:val="22"/>
          <w:szCs w:val="22"/>
          <w:color w:val="auto"/>
        </w:rPr>
      </w:pPr>
    </w:p>
    <w:p>
      <w:pPr>
        <w:jc w:val="both"/>
        <w:ind w:firstLine="885"/>
        <w:spacing w:after="0" w:line="238" w:lineRule="auto"/>
        <w:tabs>
          <w:tab w:leader="none" w:pos="16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3" w:name="page94"/>
    <w:bookmarkEnd w:id="93"/>
    <w:p>
      <w:pPr>
        <w:spacing w:after="0" w:line="258" w:lineRule="auto"/>
        <w:rPr>
          <w:sz w:val="20"/>
          <w:szCs w:val="20"/>
          <w:color w:val="auto"/>
        </w:rPr>
      </w:pPr>
      <w:r>
        <w:rPr>
          <w:rFonts w:ascii="Times New Roman" w:cs="Times New Roman" w:eastAsia="Times New Roman" w:hAnsi="Times New Roman"/>
          <w:sz w:val="22"/>
          <w:szCs w:val="22"/>
          <w:color w:val="auto"/>
        </w:rPr>
        <w:t>have, or may have against any of the Company Entities by reason of any act, omission, transaction, practice, plan, policy, procedure, conduct, occurrence, or other matter up to and including the date on which you sign this Agreement.</w:t>
      </w:r>
    </w:p>
    <w:p>
      <w:pPr>
        <w:spacing w:after="0" w:line="158" w:lineRule="exact"/>
        <w:rPr>
          <w:sz w:val="20"/>
          <w:szCs w:val="20"/>
          <w:color w:val="auto"/>
        </w:rPr>
      </w:pPr>
    </w:p>
    <w:p>
      <w:pPr>
        <w:jc w:val="both"/>
        <w:ind w:firstLine="1763"/>
        <w:spacing w:after="0" w:line="245" w:lineRule="auto"/>
        <w:tabs>
          <w:tab w:leader="none" w:pos="2565"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75" w:lineRule="exact"/>
        <w:rPr>
          <w:rFonts w:ascii="Times New Roman" w:cs="Times New Roman" w:eastAsia="Times New Roman" w:hAnsi="Times New Roman"/>
          <w:sz w:val="21"/>
          <w:szCs w:val="21"/>
          <w:color w:val="auto"/>
        </w:rPr>
      </w:pPr>
    </w:p>
    <w:p>
      <w:pPr>
        <w:jc w:val="both"/>
        <w:ind w:firstLine="1763"/>
        <w:spacing w:after="0" w:line="245" w:lineRule="auto"/>
        <w:tabs>
          <w:tab w:leader="none" w:pos="255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75" w:lineRule="exact"/>
        <w:rPr>
          <w:rFonts w:ascii="Times New Roman" w:cs="Times New Roman" w:eastAsia="Times New Roman" w:hAnsi="Times New Roman"/>
          <w:sz w:val="21"/>
          <w:szCs w:val="21"/>
          <w:color w:val="auto"/>
        </w:rPr>
      </w:pPr>
    </w:p>
    <w:p>
      <w:pPr>
        <w:jc w:val="both"/>
        <w:ind w:firstLine="885"/>
        <w:spacing w:after="0" w:line="238" w:lineRule="auto"/>
        <w:tabs>
          <w:tab w:leader="none" w:pos="16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4" w:name="page95"/>
    <w:bookmarkEnd w:id="94"/>
    <w:p>
      <w:pPr>
        <w:jc w:val="both"/>
        <w:ind w:firstLine="885"/>
        <w:spacing w:after="0" w:line="238" w:lineRule="auto"/>
        <w:tabs>
          <w:tab w:leader="none" w:pos="16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jc w:val="both"/>
        <w:ind w:firstLine="1763"/>
        <w:spacing w:after="0" w:line="235" w:lineRule="auto"/>
        <w:tabs>
          <w:tab w:leader="none" w:pos="256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 requirements, based on the written legal advice of your counsel, you will give prompt notice of such request to ______________, Lazard 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3" w:lineRule="exact"/>
        <w:rPr>
          <w:rFonts w:ascii="Times New Roman" w:cs="Times New Roman" w:eastAsia="Times New Roman" w:hAnsi="Times New Roman"/>
          <w:sz w:val="22"/>
          <w:szCs w:val="22"/>
          <w:color w:val="auto"/>
        </w:rPr>
      </w:pPr>
    </w:p>
    <w:p>
      <w:pPr>
        <w:jc w:val="both"/>
        <w:ind w:firstLine="885"/>
        <w:spacing w:after="0" w:line="244" w:lineRule="auto"/>
        <w:tabs>
          <w:tab w:leader="none" w:pos="16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73" w:lineRule="exact"/>
        <w:rPr>
          <w:rFonts w:ascii="Times New Roman" w:cs="Times New Roman" w:eastAsia="Times New Roman" w:hAnsi="Times New Roman"/>
          <w:sz w:val="22"/>
          <w:szCs w:val="22"/>
          <w:color w:val="auto"/>
        </w:rPr>
      </w:pPr>
    </w:p>
    <w:p>
      <w:pPr>
        <w:jc w:val="both"/>
        <w:ind w:firstLine="885"/>
        <w:spacing w:after="0" w:line="233" w:lineRule="auto"/>
        <w:tabs>
          <w:tab w:leader="none" w:pos="16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83" w:lineRule="exact"/>
        <w:rPr>
          <w:rFonts w:ascii="Times New Roman" w:cs="Times New Roman" w:eastAsia="Times New Roman" w:hAnsi="Times New Roman"/>
          <w:sz w:val="22"/>
          <w:szCs w:val="22"/>
          <w:color w:val="auto"/>
        </w:rPr>
      </w:pPr>
    </w:p>
    <w:p>
      <w:pPr>
        <w:jc w:val="both"/>
        <w:ind w:firstLine="885"/>
        <w:spacing w:after="0" w:line="238" w:lineRule="auto"/>
        <w:tabs>
          <w:tab w:leader="none" w:pos="16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5" w:name="page96"/>
    <w:bookmarkEnd w:id="95"/>
    <w:p>
      <w:pPr>
        <w:ind w:firstLine="885"/>
        <w:spacing w:after="0" w:line="258"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885"/>
        <w:spacing w:after="0" w:line="244" w:lineRule="auto"/>
        <w:tabs>
          <w:tab w:leader="none" w:pos="17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jc w:val="both"/>
        <w:ind w:firstLine="1763"/>
        <w:spacing w:after="0" w:line="244" w:lineRule="auto"/>
        <w:tabs>
          <w:tab w:leader="none" w:pos="256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885"/>
        <w:spacing w:after="0" w:line="258"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885"/>
        <w:spacing w:after="0" w:line="258"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right="20" w:firstLine="1763"/>
        <w:spacing w:after="0" w:line="258" w:lineRule="auto"/>
        <w:tabs>
          <w:tab w:leader="none" w:pos="256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885"/>
        <w:spacing w:after="0" w:line="239"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80" w:lineRule="exact"/>
        <w:rPr>
          <w:rFonts w:ascii="Times New Roman" w:cs="Times New Roman" w:eastAsia="Times New Roman" w:hAnsi="Times New Roman"/>
          <w:sz w:val="22"/>
          <w:szCs w:val="22"/>
          <w:color w:val="auto"/>
        </w:rPr>
      </w:pPr>
    </w:p>
    <w:p>
      <w:pPr>
        <w:jc w:val="both"/>
        <w:ind w:firstLine="885"/>
        <w:spacing w:after="0" w:line="235"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jc w:val="both"/>
        <w:ind w:right="20" w:firstLine="885"/>
        <w:spacing w:after="0" w:line="244" w:lineRule="auto"/>
        <w:tabs>
          <w:tab w:leader="none" w:pos="17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 Plaza, New York, NY 10020, Attention: _____________, on or before ______. After executing this Agreement, you shall have seven (7) days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revoke it by indicating your desire to do so in writing delivered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1"/>
          <w:szCs w:val="21"/>
          <w:color w:val="auto"/>
        </w:rPr>
        <w:t>____________at the address above by no later than 5:00 p.m. on the seventh (7th) day after the date you sign this Agreement. The</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80" w:lineRule="exact"/>
        <w:rPr>
          <w:sz w:val="20"/>
          <w:szCs w:val="20"/>
          <w:color w:val="auto"/>
        </w:rPr>
      </w:pPr>
    </w:p>
    <w:p>
      <w:pPr>
        <w:ind w:firstLine="885"/>
        <w:spacing w:after="0" w:line="258" w:lineRule="auto"/>
        <w:tabs>
          <w:tab w:leader="none" w:pos="17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jc w:val="both"/>
        <w:ind w:firstLine="885"/>
        <w:spacing w:after="0" w:line="235" w:lineRule="auto"/>
        <w:tabs>
          <w:tab w:leader="none" w:pos="17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 Awards [(other than the _____)] were granted to you under the [Lazard Ltd 2008 Incentive Compensation Plan]. Notwithstanding 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200" w:type="dxa"/>
            <w:vAlign w:val="bottom"/>
            <w:tcBorders>
              <w:bottom w:val="single" w:sz="8" w:color="auto"/>
            </w:tcBorders>
          </w:tcPr>
          <w:p>
            <w:pPr>
              <w:spacing w:after="0"/>
              <w:rPr>
                <w:sz w:val="23"/>
                <w:szCs w:val="23"/>
                <w:color w:val="auto"/>
              </w:rPr>
            </w:pPr>
          </w:p>
        </w:tc>
        <w:tc>
          <w:tcPr>
            <w:tcW w:w="204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2"/>
              </w:rPr>
              <w:t>Date:</w:t>
            </w:r>
          </w:p>
        </w:tc>
      </w:tr>
      <w:tr>
        <w:trPr>
          <w:trHeight w:val="209"/>
        </w:trPr>
        <w:tc>
          <w:tcPr>
            <w:tcW w:w="1960" w:type="dxa"/>
            <w:vAlign w:val="bottom"/>
          </w:tcPr>
          <w:p>
            <w:pPr>
              <w:spacing w:after="0"/>
              <w:rPr>
                <w:sz w:val="18"/>
                <w:szCs w:val="18"/>
                <w:color w:val="auto"/>
              </w:rPr>
            </w:pPr>
          </w:p>
        </w:tc>
        <w:tc>
          <w:tcPr>
            <w:tcW w:w="32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2040" w:type="dxa"/>
            <w:vAlign w:val="bottom"/>
          </w:tcPr>
          <w:p>
            <w:pPr>
              <w:spacing w:after="0"/>
              <w:rPr>
                <w:sz w:val="18"/>
                <w:szCs w:val="18"/>
                <w:color w:val="auto"/>
              </w:rPr>
            </w:pPr>
          </w:p>
        </w:tc>
      </w:tr>
      <w:tr>
        <w:trPr>
          <w:trHeight w:val="271"/>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STATE OF</w:t>
            </w:r>
          </w:p>
        </w:tc>
        <w:tc>
          <w:tcPr>
            <w:tcW w:w="5240" w:type="dxa"/>
            <w:vAlign w:val="bottom"/>
            <w:gridSpan w:val="2"/>
          </w:tcPr>
          <w:p>
            <w:pPr>
              <w:ind w:left="3360"/>
              <w:spacing w:after="0"/>
              <w:rPr>
                <w:sz w:val="20"/>
                <w:szCs w:val="20"/>
                <w:color w:val="auto"/>
              </w:rPr>
            </w:pPr>
            <w:r>
              <w:rPr>
                <w:rFonts w:ascii="Times New Roman" w:cs="Times New Roman" w:eastAsia="Times New Roman" w:hAnsi="Times New Roman"/>
                <w:sz w:val="22"/>
                <w:szCs w:val="22"/>
                <w:color w:val="auto"/>
              </w:rPr>
              <w:t>)</w:t>
            </w:r>
          </w:p>
        </w:tc>
      </w:tr>
      <w:tr>
        <w:trPr>
          <w:trHeight w:val="209"/>
        </w:trPr>
        <w:tc>
          <w:tcPr>
            <w:tcW w:w="196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04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 ss.:</w:t>
            </w:r>
          </w:p>
        </w:tc>
      </w:tr>
      <w:tr>
        <w:trPr>
          <w:trHeight w:val="257"/>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COUNTY OF</w:t>
            </w:r>
          </w:p>
        </w:tc>
        <w:tc>
          <w:tcPr>
            <w:tcW w:w="3200" w:type="dxa"/>
            <w:vAlign w:val="bottom"/>
            <w:tcBorders>
              <w:bottom w:val="single" w:sz="8" w:color="auto"/>
            </w:tcBorders>
          </w:tcPr>
          <w:p>
            <w:pPr>
              <w:spacing w:after="0"/>
              <w:rPr>
                <w:sz w:val="22"/>
                <w:szCs w:val="22"/>
                <w:color w:val="auto"/>
              </w:rPr>
            </w:pPr>
          </w:p>
        </w:tc>
        <w:tc>
          <w:tcPr>
            <w:tcW w:w="2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-633730</wp:posOffset>
            </wp:positionV>
            <wp:extent cx="23069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On this __ day of ________ 20___, before me personally came [NAME] to me known and known to me to be the person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described and who executed the foregoing Agreement, and [she/he] duly acknowledged to me that [she/he] executed the same.</w:t>
      </w:r>
    </w:p>
    <w:p>
      <w:pPr>
        <w:spacing w:after="0" w:line="200" w:lineRule="exact"/>
        <w:rPr>
          <w:sz w:val="20"/>
          <w:szCs w:val="20"/>
          <w:color w:val="auto"/>
        </w:rPr>
      </w:pP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-151130</wp:posOffset>
            </wp:positionV>
            <wp:extent cx="29584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328"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Ltd and its subsidiaries on a consolidated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466,910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(16,620)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216,807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123,885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Add—Fixed charges</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57,470</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73,654</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75,109</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3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106,470</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before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524,380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591,115</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605,531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320,475</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(b)</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79,381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(c)</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3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3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57,470</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73,654</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106,470</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w:t>
            </w: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(g)</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FF0FC"/>
            </w:tcBorders>
            <w:gridSpan w:val="2"/>
            <w:vMerge w:val="continue"/>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20" w:type="dxa"/>
            <w:vAlign w:val="bottom"/>
            <w:tcBorders>
              <w:bottom w:val="single" w:sz="8" w:color="CFF0FC"/>
            </w:tcBorders>
            <w:vMerge w:val="continue"/>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(h)</w:t>
            </w:r>
          </w:p>
        </w:tc>
        <w:tc>
          <w:tcPr>
            <w:tcW w:w="0" w:type="dxa"/>
            <w:vAlign w:val="bottom"/>
          </w:tcPr>
          <w:p>
            <w:pPr>
              <w:spacing w:after="0"/>
              <w:rPr>
                <w:sz w:val="1"/>
                <w:szCs w:val="1"/>
                <w:color w:val="auto"/>
              </w:rPr>
            </w:pPr>
          </w:p>
        </w:tc>
      </w:tr>
      <w:tr>
        <w:trPr>
          <w:trHeight w:val="192"/>
        </w:trPr>
        <w:tc>
          <w:tcPr>
            <w:tcW w:w="4560" w:type="dxa"/>
            <w:vAlign w:val="bottom"/>
            <w:gridSpan w:val="2"/>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Deficiency in the coverage of operating income</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before fixed charges to total fixed charges</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periods presented represent income before income taxes and fixed charges,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and the portion of rental expense which represents an appropriate interest factor.</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nine months ended September 30, 2017 is presented after giving effect to a charge of (i) $2,568 of acquisition-related costs, (ii) $15,391 of expenses associated with the ERP system implementation and (iii) $4,573 of expenses related to office space reorganization. Excluding the impact of such charges, the ratio of earnings to fixed charges would have been 9.45.</w:t>
      </w:r>
    </w:p>
    <w:p>
      <w:pPr>
        <w:spacing w:after="0" w:line="53" w:lineRule="exact"/>
        <w:rPr>
          <w:rFonts w:ascii="Times New Roman" w:cs="Times New Roman" w:eastAsia="Times New Roman" w:hAnsi="Times New Roman"/>
          <w:sz w:val="18"/>
          <w:szCs w:val="18"/>
          <w:color w:val="auto"/>
        </w:rPr>
      </w:pPr>
    </w:p>
    <w:p>
      <w:pPr>
        <w:ind w:left="520" w:right="40" w:hanging="512"/>
        <w:spacing w:after="0" w:line="258"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2016 is presented after giving effect to a charge of (i) $3,148 associated with the redemption of the remaining portion of the 6.85% senior notes due June 2017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8.43.</w:t>
      </w:r>
    </w:p>
    <w:p>
      <w:pPr>
        <w:spacing w:after="0" w:line="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2015 is presented after giving effect to a charge of (i) $60,219 associated with the redemption of</w:t>
      </w:r>
    </w:p>
    <w:p>
      <w:pPr>
        <w:spacing w:after="0" w:line="27" w:lineRule="exact"/>
        <w:rPr>
          <w:rFonts w:ascii="Times New Roman" w:cs="Times New Roman" w:eastAsia="Times New Roman" w:hAnsi="Times New Roman"/>
          <w:sz w:val="18"/>
          <w:szCs w:val="18"/>
          <w:color w:val="auto"/>
        </w:rPr>
      </w:pPr>
    </w:p>
    <w:p>
      <w:pPr>
        <w:ind w:left="520" w:right="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64"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4.35.</w:t>
      </w:r>
    </w:p>
    <w:p>
      <w:pPr>
        <w:spacing w:after="0" w:line="71" w:lineRule="exact"/>
        <w:rPr>
          <w:rFonts w:ascii="Times New Roman" w:cs="Times New Roman" w:eastAsia="Times New Roman" w:hAnsi="Times New Roman"/>
          <w:sz w:val="18"/>
          <w:szCs w:val="18"/>
          <w:color w:val="auto"/>
        </w:rPr>
      </w:pPr>
    </w:p>
    <w:p>
      <w:pPr>
        <w:ind w:left="520" w:right="100" w:hanging="512"/>
        <w:spacing w:after="0" w:line="258" w:lineRule="auto"/>
        <w:tabs>
          <w:tab w:leader="none" w:pos="5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2017 of Lazard Ltd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333"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2017 of Lazard Ltd (the “Registrant”);</w:t>
      </w:r>
    </w:p>
    <w:p>
      <w:pPr>
        <w:spacing w:after="0" w:line="225" w:lineRule="exact"/>
        <w:rPr>
          <w:rFonts w:ascii="Times New Roman" w:cs="Times New Roman" w:eastAsia="Times New Roman" w:hAnsi="Times New Roman"/>
          <w:sz w:val="18"/>
          <w:szCs w:val="18"/>
          <w:color w:val="auto"/>
        </w:rPr>
      </w:pPr>
    </w:p>
    <w:p>
      <w:pPr>
        <w:ind w:right="240" w:firstLine="526"/>
        <w:spacing w:after="0" w:line="282"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00" w:firstLine="526"/>
        <w:spacing w:after="0" w:line="282"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526"/>
        <w:spacing w:after="0" w:line="266"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20" w:firstLine="499"/>
        <w:spacing w:after="0" w:line="266" w:lineRule="auto"/>
        <w:tabs>
          <w:tab w:leader="none" w:pos="125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520" w:right="320" w:firstLine="499"/>
        <w:spacing w:after="0" w:line="266" w:lineRule="auto"/>
        <w:tabs>
          <w:tab w:leader="none" w:pos="127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400" w:firstLine="499"/>
        <w:spacing w:after="0" w:line="282" w:lineRule="auto"/>
        <w:tabs>
          <w:tab w:leader="none" w:pos="125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00" w:firstLine="499"/>
        <w:spacing w:after="0" w:line="266" w:lineRule="auto"/>
        <w:tabs>
          <w:tab w:leader="none" w:pos="127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526"/>
        <w:spacing w:after="0" w:line="282" w:lineRule="auto"/>
        <w:tabs>
          <w:tab w:leader="none" w:pos="6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660" w:firstLine="499"/>
        <w:spacing w:after="0" w:line="282" w:lineRule="auto"/>
        <w:tabs>
          <w:tab w:leader="none" w:pos="125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499"/>
        <w:spacing w:after="0" w:line="282" w:lineRule="auto"/>
        <w:tabs>
          <w:tab w:leader="none" w:pos="127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September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3"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Quarterly Report on Form 10-Q for the quarter ended September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2"/>
    </w:lvl>
  </w:abstractNum>
  <w:abstractNum w:abstractNumId="6">
    <w:nsid w:val="79A1DEAA"/>
    <w:multiLevelType w:val="hybridMultilevel"/>
    <w:lvl w:ilvl="0">
      <w:lvlJc w:val="left"/>
      <w:lvlText w:val="%1."/>
      <w:numFmt w:val="decimal"/>
      <w:start w:val="3"/>
    </w:lvl>
  </w:abstractNum>
  <w:abstractNum w:abstractNumId="7">
    <w:nsid w:val="75C6C33A"/>
    <w:multiLevelType w:val="hybridMultilevel"/>
    <w:lvl w:ilvl="0">
      <w:lvlJc w:val="left"/>
      <w:lvlText w:val="%1."/>
      <w:numFmt w:val="decimal"/>
      <w:start w:val="4"/>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decimal"/>
      <w:start w:val="5"/>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decimal"/>
      <w:start w:val="6"/>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decimal"/>
      <w:start w:val="7"/>
    </w:lvl>
  </w:abstractNum>
  <w:abstractNum w:abstractNumId="16">
    <w:nsid w:val="39386575"/>
    <w:multiLevelType w:val="hybridMultilevel"/>
    <w:lvl w:ilvl="0">
      <w:lvlJc w:val="left"/>
      <w:lvlText w:val="%1."/>
      <w:numFmt w:val="decimal"/>
      <w:start w:val="8"/>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decimal"/>
      <w:start w:val="9"/>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decimal"/>
      <w:start w:val="10"/>
    </w:lvl>
  </w:abstractNum>
  <w:abstractNum w:abstractNumId="21">
    <w:nsid w:val="354FE9F9"/>
    <w:multiLevelType w:val="hybridMultilevel"/>
    <w:lvl w:ilvl="0">
      <w:lvlJc w:val="left"/>
      <w:lvlText w:val="%1."/>
      <w:numFmt w:val="decimal"/>
      <w:start w:val="1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decimal"/>
      <w:start w:val="12"/>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decimal"/>
      <w:start w:val="13"/>
    </w:lvl>
  </w:abstractNum>
  <w:abstractNum w:abstractNumId="26">
    <w:nsid w:val="3F6AB60F"/>
    <w:multiLevelType w:val="hybridMultilevel"/>
    <w:lvl w:ilvl="0">
      <w:lvlJc w:val="left"/>
      <w:lvlText w:val="%1."/>
      <w:numFmt w:val="decimal"/>
      <w:start w:val="14"/>
    </w:lvl>
  </w:abstractNum>
  <w:abstractNum w:abstractNumId="27">
    <w:nsid w:val="61574095"/>
    <w:multiLevelType w:val="hybridMultilevel"/>
    <w:lvl w:ilvl="0">
      <w:lvlJc w:val="left"/>
      <w:lvlText w:val="(%1)"/>
      <w:numFmt w:val="lowerRoman"/>
      <w:start w:val="4"/>
    </w:lvl>
  </w:abstractNum>
  <w:abstractNum w:abstractNumId="28">
    <w:nsid w:val="7E0C57B1"/>
    <w:multiLevelType w:val="hybridMultilevel"/>
    <w:lvl w:ilvl="0">
      <w:lvlJc w:val="left"/>
      <w:lvlText w:val="%1."/>
      <w:numFmt w:val="decimal"/>
      <w:start w:val="15"/>
    </w:lvl>
  </w:abstractNum>
  <w:abstractNum w:abstractNumId="29">
    <w:nsid w:val="77AE35EB"/>
    <w:multiLevelType w:val="hybridMultilevel"/>
    <w:lvl w:ilvl="0">
      <w:lvlJc w:val="left"/>
      <w:lvlText w:val="%1."/>
      <w:numFmt w:val="decimal"/>
      <w:start w:val="16"/>
    </w:lvl>
  </w:abstractNum>
  <w:abstractNum w:abstractNumId="30">
    <w:nsid w:val="579BE4F1"/>
    <w:multiLevelType w:val="hybridMultilevel"/>
    <w:lvl w:ilvl="0">
      <w:lvlJc w:val="left"/>
      <w:lvlText w:val="(%1)"/>
      <w:numFmt w:val="lowerRoman"/>
      <w:start w:val="1"/>
    </w:lvl>
  </w:abstractNum>
  <w:abstractNum w:abstractNumId="31">
    <w:nsid w:val="310C50B3"/>
    <w:multiLevelType w:val="hybridMultilevel"/>
    <w:lvl w:ilvl="0">
      <w:lvlJc w:val="left"/>
      <w:lvlText w:val="%1."/>
      <w:numFmt w:val="decimal"/>
      <w:start w:val="17"/>
    </w:lvl>
  </w:abstractNum>
  <w:abstractNum w:abstractNumId="32">
    <w:nsid w:val="5FF87E05"/>
    <w:multiLevelType w:val="hybridMultilevel"/>
    <w:lvl w:ilvl="0">
      <w:lvlJc w:val="left"/>
      <w:lvlText w:val="%1."/>
      <w:numFmt w:val="decimal"/>
      <w:start w:val="18"/>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lvl w:ilvl="1">
      <w:lvlJc w:val="left"/>
      <w:lvlText w:val="(%2)"/>
      <w:numFmt w:val="lowerRoman"/>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Roman"/>
      <w:start w:val="2"/>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3"/>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lowerLetter"/>
      <w:start w:val="2"/>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2"/>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lowerLetter"/>
      <w:start w:val="2"/>
    </w:lvl>
  </w:abstractNum>
  <w:abstractNum w:abstractNumId="60">
    <w:nsid w:val="8F2B15E"/>
    <w:multiLevelType w:val="hybridMultilevel"/>
    <w:lvl w:ilvl="0">
      <w:lvlJc w:val="left"/>
      <w:lvlText w:val="(%1)"/>
      <w:numFmt w:val="lowerLetter"/>
      <w:start w:val="3"/>
    </w:lvl>
  </w:abstractNum>
  <w:abstractNum w:abstractNumId="61">
    <w:nsid w:val="1A32234B"/>
    <w:multiLevelType w:val="hybridMultilevel"/>
    <w:lvl w:ilvl="0">
      <w:lvlJc w:val="left"/>
      <w:lvlText w:val="(%1)"/>
      <w:numFmt w:val="lowerRoman"/>
      <w:start w:val="1"/>
    </w:lvl>
  </w:abstractNum>
  <w:abstractNum w:abstractNumId="62">
    <w:nsid w:val="3B0FD379"/>
    <w:multiLevelType w:val="hybridMultilevel"/>
    <w:lvl w:ilvl="0">
      <w:lvlJc w:val="left"/>
      <w:lvlText w:val="(%1)"/>
      <w:numFmt w:val="lowerRoman"/>
      <w:start w:val="4"/>
    </w:lvl>
  </w:abstractNum>
  <w:abstractNum w:abstractNumId="63">
    <w:nsid w:val="68EB2F63"/>
    <w:multiLevelType w:val="hybridMultilevel"/>
    <w:lvl w:ilvl="0">
      <w:lvlJc w:val="left"/>
      <w:lvlText w:val="(%1)"/>
      <w:numFmt w:val="lowerLetter"/>
      <w:start w:val="4"/>
    </w:lvl>
  </w:abstractNum>
  <w:abstractNum w:abstractNumId="64">
    <w:nsid w:val="4962813B"/>
    <w:multiLevelType w:val="hybridMultilevel"/>
    <w:lvl w:ilvl="0">
      <w:lvlJc w:val="left"/>
      <w:lvlText w:val="(%1)"/>
      <w:numFmt w:val="lowerRoman"/>
      <w:start w:val="2"/>
    </w:lvl>
  </w:abstractNum>
  <w:abstractNum w:abstractNumId="65">
    <w:nsid w:val="60B6DF70"/>
    <w:multiLevelType w:val="hybridMultilevel"/>
    <w:lvl w:ilvl="0">
      <w:lvlJc w:val="left"/>
      <w:lvlText w:val="%1."/>
      <w:numFmt w:val="upperLetter"/>
      <w:start w:val="9"/>
    </w:lvl>
  </w:abstractNum>
  <w:abstractNum w:abstractNumId="66">
    <w:nsid w:val="6A5EE64"/>
    <w:multiLevelType w:val="hybridMultilevel"/>
    <w:lvl w:ilvl="0">
      <w:lvlJc w:val="left"/>
      <w:lvlText w:val="%1"/>
      <w:numFmt w:val="lowerRoman"/>
      <w:start w:val="1"/>
    </w:lvl>
    <w:lvl w:ilvl="1">
      <w:lvlJc w:val="left"/>
      <w:lvlText w:val="%2."/>
      <w:numFmt w:val="upperLetter"/>
      <w:start w:val="35"/>
    </w:lvl>
  </w:abstractNum>
  <w:abstractNum w:abstractNumId="67">
    <w:nsid w:val="14330624"/>
    <w:multiLevelType w:val="hybridMultilevel"/>
    <w:lvl w:ilvl="0">
      <w:lvlJc w:val="left"/>
      <w:lvlText w:val="(%1)"/>
      <w:numFmt w:val="lowerRoman"/>
      <w:start w:val="2"/>
    </w:lvl>
    <w:lvl w:ilvl="1">
      <w:lvlJc w:val="left"/>
      <w:lvlText w:val="%2"/>
      <w:numFmt w:val="upperLetter"/>
      <w:start w:val="1"/>
    </w:lvl>
  </w:abstractNum>
  <w:abstractNum w:abstractNumId="68">
    <w:nsid w:val="7FFFCA11"/>
    <w:multiLevelType w:val="hybridMultilevel"/>
    <w:lvl w:ilvl="0">
      <w:lvlJc w:val="left"/>
      <w:lvlText w:val="(%1)"/>
      <w:numFmt w:val="lowerRoman"/>
      <w:start w:val="3"/>
    </w:lvl>
  </w:abstractNum>
  <w:abstractNum w:abstractNumId="69">
    <w:nsid w:val="1A27709E"/>
    <w:multiLevelType w:val="hybridMultilevel"/>
    <w:lvl w:ilvl="0">
      <w:lvlJc w:val="left"/>
      <w:lvlText w:val="(%1)"/>
      <w:numFmt w:val="lowerLetter"/>
      <w:start w:val="5"/>
    </w:lvl>
  </w:abstractNum>
  <w:abstractNum w:abstractNumId="70">
    <w:nsid w:val="71EA1109"/>
    <w:multiLevelType w:val="hybridMultilevel"/>
    <w:lvl w:ilvl="0">
      <w:lvlJc w:val="left"/>
      <w:lvlText w:val="(%1)"/>
      <w:numFmt w:val="lowerLetter"/>
      <w:start w:val="6"/>
    </w:lvl>
  </w:abstractNum>
  <w:abstractNum w:abstractNumId="71">
    <w:nsid w:val="100F59DC"/>
    <w:multiLevelType w:val="hybridMultilevel"/>
    <w:lvl w:ilvl="0">
      <w:lvlJc w:val="left"/>
      <w:lvlText w:val="(%1)"/>
      <w:numFmt w:val="lowerLetter"/>
      <w:start w:val="7"/>
    </w:lvl>
  </w:abstractNum>
  <w:abstractNum w:abstractNumId="72">
    <w:nsid w:val="7FB7E0AA"/>
    <w:multiLevelType w:val="hybridMultilevel"/>
    <w:lvl w:ilvl="0">
      <w:lvlJc w:val="left"/>
      <w:lvlText w:val="%1."/>
      <w:numFmt w:val="decimal"/>
      <w:start w:val="4"/>
    </w:lvl>
  </w:abstractNum>
  <w:abstractNum w:abstractNumId="73">
    <w:nsid w:val="6EB5BD4"/>
    <w:multiLevelType w:val="hybridMultilevel"/>
    <w:lvl w:ilvl="0">
      <w:lvlJc w:val="left"/>
      <w:lvlText w:val="%1"/>
      <w:numFmt w:val="lowerRoman"/>
      <w:start w:val="1"/>
    </w:lvl>
    <w:lvl w:ilvl="1">
      <w:lvlJc w:val="left"/>
      <w:lvlText w:val="%2."/>
      <w:numFmt w:val="decimal"/>
      <w:start w:val="5"/>
    </w:lvl>
  </w:abstractNum>
  <w:abstractNum w:abstractNumId="74">
    <w:nsid w:val="6F6DD9AC"/>
    <w:multiLevelType w:val="hybridMultilevel"/>
    <w:lvl w:ilvl="0">
      <w:lvlJc w:val="left"/>
      <w:lvlText w:val="(%1)"/>
      <w:numFmt w:val="lowerRoman"/>
      <w:start w:val="2"/>
    </w:lvl>
    <w:lvl w:ilvl="1">
      <w:lvlJc w:val="left"/>
      <w:lvlText w:val="%2"/>
      <w:numFmt w:val="decimal"/>
      <w:start w:val="1"/>
    </w:lvl>
  </w:abstractNum>
  <w:abstractNum w:abstractNumId="75">
    <w:nsid w:val="94211F2"/>
    <w:multiLevelType w:val="hybridMultilevel"/>
    <w:lvl w:ilvl="0">
      <w:lvlJc w:val="left"/>
      <w:lvlText w:val="(%1)"/>
      <w:numFmt w:val="lowerLetter"/>
      <w:start w:val="2"/>
    </w:lvl>
  </w:abstractNum>
  <w:abstractNum w:abstractNumId="76">
    <w:nsid w:val="885E1B"/>
    <w:multiLevelType w:val="hybridMultilevel"/>
    <w:lvl w:ilvl="0">
      <w:lvlJc w:val="left"/>
      <w:lvlText w:val="%1."/>
      <w:numFmt w:val="decimal"/>
      <w:start w:val="6"/>
    </w:lvl>
  </w:abstractNum>
  <w:abstractNum w:abstractNumId="77">
    <w:nsid w:val="76272110"/>
    <w:multiLevelType w:val="hybridMultilevel"/>
    <w:lvl w:ilvl="0">
      <w:lvlJc w:val="left"/>
      <w:lvlText w:val="%1."/>
      <w:numFmt w:val="decimal"/>
      <w:start w:val="9"/>
    </w:lvl>
  </w:abstractNum>
  <w:abstractNum w:abstractNumId="78">
    <w:nsid w:val="4C04A8AF"/>
    <w:multiLevelType w:val="hybridMultilevel"/>
    <w:lvl w:ilvl="0">
      <w:lvlJc w:val="left"/>
      <w:lvlText w:val="(%1)"/>
      <w:numFmt w:val="lowerLetter"/>
      <w:start w:val="2"/>
    </w:lvl>
  </w:abstractNum>
  <w:abstractNum w:abstractNumId="79">
    <w:nsid w:val="1716703B"/>
    <w:multiLevelType w:val="hybridMultilevel"/>
    <w:lvl w:ilvl="0">
      <w:lvlJc w:val="left"/>
      <w:lvlText w:val="(%1)"/>
      <w:numFmt w:val="lowerLetter"/>
      <w:start w:val="3"/>
    </w:lvl>
  </w:abstractNum>
  <w:abstractNum w:abstractNumId="80">
    <w:nsid w:val="14E17E33"/>
    <w:multiLevelType w:val="hybridMultilevel"/>
    <w:lvl w:ilvl="0">
      <w:lvlJc w:val="left"/>
      <w:lvlText w:val="%1."/>
      <w:numFmt w:val="decimal"/>
      <w:start w:val="11"/>
    </w:lvl>
  </w:abstractNum>
  <w:abstractNum w:abstractNumId="81">
    <w:nsid w:val="3222E7CD"/>
    <w:multiLevelType w:val="hybridMultilevel"/>
    <w:lvl w:ilvl="0">
      <w:lvlJc w:val="left"/>
      <w:lvlText w:val="%1."/>
      <w:numFmt w:val="decimal"/>
      <w:start w:val="13"/>
    </w:lvl>
  </w:abstractNum>
  <w:abstractNum w:abstractNumId="82">
    <w:nsid w:val="74DE0EE3"/>
    <w:multiLevelType w:val="hybridMultilevel"/>
    <w:lvl w:ilvl="0">
      <w:lvlJc w:val="left"/>
      <w:lvlText w:val="(%1)"/>
      <w:numFmt w:val="lowerLetter"/>
      <w:start w:val="2"/>
    </w:lvl>
  </w:abstractNum>
  <w:abstractNum w:abstractNumId="83">
    <w:nsid w:val="68EBC550"/>
    <w:multiLevelType w:val="hybridMultilevel"/>
    <w:lvl w:ilvl="0">
      <w:lvlJc w:val="left"/>
      <w:lvlText w:val="%1."/>
      <w:numFmt w:val="decimal"/>
      <w:start w:val="15"/>
    </w:lvl>
  </w:abstractNum>
  <w:abstractNum w:abstractNumId="84">
    <w:nsid w:val="2DF6D648"/>
    <w:multiLevelType w:val="hybridMultilevel"/>
    <w:lvl w:ilvl="0">
      <w:lvlJc w:val="left"/>
      <w:lvlText w:val="(%1)"/>
      <w:numFmt w:val="lowerLetter"/>
      <w:start w:val="2"/>
    </w:lvl>
  </w:abstractNum>
  <w:abstractNum w:abstractNumId="85">
    <w:nsid w:val="46B7D447"/>
    <w:multiLevelType w:val="hybridMultilevel"/>
    <w:lvl w:ilvl="0">
      <w:lvlJc w:val="left"/>
      <w:lvlText w:val="(%1)"/>
      <w:numFmt w:val="lowerLetter"/>
      <w:start w:val="6"/>
    </w:lvl>
  </w:abstractNum>
  <w:abstractNum w:abstractNumId="86">
    <w:nsid w:val="4A2AC315"/>
    <w:multiLevelType w:val="hybridMultilevel"/>
    <w:lvl w:ilvl="0">
      <w:lvlJc w:val="left"/>
      <w:lvlText w:val="%1."/>
      <w:numFmt w:val="decimal"/>
      <w:start w:val="17"/>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lvl w:ilvl="1">
      <w:lvlJc w:val="left"/>
      <w:lvlText w:val="%2."/>
      <w:numFmt w:val="lowerLetter"/>
      <w:start w:val="2"/>
    </w:lvl>
  </w:abstractNum>
  <w:abstractNum w:abstractNumId="89">
    <w:nsid w:val="CC1016F"/>
    <w:multiLevelType w:val="hybridMultilevel"/>
    <w:lvl w:ilvl="0">
      <w:lvlJc w:val="left"/>
      <w:lvlText w:val="%1."/>
      <w:numFmt w:val="decimal"/>
      <w:start w:val="5"/>
    </w:lvl>
    <w:lvl w:ilvl="1">
      <w:lvlJc w:val="left"/>
      <w:lvlText w:val="%2"/>
      <w:numFmt w:val="lowerLetter"/>
      <w:start w:val="1"/>
    </w:lvl>
  </w:abstractNum>
  <w:abstractNum w:abstractNumId="90">
    <w:nsid w:val="43F18422"/>
    <w:multiLevelType w:val="hybridMultilevel"/>
    <w:lvl w:ilvl="0">
      <w:lvlJc w:val="left"/>
      <w:lvlText w:val="%1."/>
      <w:numFmt w:val="decimal"/>
      <w:start w:val="6"/>
    </w:lvl>
    <w:lvl w:ilvl="1">
      <w:lvlJc w:val="left"/>
      <w:lvlText w:val="%2."/>
      <w:numFmt w:val="lowerLetter"/>
      <w:start w:val="2"/>
    </w:lvl>
  </w:abstractNum>
  <w:abstractNum w:abstractNumId="91">
    <w:nsid w:val="60EF0119"/>
    <w:multiLevelType w:val="hybridMultilevel"/>
    <w:lvl w:ilvl="0">
      <w:lvlJc w:val="left"/>
      <w:lvlText w:val="%1."/>
      <w:numFmt w:val="decimal"/>
      <w:start w:val="10"/>
    </w:lvl>
    <w:lvl w:ilvl="1">
      <w:lvlJc w:val="left"/>
      <w:lvlText w:val="%2."/>
      <w:numFmt w:val="lowerLetter"/>
      <w:start w:val="2"/>
    </w:lvl>
  </w:abstractNum>
  <w:abstractNum w:abstractNumId="92">
    <w:nsid w:val="26F324BA"/>
    <w:multiLevelType w:val="hybridMultilevel"/>
    <w:lvl w:ilvl="0">
      <w:lvlJc w:val="left"/>
      <w:lvlText w:val="%1."/>
      <w:numFmt w:val="decimal"/>
      <w:start w:val="17"/>
    </w:lvl>
  </w:abstractNum>
  <w:abstractNum w:abstractNumId="93">
    <w:nsid w:val="7F01579B"/>
    <w:multiLevelType w:val="hybridMultilevel"/>
    <w:lvl w:ilvl="0">
      <w:lvlJc w:val="left"/>
      <w:lvlText w:val="(%1)"/>
      <w:numFmt w:val="lowerLetter"/>
      <w:start w:val="1"/>
    </w:lvl>
    <w:lvl w:ilvl="1">
      <w:lvlJc w:val="left"/>
      <w:lvlText w:val="•"/>
      <w:numFmt w:val="bullet"/>
      <w:start w:val="1"/>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09" Type="http://schemas.openxmlformats.org/officeDocument/2006/relationships/hyperlink" Target="http://www.sec.gov/Archives/edgar/data/1311370/000119312505056426/dex31.htm" TargetMode="External"/><Relationship Id="rId110" Type="http://schemas.openxmlformats.org/officeDocument/2006/relationships/hyperlink" Target="http://www.sec.gov/Archives/edgar/data/1311370/000119312505056426/dex32.htm" TargetMode="External"/><Relationship Id="rId111" Type="http://schemas.openxmlformats.org/officeDocument/2006/relationships/hyperlink" Target="http://www.sec.gov/Archives/edgar/data/1311370/000119312505126336/dex33.htm" TargetMode="External"/><Relationship Id="rId112" Type="http://schemas.openxmlformats.org/officeDocument/2006/relationships/hyperlink" Target="http://www.sec.gov/Archives/edgar/data/1311370/000119312508108332/dex34.htm" TargetMode="External"/><Relationship Id="rId113" Type="http://schemas.openxmlformats.org/officeDocument/2006/relationships/hyperlink" Target="http://www.sec.gov/Archives/edgar/data/1311370/000119312510102269/dex35.htm" TargetMode="External"/><Relationship Id="rId114" Type="http://schemas.openxmlformats.org/officeDocument/2006/relationships/hyperlink" Target="http://www.sec.gov/Archives/edgar/data/1311370/000119312505073325/dex41.htm" TargetMode="External"/><Relationship Id="rId115" Type="http://schemas.openxmlformats.org/officeDocument/2006/relationships/hyperlink" Target="http://www.sec.gov/Archives/edgar/data/1326141/000119312505145683/dex41.htm" TargetMode="External"/><Relationship Id="rId116" Type="http://schemas.openxmlformats.org/officeDocument/2006/relationships/hyperlink" Target="http://www.sec.gov/Archives/edgar/data/1311370/000119312507140226/dex41.htm" TargetMode="External"/><Relationship Id="rId117" Type="http://schemas.openxmlformats.org/officeDocument/2006/relationships/hyperlink" Target="http://www.sec.gov/Archives/edgar/data/1311370/000119312513442315/d627962dex41.htm" TargetMode="External"/><Relationship Id="rId118" Type="http://schemas.openxmlformats.org/officeDocument/2006/relationships/hyperlink" Target="http://www.sec.gov/Archives/edgar/data/1311370/000119312515050385/d871111dex41.htm" TargetMode="External"/><Relationship Id="rId119" Type="http://schemas.openxmlformats.org/officeDocument/2006/relationships/hyperlink" Target="http://www.sec.gov/Archives/edgar/data/1311370/000119312516760477/d43064dex41.htm" TargetMode="External"/><Relationship Id="rId120" Type="http://schemas.openxmlformats.org/officeDocument/2006/relationships/hyperlink" Target="http://www.sec.gov/Archives/edgar/data/1311370/000119312515355042/d41332dex101.htm" TargetMode="External"/><Relationship Id="rId121" Type="http://schemas.openxmlformats.org/officeDocument/2006/relationships/hyperlink" Target="http://www.sec.gov/Archives/edgar/data/1311370/000156459016026505/laz-ex102_1418.htm" TargetMode="External"/><Relationship Id="rId122" Type="http://schemas.openxmlformats.org/officeDocument/2006/relationships/hyperlink" Target="http://www.sec.gov/Archives/edgar/data/1311370/000119312515355042/d41332dex102.htm" TargetMode="External"/><Relationship Id="rId123" Type="http://schemas.openxmlformats.org/officeDocument/2006/relationships/hyperlink" Target="http://www.sec.gov/Archives/edgar/data/1311370/000119312505025486/dex1019.htm" TargetMode="External"/><Relationship Id="rId124" Type="http://schemas.openxmlformats.org/officeDocument/2006/relationships/hyperlink" Target="http://www.sec.gov/Archives/edgar/data/1311370/000119312511117012/dex1016.htm" TargetMode="External"/><Relationship Id="rId125" Type="http://schemas.openxmlformats.org/officeDocument/2006/relationships/hyperlink" Target="http://www.sec.gov/Archives/edgar/data/1311370/000119312505025486/dex1021.htm" TargetMode="External"/><Relationship Id="rId128" Type="http://schemas.openxmlformats.org/officeDocument/2006/relationships/hyperlink" Target="http://www.sec.gov/Archives/edgar/data/1311370/000119312505091140/dex1021.htm" TargetMode="External"/><Relationship Id="rId129" Type="http://schemas.openxmlformats.org/officeDocument/2006/relationships/hyperlink" Target="http://www.sec.gov/Archives/edgar/data/1311370/000119312508063107/ddef14a.htm" TargetMode="External"/><Relationship Id="rId130" Type="http://schemas.openxmlformats.org/officeDocument/2006/relationships/hyperlink" Target="http://www.sec.gov/Archives/edgar/data/1311370/000119312516500308/d128121ddef14a.htm" TargetMode="External"/><Relationship Id="rId131" Type="http://schemas.openxmlformats.org/officeDocument/2006/relationships/hyperlink" Target="http://www.sec.gov/Archives/edgar/data/1311370/000119312516556959/d150073dex109.htm" TargetMode="External"/><Relationship Id="rId132" Type="http://schemas.openxmlformats.org/officeDocument/2006/relationships/hyperlink" Target="http://www.sec.gov/Archives/edgar/data/1311370/000119312516556959/d150073dex1010.htm" TargetMode="External"/><Relationship Id="rId133" Type="http://schemas.openxmlformats.org/officeDocument/2006/relationships/hyperlink" Target="http://www.sec.gov/Archives/edgar/data/1311370/000119312516556959/d150073dex1011.htm" TargetMode="External"/><Relationship Id="rId134" Type="http://schemas.openxmlformats.org/officeDocument/2006/relationships/hyperlink" Target="http://www.sec.gov/Archives/edgar/data/1311370/000119312516556959/d150073dex1012.htm" TargetMode="External"/><Relationship Id="rId135" Type="http://schemas.openxmlformats.org/officeDocument/2006/relationships/hyperlink" Target="http://www.sec.gov/Archives/edgar/data/1311370/000119312516556959/d150073dex1013.htm" TargetMode="External"/><Relationship Id="rId136" Type="http://schemas.openxmlformats.org/officeDocument/2006/relationships/hyperlink" Target="http://www.sec.gov/Archives/edgar/data/1311370/000089882205001180/sept9_exhibit.txt" TargetMode="External"/><Relationship Id="rId137" Type="http://schemas.openxmlformats.org/officeDocument/2006/relationships/hyperlink" Target="http://www.sec.gov/Archives/edgar/data/1311370/000119312509041325/dex1041.htm" TargetMode="External"/><Relationship Id="rId138" Type="http://schemas.openxmlformats.org/officeDocument/2006/relationships/hyperlink" Target="http://www.sec.gov/Archives/edgar/data/1311370/000119312509041325/dex1042.htm" TargetMode="External"/><Relationship Id="rId139" Type="http://schemas.openxmlformats.org/officeDocument/2006/relationships/hyperlink" Target="http://www.sec.gov/Archives/edgar/data/1311370/000119312506109044/dex1039.htm" TargetMode="External"/><Relationship Id="rId140" Type="http://schemas.openxmlformats.org/officeDocument/2006/relationships/hyperlink" Target="http://www.sec.gov/Archives/edgar/data/1311370/000119312515355042/d41332dex1027.htm" TargetMode="External"/><Relationship Id="rId141" Type="http://schemas.openxmlformats.org/officeDocument/2006/relationships/hyperlink" Target="http://www.sec.gov/Archives/edgar/data/1311370/000119312513188120/d498095dex1055.htm" TargetMode="External"/><Relationship Id="rId142" Type="http://schemas.openxmlformats.org/officeDocument/2006/relationships/hyperlink" Target="http://www.sec.gov/Archives/edgar/data/1311370/000119312514184963/d687179dex1055.htm" TargetMode="External"/><Relationship Id="rId143" Type="http://schemas.openxmlformats.org/officeDocument/2006/relationships/hyperlink" Target="http://www.sec.gov/Archives/edgar/data/1311370/000119312514184963/d687179dex105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2019-12-29T04:32:20Z</dcterms:created>
  <dcterms:modified xsi:type="dcterms:W3CDTF">2019-12-29T04:32:20Z</dcterms:modified>
</cp:coreProperties>
</file>