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31"/>
        </w:trPr>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80" w:type="dxa"/>
            <w:vAlign w:val="bottom"/>
          </w:tcPr>
          <w:p>
            <w:pPr>
              <w:jc w:val="center"/>
              <w:ind w:left="73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49"/>
        </w:trPr>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80" w:type="dxa"/>
            <w:vAlign w:val="bottom"/>
          </w:tcPr>
          <w:p>
            <w:pPr>
              <w:spacing w:after="0"/>
              <w:rPr>
                <w:sz w:val="12"/>
                <w:szCs w:val="12"/>
                <w:color w:val="auto"/>
              </w:rPr>
            </w:pPr>
          </w:p>
        </w:tc>
      </w:tr>
      <w:tr>
        <w:trPr>
          <w:trHeight w:val="249"/>
        </w:trPr>
        <w:tc>
          <w:tcPr>
            <w:tcW w:w="2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60" w:type="dxa"/>
            <w:vAlign w:val="bottom"/>
            <w:gridSpan w:val="2"/>
          </w:tcPr>
          <w:p>
            <w:pPr>
              <w:jc w:val="center"/>
              <w:ind w:right="2812"/>
              <w:spacing w:after="0"/>
              <w:rPr>
                <w:sz w:val="20"/>
                <w:szCs w:val="20"/>
                <w:color w:val="auto"/>
              </w:rPr>
            </w:pPr>
            <w:r>
              <w:rPr>
                <w:rFonts w:ascii="Arial" w:cs="Arial" w:eastAsia="Arial" w:hAnsi="Arial"/>
                <w:sz w:val="18"/>
                <w:szCs w:val="18"/>
                <w:b w:val="1"/>
                <w:bCs w:val="1"/>
                <w:color w:val="auto"/>
                <w:w w:val="88"/>
              </w:rPr>
              <w:t>30 Rockefeller Plaza</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gridSpan w:val="2"/>
          </w:tcPr>
          <w:p>
            <w:pPr>
              <w:jc w:val="center"/>
              <w:ind w:right="2792"/>
              <w:spacing w:after="0"/>
              <w:rPr>
                <w:sz w:val="20"/>
                <w:szCs w:val="20"/>
                <w:color w:val="auto"/>
              </w:rPr>
            </w:pPr>
            <w:r>
              <w:rPr>
                <w:rFonts w:ascii="Arial" w:cs="Arial" w:eastAsia="Arial" w:hAnsi="Arial"/>
                <w:sz w:val="18"/>
                <w:szCs w:val="18"/>
                <w:b w:val="1"/>
                <w:bCs w:val="1"/>
                <w:color w:val="auto"/>
                <w:w w:val="90"/>
              </w:rPr>
              <w:t>New York, NY 10112</w:t>
            </w:r>
          </w:p>
        </w:tc>
      </w:tr>
      <w:tr>
        <w:trPr>
          <w:trHeight w:val="228"/>
        </w:trPr>
        <w:tc>
          <w:tcPr>
            <w:tcW w:w="2620" w:type="dxa"/>
            <w:vAlign w:val="bottom"/>
          </w:tcPr>
          <w:p>
            <w:pPr>
              <w:spacing w:after="0"/>
              <w:rPr>
                <w:sz w:val="19"/>
                <w:szCs w:val="19"/>
                <w:color w:val="auto"/>
              </w:rPr>
            </w:pPr>
          </w:p>
        </w:tc>
        <w:tc>
          <w:tcPr>
            <w:tcW w:w="5540" w:type="dxa"/>
            <w:vAlign w:val="bottom"/>
            <w:gridSpan w:val="3"/>
          </w:tcPr>
          <w:p>
            <w:pPr>
              <w:jc w:val="center"/>
              <w:ind w:right="2532"/>
              <w:spacing w:after="0"/>
              <w:rPr>
                <w:sz w:val="20"/>
                <w:szCs w:val="20"/>
                <w:color w:val="auto"/>
              </w:rPr>
            </w:pPr>
            <w:r>
              <w:rPr>
                <w:rFonts w:ascii="Arial" w:cs="Arial" w:eastAsia="Arial" w:hAnsi="Arial"/>
                <w:sz w:val="18"/>
                <w:szCs w:val="18"/>
                <w:b w:val="1"/>
                <w:bCs w:val="1"/>
                <w:color w:val="auto"/>
                <w:w w:val="86"/>
              </w:rPr>
              <w:t>(Address of principal executive offices)</w:t>
            </w:r>
          </w:p>
        </w:tc>
      </w:tr>
    </w:tbl>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(212)-632-6000</w:t>
      </w:r>
    </w:p>
    <w:p>
      <w:pPr>
        <w:spacing w:after="0" w:line="69"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As of July 17, 2015,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June 30, 2015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5">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6"/>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2015 and December 31, 2014</w:t>
              </w:r>
            </w:hyperlink>
          </w:p>
        </w:tc>
        <w:tc>
          <w:tcPr>
            <w:tcW w:w="37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6"/>
            <w:vMerge w:val="continue"/>
          </w:tcPr>
          <w:p>
            <w:pPr>
              <w:spacing w:after="0"/>
              <w:rPr>
                <w:sz w:val="13"/>
                <w:szCs w:val="13"/>
                <w:color w:val="auto"/>
              </w:rPr>
            </w:pPr>
          </w:p>
        </w:tc>
        <w:tc>
          <w:tcPr>
            <w:tcW w:w="370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0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w:t>
              </w:r>
            </w:hyperlink>
          </w:p>
        </w:tc>
        <w:tc>
          <w:tcPr>
            <w:tcW w:w="40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June 30, 2015 and 2014</w:t>
              </w:r>
            </w:hyperlink>
          </w:p>
        </w:tc>
        <w:tc>
          <w:tcPr>
            <w:tcW w:w="9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2015 and 2014</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4"/>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Members’ Equity for the six month periods ended June 30, 2015 and 2014</w:t>
              </w:r>
            </w:hyperlink>
          </w:p>
        </w:tc>
        <w:tc>
          <w:tcPr>
            <w:tcW w:w="2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140" w:type="dxa"/>
            <w:vAlign w:val="bottom"/>
          </w:tcPr>
          <w:p>
            <w:pPr>
              <w:jc w:val="right"/>
              <w:ind w:right="11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AND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689,549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33,726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$21,071 and $23,540 at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2015 and December 31, 2014,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443,682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504,886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557,928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609,226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0"/>
              </w:rPr>
              <w:t>Property (net of accumulated amortization and depreciation of $255,463 and $256,285 at June 30, 2015 and December 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213,744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222,569</w:t>
            </w:r>
          </w:p>
        </w:tc>
        <w:tc>
          <w:tcPr>
            <w:tcW w:w="0" w:type="dxa"/>
            <w:vAlign w:val="bottom"/>
          </w:tcPr>
          <w:p>
            <w:pPr>
              <w:spacing w:after="0"/>
              <w:rPr>
                <w:sz w:val="1"/>
                <w:szCs w:val="1"/>
                <w:color w:val="auto"/>
              </w:rPr>
            </w:pPr>
          </w:p>
        </w:tc>
      </w:tr>
      <w:tr>
        <w:trPr>
          <w:trHeight w:val="316"/>
        </w:trPr>
        <w:tc>
          <w:tcPr>
            <w:tcW w:w="8920" w:type="dxa"/>
            <w:vAlign w:val="bottom"/>
            <w:gridSpan w:val="2"/>
          </w:tcPr>
          <w:p>
            <w:pPr>
              <w:spacing w:after="0"/>
              <w:rPr>
                <w:sz w:val="20"/>
                <w:szCs w:val="20"/>
                <w:color w:val="auto"/>
              </w:rPr>
            </w:pPr>
            <w:r>
              <w:rPr>
                <w:rFonts w:ascii="Arial" w:cs="Arial" w:eastAsia="Arial" w:hAnsi="Arial"/>
                <w:sz w:val="18"/>
                <w:szCs w:val="18"/>
                <w:color w:val="auto"/>
                <w:w w:val="96"/>
              </w:rPr>
              <w:t>Goodwill and other intangible assets (net of accumulated amortization of $54,629 and $51,754 at June 30, 2015 and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December 31, 2014,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335,969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347,438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2,938,776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AND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375,835</w:t>
            </w:r>
          </w:p>
        </w:tc>
        <w:tc>
          <w:tcPr>
            <w:tcW w:w="4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316,602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387,467</w:t>
            </w:r>
          </w:p>
        </w:tc>
        <w:tc>
          <w:tcPr>
            <w:tcW w:w="4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998,350</w:t>
            </w:r>
          </w:p>
        </w:tc>
        <w:tc>
          <w:tcPr>
            <w:tcW w:w="4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1,048,350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Lazard Ltd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151,701</w:t>
            </w:r>
          </w:p>
        </w:tc>
        <w:tc>
          <w:tcPr>
            <w:tcW w:w="4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10,089</w:t>
            </w:r>
          </w:p>
        </w:tc>
        <w:tc>
          <w:tcPr>
            <w:tcW w:w="4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501,625</w:t>
            </w:r>
          </w:p>
        </w:tc>
        <w:tc>
          <w:tcPr>
            <w:tcW w:w="4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2,425,067</w:t>
            </w:r>
          </w:p>
        </w:tc>
        <w:tc>
          <w:tcPr>
            <w:tcW w:w="4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2,676,541</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Members’ equity (net of 2,332,300 and 5,663,243 shares of Lazard Ltd Class A common stock, at a cost of $114,593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$246,032 at June 30, 2015 and December 31, 2014, respectively)</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649,096</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(193,842)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(163,288)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Group LLC Members’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455,254</w:t>
            </w: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58,455</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513,709</w:t>
            </w: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2,938,776</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3,170,680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4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314,277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279,907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268,754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275,877</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530,709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2,620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620,463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584,105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1,214,457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17,300</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607,951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566,805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1,184,804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336,707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345,911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27,267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28,354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20,894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23,033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21,953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12,996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16,002</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446,815</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456,917</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943,057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161,136</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109,888</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241,747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146,672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94,010</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215,825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LESS - NET INCOME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5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5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145,629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93,457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208,089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$ 146,672</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$ 94,010</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$ 215,825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$ 183,541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20" w:type="dxa"/>
            <w:vAlign w:val="bottom"/>
            <w:shd w:val="clear" w:color="auto" w:fill="CCEEFF"/>
          </w:tcPr>
          <w:p>
            <w:pPr>
              <w:spacing w:after="0"/>
              <w:rPr>
                <w:sz w:val="18"/>
                <w:szCs w:val="18"/>
                <w:color w:val="auto"/>
              </w:rPr>
            </w:pPr>
          </w:p>
        </w:tc>
      </w:tr>
      <w:tr>
        <w:trPr>
          <w:trHeight w:val="323"/>
        </w:trPr>
        <w:tc>
          <w:tcPr>
            <w:tcW w:w="20" w:type="dxa"/>
            <w:vAlign w:val="bottom"/>
          </w:tcPr>
          <w:p>
            <w:pPr>
              <w:spacing w:after="0"/>
              <w:rPr>
                <w:sz w:val="24"/>
                <w:szCs w:val="24"/>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Actuarial loss (net of tax benefit of $8,121 and $3,600 for the three months ended June 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2015 and 2014, respectively, and $8,006 and $3,650 for the six months ended June 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2015 and 2014, respectively)</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(14,836)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(14,617)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(6,946)</w:t>
            </w:r>
          </w:p>
        </w:tc>
      </w:tr>
      <w:tr>
        <w:trPr>
          <w:trHeight w:val="208"/>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4"/>
              </w:rPr>
              <w:t>Adjustment for items reclassified to earnings (net of tax expense of $538 and $331 for the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060"/>
              <w:spacing w:after="0"/>
              <w:rPr>
                <w:sz w:val="20"/>
                <w:szCs w:val="20"/>
                <w:color w:val="auto"/>
              </w:rPr>
            </w:pPr>
            <w:r>
              <w:rPr>
                <w:rFonts w:ascii="Arial" w:cs="Arial" w:eastAsia="Arial" w:hAnsi="Arial"/>
                <w:sz w:val="18"/>
                <w:szCs w:val="18"/>
                <w:color w:val="auto"/>
                <w:w w:val="89"/>
              </w:rPr>
              <w:t>three months ended June 30, 2015 and 2014, respectively, and $1,101 and $863 for the six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620" w:type="dxa"/>
            <w:vAlign w:val="bottom"/>
          </w:tcPr>
          <w:p>
            <w:pPr>
              <w:ind w:left="1060"/>
              <w:spacing w:after="0"/>
              <w:rPr>
                <w:sz w:val="20"/>
                <w:szCs w:val="20"/>
                <w:color w:val="auto"/>
              </w:rPr>
            </w:pPr>
            <w:r>
              <w:rPr>
                <w:rFonts w:ascii="Arial" w:cs="Arial" w:eastAsia="Arial" w:hAnsi="Arial"/>
                <w:sz w:val="18"/>
                <w:szCs w:val="18"/>
                <w:color w:val="auto"/>
              </w:rPr>
              <w:t>months ended June 30, 2015 and 2014, respectively)</w:t>
            </w:r>
          </w:p>
        </w:tc>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CEEFF"/>
          </w:tcPr>
          <w:p>
            <w:pPr>
              <w:spacing w:after="0"/>
              <w:rPr>
                <w:sz w:val="18"/>
                <w:szCs w:val="18"/>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144,098</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92,095</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185,949</w:t>
            </w:r>
          </w:p>
        </w:tc>
        <w:tc>
          <w:tcPr>
            <w:tcW w:w="12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6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2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0"/>
                <w:szCs w:val="20"/>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$ 143,057</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$ 91,542</w:t>
            </w: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$ 177,535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$ 181,276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$ 215,825</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$ 183,541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15,900</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provision (benefit)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(3,943)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disposal of subsidiaries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(24,388)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 and short-term investments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(95,877)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8,438</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52,746</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(96,693)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78,229</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(209,205)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(13,438)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(13,102)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senior debt, net of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9,516</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debt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(509,098)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(1,019)</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(11,930)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(141,323)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(141,192)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 to members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(40,839)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(102,634)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(402,632)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(284,388)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(227,663)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(220,601)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$ 689,549</w:t>
            </w:r>
          </w:p>
        </w:tc>
        <w:tc>
          <w:tcPr>
            <w:tcW w:w="1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$ 611,676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Lazard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Group</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Members’</w:t>
            </w: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Members’</w:t>
            </w:r>
          </w:p>
        </w:tc>
        <w:tc>
          <w:tcPr>
            <w:tcW w:w="200" w:type="dxa"/>
            <w:vAlign w:val="bottom"/>
          </w:tcPr>
          <w:p>
            <w:pPr>
              <w:spacing w:after="0"/>
              <w:rPr>
                <w:sz w:val="12"/>
                <w:szCs w:val="12"/>
                <w:color w:val="auto"/>
              </w:rPr>
            </w:pP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Net of Tax</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2014 (*)</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$ 571,668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(102,196)</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$ 469,472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183,541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 net of tax</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2,408</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112,308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112,308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(73,194)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(73,194)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(5,448)</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(78,642)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(141,192)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(141,192)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(141,192)</w:t>
            </w:r>
          </w:p>
        </w:tc>
        <w:tc>
          <w:tcPr>
            <w:tcW w:w="0" w:type="dxa"/>
            <w:vAlign w:val="bottom"/>
          </w:tcPr>
          <w:p>
            <w:pPr>
              <w:spacing w:after="0"/>
              <w:rPr>
                <w:sz w:val="1"/>
                <w:szCs w:val="1"/>
                <w:color w:val="auto"/>
              </w:rPr>
            </w:pPr>
          </w:p>
        </w:tc>
      </w:tr>
      <w:tr>
        <w:trPr>
          <w:trHeight w:val="208"/>
        </w:trPr>
        <w:tc>
          <w:tcPr>
            <w:tcW w:w="5620" w:type="dxa"/>
            <w:vAlign w:val="bottom"/>
            <w:gridSpan w:val="2"/>
          </w:tcPr>
          <w:p>
            <w:pPr>
              <w:spacing w:after="0"/>
              <w:rPr>
                <w:sz w:val="20"/>
                <w:szCs w:val="20"/>
                <w:color w:val="auto"/>
              </w:rPr>
            </w:pPr>
            <w:r>
              <w:rPr>
                <w:rFonts w:ascii="Arial" w:cs="Arial" w:eastAsia="Arial" w:hAnsi="Arial"/>
                <w:sz w:val="18"/>
                <w:szCs w:val="18"/>
                <w:color w:val="auto"/>
                <w:w w:val="97"/>
              </w:rPr>
              <w:t>Delivery of Lazard Ltd Class A common stock in connection with shared-</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ind w:left="220"/>
              <w:spacing w:after="0"/>
              <w:rPr>
                <w:sz w:val="20"/>
                <w:szCs w:val="20"/>
                <w:color w:val="auto"/>
              </w:rPr>
            </w:pPr>
            <w:r>
              <w:rPr>
                <w:rFonts w:ascii="Arial" w:cs="Arial" w:eastAsia="Arial" w:hAnsi="Arial"/>
                <w:sz w:val="18"/>
                <w:szCs w:val="18"/>
                <w:color w:val="auto"/>
                <w:w w:val="94"/>
              </w:rPr>
              <w:t>based incentive compensation awards and related tax benefit of $1,776</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(80,750)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(80,750)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(80,750)</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June 30, 2014 (*)</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$ 565,181</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(99,788)</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$ 465,393</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65,879</w:t>
            </w: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$ 531,272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2014 and June 30, 2014.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8"/>
              </w:rPr>
              <w:t>Net of Tax</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2015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$ 594,834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(163,288)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$ 431,546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$ 494,139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208,089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208,089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215,825</w:t>
            </w: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98"/>
              <w:spacing w:after="0"/>
              <w:rPr>
                <w:sz w:val="20"/>
                <w:szCs w:val="20"/>
                <w:color w:val="auto"/>
              </w:rPr>
            </w:pPr>
            <w:r>
              <w:rPr>
                <w:rFonts w:ascii="Arial" w:cs="Arial" w:eastAsia="Arial" w:hAnsi="Arial"/>
                <w:sz w:val="18"/>
                <w:szCs w:val="18"/>
                <w:color w:val="auto"/>
              </w:rPr>
              <w:t>(30,554)</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(30,554)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(30,555)</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122,793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122,793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122,793</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(40,839)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(40,839)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(11,873)</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(52,712)</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8"/>
              </w:rPr>
              <w:t>(141,323)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(141,323)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(141,323)</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w w:val="99"/>
              </w:rPr>
              <w:t>Delivery of Lazard Ltd Class A common stock in connection with share-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gridSpan w:val="2"/>
          </w:tcPr>
          <w:p>
            <w:pPr>
              <w:ind w:left="220"/>
              <w:spacing w:after="0"/>
              <w:rPr>
                <w:sz w:val="20"/>
                <w:szCs w:val="20"/>
                <w:color w:val="auto"/>
              </w:rPr>
            </w:pPr>
            <w:r>
              <w:rPr>
                <w:rFonts w:ascii="Arial" w:cs="Arial" w:eastAsia="Arial" w:hAnsi="Arial"/>
                <w:sz w:val="18"/>
                <w:szCs w:val="18"/>
                <w:color w:val="auto"/>
                <w:w w:val="95"/>
              </w:rPr>
              <w:t>based incentive compensation awards and related tax benefit of $9,495</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(93,139)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(93,139)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(93,139)</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gridSpan w:val="2"/>
          </w:tcPr>
          <w:p>
            <w:pPr>
              <w:ind w:left="660"/>
              <w:spacing w:after="0"/>
              <w:rPr>
                <w:sz w:val="20"/>
                <w:szCs w:val="20"/>
                <w:color w:val="auto"/>
              </w:rPr>
            </w:pPr>
            <w:r>
              <w:rPr>
                <w:rFonts w:ascii="Arial" w:cs="Arial" w:eastAsia="Arial" w:hAnsi="Arial"/>
                <w:sz w:val="18"/>
                <w:szCs w:val="18"/>
                <w:color w:val="auto"/>
              </w:rPr>
              <w:t>amortization)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(1,634)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(1,634)</w:t>
            </w: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 June 30, 2015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$ 649,096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(193,842</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$ 455,254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$ 513,709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2015 and June 30, 2015. Also includes profit participation interests and two managing member interests issued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Lazard Ltd indirectly held 100% of all outstanding Lazard Group common membership interests as of June 30, 2015 and December 31, 2014.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2014 (the “Form 10-K”). The accompanying December 31, 2014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2015 are not necessarily indicative of the results to be expected for any future interim or annual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Certain prior period amounts have been reclassified to conform to the current period presentation, primarily by separately presenting deferred tax assets in the condensed consolidated statements of financial condition and the condensed 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Financial Accounting Standards Board (the “FASB”) issued comprehensive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—In February 2015, the FASB issued updated guidance for the consolidation of certain legal entities.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requires a company to remove from within the fair value hierarchy all investments for which fair value is measured using NAV.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but does expect that this guidance will affect the disclosures related to investments and fair value measurements.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and amounts due from customers and other receivables.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six month periods ended June 30, 2015 and 2014 was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$18,459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$31,324</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$23,540</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2,061</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(1,633)</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3,293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(5,762)</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21,071</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29,943</w:t>
            </w:r>
          </w:p>
        </w:tc>
        <w:tc>
          <w:tcPr>
            <w:tcW w:w="520" w:type="dxa"/>
            <w:vAlign w:val="bottom"/>
          </w:tcPr>
          <w:p>
            <w:pPr>
              <w:spacing w:after="0"/>
              <w:rPr>
                <w:sz w:val="19"/>
                <w:szCs w:val="19"/>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29,943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Bad debt expense, net of recoveries is included in “investment banking and other advisory fees” on the condensed consolidated statements of operations.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2015 and December 31, 2014, the Company had receivables past due or deemed uncollectible of $22,833 and $24,578, respectively.</w:t>
      </w:r>
    </w:p>
    <w:p>
      <w:pPr>
        <w:spacing w:after="0" w:line="19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Of the Company’s fee receivables at June 30, 2015 and December 31, 2014, $81,302 and $86,221,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$423,584 and $471,707 at June 30, 2015 and December 31, 2014, respectively, approximates fair value.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2015 and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61,979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232,244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101,802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428,272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546,553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483,289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516,875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3,515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$12,153, $32,226 and $170,003, respectively, at June 30, 2015 and $8,321, $42,070 and $162,798, respectively, at December 31, 2014,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 of Notes to Condensed Consolidated Financial Statements).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debt fund held by the Company’s broker-dealer subsidiary.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2 (“COF2”), an Australian fund targeting Australian mid-market investments.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 revenue-other” on the condensed consolidated statements of operations for the three month and six month periods ended June 30, 2015. See Note 5 of Notes to Condensed Consolidated Financial Statements.</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During the three month and six month periods ended June 30, 2015 and 2014, the Company reported in “revenue-other” on its condensed consolidated statements of operations net unrealized investment gains and losses pertaining to “trading” securities still held as of the reporting date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Three Months Ended</w:t>
            </w: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700" w:type="dxa"/>
            <w:vAlign w:val="bottom"/>
          </w:tcPr>
          <w:p>
            <w:pPr>
              <w:spacing w:after="0"/>
              <w:rPr>
                <w:sz w:val="14"/>
                <w:szCs w:val="14"/>
                <w:color w:val="auto"/>
              </w:rPr>
            </w:pPr>
          </w:p>
        </w:tc>
        <w:tc>
          <w:tcPr>
            <w:tcW w:w="2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700" w:type="dxa"/>
            <w:vAlign w:val="bottom"/>
          </w:tcPr>
          <w:p>
            <w:pPr>
              <w:spacing w:after="0"/>
              <w:rPr>
                <w:sz w:val="12"/>
                <w:szCs w:val="12"/>
                <w:color w:val="auto"/>
              </w:rPr>
            </w:pPr>
          </w:p>
        </w:tc>
        <w:tc>
          <w:tcPr>
            <w:tcW w:w="60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56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$(3,206)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$12,754</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(1,211)</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fair value of investments in alternative investment funds is classified as Level 1 when the fair values are primarily based on the publicly reported closing price for the fund, and classified as Level 2 when (i) the fair values are primarily based on NAV or its equivalent, which is primarily determined based on information provided by external fund administrators, and (ii) the investments are redeemable within the near term.</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fair value of investments in private equity funds is classified as Level 3, and is primarily based on NAV or its equivalent, except for certain investments that are valued based on potential transaction value. Such investments are not redeemable within the near term.</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June 30, 2015 and December 31, 2014 within the fair value hierarchy: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51,848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53,147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32,247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61,973</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61,979</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232,197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232,244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101,802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355,077</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26,693</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484,871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203,273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203,273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203,273</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206,788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55,987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57,302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34,705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34,705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71,759</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228,166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228,209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114,470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361,452</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115,785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519,230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208,093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208,093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208,093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217,383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2015 and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5"/>
          </w:tcPr>
          <w:p>
            <w:pPr>
              <w:jc w:val="right"/>
              <w:ind w:right="520"/>
              <w:spacing w:after="0"/>
              <w:rPr>
                <w:sz w:val="20"/>
                <w:szCs w:val="20"/>
                <w:color w:val="auto"/>
              </w:rPr>
            </w:pPr>
            <w:r>
              <w:rPr>
                <w:rFonts w:ascii="Arial" w:cs="Arial" w:eastAsia="Arial" w:hAnsi="Arial"/>
                <w:sz w:val="14"/>
                <w:szCs w:val="14"/>
                <w:b w:val="1"/>
                <w:bCs w:val="1"/>
                <w:color w:val="auto"/>
                <w:w w:val="95"/>
              </w:rPr>
              <w:t>Three Months Ended June 30, 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7"/>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Realized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Included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Translation</w:t>
            </w: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Other (a)</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4"/>
                <w:szCs w:val="14"/>
                <w:color w:val="auto"/>
              </w:rPr>
            </w:pPr>
          </w:p>
        </w:tc>
        <w:tc>
          <w:tcPr>
            <w:tcW w:w="11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0"/>
              </w:rPr>
              <w:t>Adjustments</w:t>
            </w: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1,289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107,440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(7,354)</w:t>
            </w:r>
          </w:p>
        </w:tc>
        <w:tc>
          <w:tcPr>
            <w:tcW w:w="3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5"/>
              </w:rPr>
              <w:t>1,524</w:t>
            </w:r>
          </w:p>
        </w:tc>
        <w:tc>
          <w:tcPr>
            <w:tcW w:w="8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vMerge w:val="continue"/>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108,729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(7,354)</w:t>
            </w:r>
          </w:p>
        </w:tc>
        <w:tc>
          <w:tcPr>
            <w:tcW w:w="34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5"/>
              </w:rPr>
              <w:t>1,526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103,101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Six Months Ended June 30, 2015</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Realized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Included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8"/>
          </w:tcPr>
          <w:p>
            <w:pPr>
              <w:jc w:val="right"/>
              <w:ind w:right="72"/>
              <w:spacing w:after="0" w:line="149" w:lineRule="exact"/>
              <w:rPr>
                <w:sz w:val="20"/>
                <w:szCs w:val="20"/>
                <w:color w:val="auto"/>
              </w:rPr>
            </w:pPr>
            <w:r>
              <w:rPr>
                <w:rFonts w:ascii="Arial" w:cs="Arial" w:eastAsia="Arial" w:hAnsi="Arial"/>
                <w:sz w:val="14"/>
                <w:szCs w:val="14"/>
                <w:b w:val="1"/>
                <w:bCs w:val="1"/>
                <w:color w:val="auto"/>
                <w:w w:val="93"/>
              </w:rPr>
              <w:t>Beginning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Sales/</w:t>
            </w:r>
          </w:p>
        </w:tc>
        <w:tc>
          <w:tcPr>
            <w:tcW w:w="80" w:type="dxa"/>
            <w:vAlign w:val="bottom"/>
          </w:tcPr>
          <w:p>
            <w:pPr>
              <w:spacing w:after="0"/>
              <w:rPr>
                <w:sz w:val="12"/>
                <w:szCs w:val="12"/>
                <w:color w:val="auto"/>
              </w:rPr>
            </w:pPr>
          </w:p>
        </w:tc>
        <w:tc>
          <w:tcPr>
            <w:tcW w:w="11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7"/>
          </w:tcPr>
          <w:p>
            <w:pPr>
              <w:jc w:val="right"/>
              <w:ind w:right="132"/>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Other (a)</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7"/>
              </w:rPr>
              <w:t>Acquisitions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4"/>
                <w:szCs w:val="14"/>
                <w:color w:val="auto"/>
              </w:rPr>
            </w:pPr>
          </w:p>
        </w:tc>
        <w:tc>
          <w:tcPr>
            <w:tcW w:w="11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1,315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74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4"/>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98"/>
              </w:rPr>
              <w:t>114,470</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(17,885)</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w w:val="98"/>
              </w:rPr>
              <w:t>115,785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7,912</w:t>
            </w:r>
          </w:p>
        </w:tc>
        <w:tc>
          <w:tcPr>
            <w:tcW w:w="40" w:type="dxa"/>
            <w:vAlign w:val="bottom"/>
          </w:tcPr>
          <w:p>
            <w:pPr>
              <w:spacing w:after="0"/>
              <w:rPr>
                <w:sz w:val="19"/>
                <w:szCs w:val="19"/>
                <w:color w:val="auto"/>
              </w:rPr>
            </w:pPr>
          </w:p>
        </w:tc>
        <w:tc>
          <w:tcPr>
            <w:tcW w:w="74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7"/>
          </w:tcPr>
          <w:p>
            <w:pPr>
              <w:jc w:val="right"/>
              <w:ind w:right="300"/>
              <w:spacing w:after="0"/>
              <w:rPr>
                <w:sz w:val="20"/>
                <w:szCs w:val="20"/>
                <w:color w:val="auto"/>
              </w:rPr>
            </w:pPr>
            <w:r>
              <w:rPr>
                <w:rFonts w:ascii="Arial" w:cs="Arial" w:eastAsia="Arial" w:hAnsi="Arial"/>
                <w:sz w:val="18"/>
                <w:szCs w:val="18"/>
                <w:color w:val="auto"/>
              </w:rPr>
              <w:t>$ (17,885)</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103,101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5"/>
          </w:tcPr>
          <w:p>
            <w:pPr>
              <w:jc w:val="right"/>
              <w:ind w:right="540"/>
              <w:spacing w:after="0"/>
              <w:rPr>
                <w:sz w:val="20"/>
                <w:szCs w:val="20"/>
                <w:color w:val="auto"/>
              </w:rPr>
            </w:pPr>
            <w:r>
              <w:rPr>
                <w:rFonts w:ascii="Arial" w:cs="Arial" w:eastAsia="Arial" w:hAnsi="Arial"/>
                <w:sz w:val="14"/>
                <w:szCs w:val="14"/>
                <w:b w:val="1"/>
                <w:bCs w:val="1"/>
                <w:color w:val="auto"/>
                <w:w w:val="94"/>
              </w:rPr>
              <w:t>Three Months Ended June 30, 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8"/>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Realized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8"/>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w w:val="83"/>
              </w:rPr>
              <w:t>Sales/</w:t>
            </w:r>
          </w:p>
        </w:tc>
        <w:tc>
          <w:tcPr>
            <w:tcW w:w="80" w:type="dxa"/>
            <w:vAlign w:val="bottom"/>
          </w:tcPr>
          <w:p>
            <w:pPr>
              <w:spacing w:after="0"/>
              <w:rPr>
                <w:sz w:val="12"/>
                <w:szCs w:val="12"/>
                <w:color w:val="auto"/>
              </w:rPr>
            </w:pPr>
          </w:p>
        </w:tc>
        <w:tc>
          <w:tcPr>
            <w:tcW w:w="11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Translation</w:t>
            </w: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Other (a)</w:t>
            </w:r>
          </w:p>
        </w:tc>
        <w:tc>
          <w:tcPr>
            <w:tcW w:w="360" w:type="dxa"/>
            <w:vAlign w:val="bottom"/>
          </w:tcPr>
          <w:p>
            <w:pPr>
              <w:spacing w:after="0"/>
              <w:rPr>
                <w:sz w:val="14"/>
                <w:szCs w:val="14"/>
                <w:color w:val="auto"/>
              </w:rPr>
            </w:pPr>
          </w:p>
        </w:tc>
        <w:tc>
          <w:tcPr>
            <w:tcW w:w="1080" w:type="dxa"/>
            <w:vAlign w:val="bottom"/>
            <w:gridSpan w:val="7"/>
          </w:tcPr>
          <w:p>
            <w:pPr>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rPr>
              <w:t>Dispositions</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115,537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30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vMerge w:val="continue"/>
          </w:tcPr>
          <w:p>
            <w:pPr>
              <w:spacing w:after="0"/>
              <w:rPr>
                <w:sz w:val="19"/>
                <w:szCs w:val="19"/>
                <w:color w:val="auto"/>
              </w:rPr>
            </w:pPr>
          </w:p>
        </w:tc>
        <w:tc>
          <w:tcPr>
            <w:tcW w:w="14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116,874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Six Months Ended June 30, 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Realized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7"/>
          </w:tcPr>
          <w:p>
            <w:pPr>
              <w:jc w:val="right"/>
              <w:ind w:right="52"/>
              <w:spacing w:after="0" w:line="149" w:lineRule="exact"/>
              <w:rPr>
                <w:sz w:val="20"/>
                <w:szCs w:val="20"/>
                <w:color w:val="auto"/>
              </w:rPr>
            </w:pPr>
            <w:r>
              <w:rPr>
                <w:rFonts w:ascii="Arial" w:cs="Arial" w:eastAsia="Arial" w:hAnsi="Arial"/>
                <w:sz w:val="14"/>
                <w:szCs w:val="14"/>
                <w:b w:val="1"/>
                <w:bCs w:val="1"/>
                <w:color w:val="auto"/>
                <w:w w:val="81"/>
              </w:rPr>
              <w:t>Beginning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 Revenue-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8"/>
              </w:rPr>
              <w:t>Sales/</w:t>
            </w:r>
          </w:p>
        </w:tc>
        <w:tc>
          <w:tcPr>
            <w:tcW w:w="80" w:type="dxa"/>
            <w:vAlign w:val="bottom"/>
          </w:tcPr>
          <w:p>
            <w:pPr>
              <w:spacing w:after="0"/>
              <w:rPr>
                <w:sz w:val="12"/>
                <w:szCs w:val="12"/>
                <w:color w:val="auto"/>
              </w:rPr>
            </w:pPr>
          </w:p>
        </w:tc>
        <w:tc>
          <w:tcPr>
            <w:tcW w:w="11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7"/>
          </w:tcPr>
          <w:p>
            <w:pPr>
              <w:jc w:val="right"/>
              <w:ind w:right="112"/>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Other (a)</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7"/>
              </w:rPr>
              <w:t>Acquisitions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4"/>
                <w:szCs w:val="14"/>
                <w:color w:val="auto"/>
              </w:rPr>
            </w:pPr>
          </w:p>
        </w:tc>
        <w:tc>
          <w:tcPr>
            <w:tcW w:w="11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lef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center"/>
              <w:ind w:left="137"/>
              <w:spacing w:after="0"/>
              <w:rPr>
                <w:sz w:val="20"/>
                <w:szCs w:val="20"/>
                <w:color w:val="auto"/>
              </w:rPr>
            </w:pPr>
            <w:r>
              <w:rPr>
                <w:rFonts w:ascii="Arial" w:cs="Arial" w:eastAsia="Arial" w:hAnsi="Arial"/>
                <w:sz w:val="18"/>
                <w:szCs w:val="18"/>
                <w:color w:val="auto"/>
                <w:w w:val="79"/>
              </w:rPr>
              <w:t>$</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1,340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74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4"/>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114,193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(5,085)</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7"/>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center"/>
              <w:ind w:left="137"/>
              <w:spacing w:after="0"/>
              <w:rPr>
                <w:sz w:val="20"/>
                <w:szCs w:val="20"/>
                <w:color w:val="auto"/>
              </w:rPr>
            </w:pPr>
            <w:r>
              <w:rPr>
                <w:rFonts w:ascii="Arial" w:cs="Arial" w:eastAsia="Arial" w:hAnsi="Arial"/>
                <w:sz w:val="18"/>
                <w:szCs w:val="18"/>
                <w:color w:val="auto"/>
                <w:w w:val="79"/>
              </w:rPr>
              <w:t>$</w:t>
            </w: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115,533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6,850</w:t>
            </w:r>
          </w:p>
        </w:tc>
        <w:tc>
          <w:tcPr>
            <w:tcW w:w="74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1,211</w:t>
            </w:r>
          </w:p>
        </w:tc>
        <w:tc>
          <w:tcPr>
            <w:tcW w:w="380" w:type="dxa"/>
            <w:vAlign w:val="bottom"/>
            <w:gridSpan w:val="4"/>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(5,085)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2015 and the three month and six month periods ended June 30, 2014 include net unrealized gains (losses) of $(1,418), $4,679, $1,123 and $5,536,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2015 and December 31, 2014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2015</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22,893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5,131(f)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91%</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104,644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5,131</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(22%), monthly (61%) and quarterly (17%)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(19%) and monthly (81%)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(13%), monthly (60%) and quarterly (27%)</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$6,588 are excluded. Such commitments are required to be funded by capital contributions from noncontrolling interest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39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18,676(f)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149,222</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18,676</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(15%), monthly (66%)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(11%), weekly (3%) and monthly (86%)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June 30, 2015,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arose from (i) commitments to CP II, which amounted to $570 for potential “follow-on investments” and/or for fund expenses through the earlier of February 25, 2017 or the liquidation of the fund, (ii) commitments to EGCP III, which amounted to $12,036,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$4,192,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2015, our commitments to COF2 were reduced to approximately $230.</w:t>
      </w:r>
    </w:p>
    <w:p>
      <w:pPr>
        <w:spacing w:after="0" w:line="29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June 30, 2015 and December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1,210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202,063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207,306</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203,273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208,093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$1,323 and $221 as of June 30, 2015, respectively, and $1,123 and $1,786 as of December 31, 2014, respectively, for contracts with the same counterparty under legally enforceable master netting agreements. Such amounts are recorded “net” in “other assets”, with receivables for net cash collateral under such contracts of $9,954 and $12,364 as of June 30, 2015 and December 31, 2014,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2015 and 2014,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$(4,023)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(8,906)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w w:val="91"/>
              </w:rPr>
              <w:t>(2,242)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(11,532)</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2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1"/>
              </w:rPr>
              <w:t>(3,064)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(2,262)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(14,426)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92"/>
              <w:spacing w:after="0"/>
              <w:rPr>
                <w:sz w:val="20"/>
                <w:szCs w:val="20"/>
                <w:color w:val="auto"/>
              </w:rPr>
            </w:pPr>
            <w:r>
              <w:rPr>
                <w:rFonts w:ascii="Arial" w:cs="Arial" w:eastAsia="Arial" w:hAnsi="Arial"/>
                <w:sz w:val="18"/>
                <w:szCs w:val="18"/>
                <w:color w:val="auto"/>
              </w:rPr>
              <w:t>6,071</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(19,779)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60" w:type="dxa"/>
            <w:vAlign w:val="bottom"/>
            <w:vMerge w:val="restart"/>
          </w:tcPr>
          <w:p>
            <w:pPr>
              <w:jc w:val="right"/>
              <w:ind w:right="1652"/>
              <w:spacing w:after="0"/>
              <w:rPr>
                <w:sz w:val="20"/>
                <w:szCs w:val="20"/>
                <w:color w:val="auto"/>
              </w:rPr>
            </w:pPr>
            <w:r>
              <w:rPr>
                <w:rFonts w:ascii="Arial" w:cs="Arial" w:eastAsia="Arial" w:hAnsi="Arial"/>
                <w:sz w:val="18"/>
                <w:szCs w:val="18"/>
                <w:color w:val="auto"/>
              </w:rPr>
              <w:t>20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2015 and December 31, 2014,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Estimated</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3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$140,986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152,982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3-20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168,192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167,837</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153,106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150,457</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469,207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478,854</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255,463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256,285</w:t>
            </w:r>
          </w:p>
        </w:tc>
        <w:tc>
          <w:tcPr>
            <w:tcW w:w="80" w:type="dxa"/>
            <w:vAlign w:val="bottom"/>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213,744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222,569</w:t>
            </w:r>
          </w:p>
        </w:tc>
        <w:tc>
          <w:tcPr>
            <w:tcW w:w="8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2015 and December 31, 2014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June 30,</w:t>
            </w:r>
          </w:p>
        </w:tc>
        <w:tc>
          <w:tcPr>
            <w:tcW w:w="126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$326,822</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335,402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335,969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347,438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At June 30, 2015 and December 31, 2014, goodwill of $262,281 and $270,861,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2015 and 2014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$335,402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326,822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changes in the carrying amount of goodwill for the six month periods ended June 30, 2015 and 2014 are attributable to the Company’s Financial Advisory segment.</w:t>
      </w:r>
    </w:p>
    <w:p>
      <w:pPr>
        <w:spacing w:after="0" w:line="11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240" w:top="459" w:right="7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2015 and December 31, 2014,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June 30, 2015</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9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$ 7,755</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33,036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31,644</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1,392</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r>
      <w:tr>
        <w:trPr>
          <w:trHeight w:val="27"/>
        </w:trPr>
        <w:tc>
          <w:tcPr>
            <w:tcW w:w="5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54,629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$ 9,147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63,790</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12,036</w:t>
            </w:r>
          </w:p>
        </w:tc>
        <w:tc>
          <w:tcPr>
            <w:tcW w:w="100" w:type="dxa"/>
            <w:vAlign w:val="bottom"/>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2015 was $1,857 and $2,890, respectively, and for the three month and six month periods ended June 30, 2014 was $706 and $1,926,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20" w:type="dxa"/>
            <w:vAlign w:val="bottom"/>
            <w:gridSpan w:val="4"/>
            <w:vMerge w:val="continue"/>
          </w:tcPr>
          <w:p>
            <w:pPr>
              <w:spacing w:after="0"/>
              <w:rPr>
                <w:sz w:val="12"/>
                <w:szCs w:val="12"/>
                <w:color w:val="auto"/>
              </w:rPr>
            </w:pPr>
          </w:p>
        </w:tc>
        <w:tc>
          <w:tcPr>
            <w:tcW w:w="286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2015 (July 1 through December 31)</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1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2015 and December 31,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Annual</w:t>
            </w:r>
          </w:p>
        </w:tc>
        <w:tc>
          <w:tcPr>
            <w:tcW w:w="26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Principal</w:t>
            </w: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1"/>
                <w:szCs w:val="11"/>
                <w:color w:val="auto"/>
              </w:rPr>
            </w:pPr>
          </w:p>
        </w:tc>
        <w:tc>
          <w:tcPr>
            <w:tcW w:w="68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w w:val="99"/>
              </w:rPr>
              <w:t>June 30,</w:t>
            </w: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w w:val="89"/>
              </w:rPr>
              <w:t>Lazard Group 4.25%</w:t>
            </w:r>
          </w:p>
        </w:tc>
        <w:tc>
          <w:tcPr>
            <w:tcW w:w="478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500,000</w:t>
            </w: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11/14/20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Lazard Group 3.75%</w:t>
            </w: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Lazard Group Credit Facility</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150,000</w:t>
            </w:r>
          </w:p>
        </w:tc>
        <w:tc>
          <w:tcPr>
            <w:tcW w:w="4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9/25/15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$ 998,350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$ 1,048,350</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9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condensed consolidated statement of operations for the six month period ended June 30, 2015.</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25, 2012, Lazard Group entered into a $150,000, three-year senior revolving credit facility with a group of lenders (the “Credit Facility”). The Credit Facility replaced a similar revolving credit facility which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terminated as a condition to effectiveness of the Credit Facility. Interest rates under the Credit Facility vary and are based on either a Federal Funds rate or a Eurodollar rate, in each case plus an applicable margin. As of June 30, 2015, the annual interest rate for a loan accruing interest (based on the Federal Funds overnight rate), including the applicable margin, was 0.79%. At June 30, 2015 and December 31, 2014, no amounts were outstanding under the Credit Facility.</w:t>
      </w:r>
    </w:p>
    <w:p>
      <w:pPr>
        <w:spacing w:after="0" w:line="8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Credit Facility expires in September 2015 and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June 30, 2015, the Company was in compliance with such provisions. All of the Company’s senior debt obligations are unsecured.</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June 30, 2015, the Company had approximately $247,000 in unused lines of credit available to it, including the Credit Facility, and unused lines of credit available to LFB of approximately $39,000 (at June 30, 2015 exchange rates) and Edgewater of $55,000. In addition, LFB has access to the Eurosystem Covered Bond Purchase Program of the Banque de France.</w:t>
      </w:r>
    </w:p>
    <w:p>
      <w:pPr>
        <w:spacing w:after="0" w:line="14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Company’s senior debt at June 30, 2015 and December 31, 2014 is carried at historical amounts. At those dates, the fair value of such senior debt was approximately $1,010,000 and $1,135,000, respectively, and exceeded the aggregate carrying value by approximately $12,000 and $87,000,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2015, LFB had $4,868 of such indemnifications and held $4,429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June 30, 2015 and December 31, 2014, 913,722 shares are issuable on a contingent basis, and 1,371,992 shares have been earned because applicable performance thresholds have been satisfied. As of June 30, 2015 and December 31, 2014, 1,371,992 of the earned shares have been settled.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June 30, 2015, LFB and LFNY had no such underwriting commitments.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2015 and 2014,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Subsidiaries of Lazard Ltd</w:t>
            </w:r>
          </w:p>
        </w:tc>
        <w:tc>
          <w:tcPr>
            <w:tcW w:w="3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$40,839</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$72,981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LAZ-MD Holdings</w:t>
            </w:r>
          </w:p>
        </w:tc>
        <w:tc>
          <w:tcPr>
            <w:tcW w:w="3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760" w:type="dxa"/>
            <w:vAlign w:val="bottom"/>
            <w:vMerge w:val="restart"/>
          </w:tcPr>
          <w:p>
            <w:pPr>
              <w:jc w:val="right"/>
              <w:ind w:right="2312"/>
              <w:spacing w:after="0"/>
              <w:rPr>
                <w:sz w:val="20"/>
                <w:szCs w:val="20"/>
                <w:color w:val="auto"/>
              </w:rPr>
            </w:pPr>
            <w:r>
              <w:rPr>
                <w:rFonts w:ascii="Arial" w:cs="Arial" w:eastAsia="Arial" w:hAnsi="Arial"/>
                <w:sz w:val="18"/>
                <w:szCs w:val="18"/>
                <w:color w:val="auto"/>
              </w:rPr>
              <w:t>24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b w:val="1"/>
          <w:bCs w:val="1"/>
          <w:i w:val="1"/>
          <w:iCs w:val="1"/>
          <w:color w:val="auto"/>
        </w:rPr>
        <w:t>Share Repurchase Program</w:t>
      </w:r>
      <w:r>
        <w:rPr>
          <w:rFonts w:ascii="Arial" w:cs="Arial" w:eastAsia="Arial" w:hAnsi="Arial"/>
          <w:sz w:val="15"/>
          <w:szCs w:val="15"/>
          <w:color w:val="auto"/>
        </w:rPr>
        <w:t>—During the six month period ended June 30, 2015 and for the years ended December 31, 2014, 2013, and 2012,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of Lazard authorized the repurchase of Class A common stock and Lazard Group common membership interests as set forth in the table below.</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2012</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2014</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20" w:type="dxa"/>
            <w:vAlign w:val="bottom"/>
          </w:tcPr>
          <w:p>
            <w:pPr>
              <w:spacing w:after="0"/>
              <w:rPr>
                <w:sz w:val="10"/>
                <w:szCs w:val="10"/>
                <w:color w:val="auto"/>
              </w:rPr>
            </w:pPr>
          </w:p>
        </w:tc>
        <w:tc>
          <w:tcPr>
            <w:tcW w:w="96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Six Months Ended June 30:</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80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4,114,206</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2,306,694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shares purchased in the six months ended June 30, 2014 included 1,000,000 shares purchased from Natixis S.A. on June 26, 2014 for $50,340 in connection with the sale by Natixis S.A. of its entire investment in Lazard Ltd’s Class A common stock. The purchase transaction closed on July 1, 2014.</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June 30, 2015, a total of $161,199 of share repurchase authorizations remained available under the share repurchase program, $11,199 of which will expire on December 31, 2015 and $150,000 of which will expire on December 31, 2016.</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six month period ended June 30, 2015, Lazard Ltd had in place trading plans under Rule 10b5-1 of the Securities Exchange Act of 1934, pursuant to which it effected stock repurchases in the open market.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 periods ended June 30,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8"/>
              <w:spacing w:after="0" w:line="149" w:lineRule="exact"/>
              <w:rPr>
                <w:sz w:val="20"/>
                <w:szCs w:val="20"/>
                <w:color w:val="auto"/>
              </w:rPr>
            </w:pPr>
            <w:r>
              <w:rPr>
                <w:rFonts w:ascii="Arial" w:cs="Arial" w:eastAsia="Arial" w:hAnsi="Arial"/>
                <w:sz w:val="14"/>
                <w:szCs w:val="14"/>
                <w:b w:val="1"/>
                <w:bCs w:val="1"/>
                <w:color w:val="auto"/>
                <w:w w:val="87"/>
              </w:rPr>
              <w:t>Currency</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Employee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4"/>
          </w:tcPr>
          <w:p>
            <w:pPr>
              <w:jc w:val="right"/>
              <w:ind w:right="5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458"/>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Plans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b w:val="1"/>
                <w:bCs w:val="1"/>
                <w:color w:val="auto"/>
              </w:rPr>
              <w:t>AOCI</w:t>
            </w: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9"/>
              </w:rPr>
              <w:t>Interests</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(154,665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(163,290</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Activity January 1 to June 30, 2015: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300" w:type="dxa"/>
            <w:vAlign w:val="bottom"/>
            <w:gridSpan w:val="5"/>
            <w:shd w:val="clear" w:color="auto" w:fill="CCEEFF"/>
          </w:tcPr>
          <w:p>
            <w:pPr>
              <w:jc w:val="right"/>
              <w:ind w:right="178"/>
              <w:spacing w:after="0"/>
              <w:rPr>
                <w:sz w:val="20"/>
                <w:szCs w:val="20"/>
                <w:color w:val="auto"/>
              </w:rPr>
            </w:pPr>
            <w:r>
              <w:rPr>
                <w:rFonts w:ascii="Arial" w:cs="Arial" w:eastAsia="Arial" w:hAnsi="Arial"/>
                <w:sz w:val="18"/>
                <w:szCs w:val="18"/>
                <w:color w:val="auto"/>
              </w:rPr>
              <w:t>(32,931)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(32,930)</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1300" w:type="dxa"/>
            <w:vAlign w:val="bottom"/>
            <w:gridSpan w:val="5"/>
            <w:shd w:val="clear" w:color="auto" w:fill="CCEEFF"/>
          </w:tcPr>
          <w:p>
            <w:pPr>
              <w:jc w:val="right"/>
              <w:ind w:right="178"/>
              <w:spacing w:after="0"/>
              <w:rPr>
                <w:sz w:val="20"/>
                <w:szCs w:val="20"/>
                <w:color w:val="auto"/>
              </w:rPr>
            </w:pPr>
            <w:r>
              <w:rPr>
                <w:rFonts w:ascii="Arial" w:cs="Arial" w:eastAsia="Arial" w:hAnsi="Arial"/>
                <w:sz w:val="18"/>
                <w:szCs w:val="18"/>
                <w:color w:val="auto"/>
              </w:rPr>
              <w:t>(30,555)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(26,939)</w:t>
            </w:r>
          </w:p>
        </w:tc>
        <w:tc>
          <w:tcPr>
            <w:tcW w:w="11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(166,906)</w:t>
            </w:r>
          </w:p>
        </w:tc>
        <w:tc>
          <w:tcPr>
            <w:tcW w:w="1300" w:type="dxa"/>
            <w:vAlign w:val="bottom"/>
            <w:gridSpan w:val="5"/>
          </w:tcPr>
          <w:p>
            <w:pPr>
              <w:jc w:val="right"/>
              <w:ind w:right="17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(193,845)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(193,842)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right"/>
              <w:ind w:right="418"/>
              <w:spacing w:after="0" w:line="149" w:lineRule="exact"/>
              <w:rPr>
                <w:sz w:val="20"/>
                <w:szCs w:val="20"/>
                <w:color w:val="auto"/>
              </w:rPr>
            </w:pPr>
            <w:r>
              <w:rPr>
                <w:rFonts w:ascii="Arial" w:cs="Arial" w:eastAsia="Arial" w:hAnsi="Arial"/>
                <w:sz w:val="14"/>
                <w:szCs w:val="14"/>
                <w:b w:val="1"/>
                <w:bCs w:val="1"/>
                <w:color w:val="auto"/>
                <w:w w:val="87"/>
              </w:rPr>
              <w:t>Currency</w:t>
            </w:r>
          </w:p>
        </w:tc>
        <w:tc>
          <w:tcPr>
            <w:tcW w:w="60" w:type="dxa"/>
            <w:vAlign w:val="bottom"/>
          </w:tcPr>
          <w:p>
            <w:pPr>
              <w:spacing w:after="0"/>
              <w:rPr>
                <w:sz w:val="12"/>
                <w:szCs w:val="12"/>
                <w:color w:val="auto"/>
              </w:rPr>
            </w:pPr>
          </w:p>
        </w:tc>
        <w:tc>
          <w:tcPr>
            <w:tcW w:w="1100" w:type="dxa"/>
            <w:vAlign w:val="bottom"/>
            <w:gridSpan w:val="4"/>
          </w:tcPr>
          <w:p>
            <w:pPr>
              <w:jc w:val="center"/>
              <w:ind w:right="298"/>
              <w:spacing w:after="0" w:line="149" w:lineRule="exact"/>
              <w:rPr>
                <w:sz w:val="20"/>
                <w:szCs w:val="20"/>
                <w:color w:val="auto"/>
              </w:rPr>
            </w:pPr>
            <w:r>
              <w:rPr>
                <w:rFonts w:ascii="Arial" w:cs="Arial" w:eastAsia="Arial" w:hAnsi="Arial"/>
                <w:sz w:val="14"/>
                <w:szCs w:val="14"/>
                <w:b w:val="1"/>
                <w:bCs w:val="1"/>
                <w:color w:val="auto"/>
                <w:w w:val="84"/>
              </w:rPr>
              <w:t>Employee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6"/>
          </w:tcPr>
          <w:p>
            <w:pPr>
              <w:jc w:val="right"/>
              <w:ind w:right="358"/>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 w:type="dxa"/>
            <w:vAlign w:val="bottom"/>
          </w:tcPr>
          <w:p>
            <w:pPr>
              <w:spacing w:after="0"/>
              <w:rPr>
                <w:sz w:val="12"/>
                <w:szCs w:val="12"/>
                <w:color w:val="auto"/>
              </w:rPr>
            </w:pPr>
          </w:p>
        </w:tc>
        <w:tc>
          <w:tcPr>
            <w:tcW w:w="1100" w:type="dxa"/>
            <w:vAlign w:val="bottom"/>
            <w:gridSpan w:val="4"/>
          </w:tcPr>
          <w:p>
            <w:pPr>
              <w:jc w:val="center"/>
              <w:ind w:right="298"/>
              <w:spacing w:after="0" w:line="149" w:lineRule="exact"/>
              <w:rPr>
                <w:sz w:val="20"/>
                <w:szCs w:val="20"/>
                <w:color w:val="auto"/>
              </w:rPr>
            </w:pPr>
            <w:r>
              <w:rPr>
                <w:rFonts w:ascii="Arial" w:cs="Arial" w:eastAsia="Arial" w:hAnsi="Arial"/>
                <w:sz w:val="14"/>
                <w:szCs w:val="14"/>
                <w:b w:val="1"/>
                <w:bCs w:val="1"/>
                <w:color w:val="auto"/>
                <w:w w:val="84"/>
              </w:rPr>
              <w:t>Benefit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618"/>
              <w:spacing w:after="0" w:line="149" w:lineRule="exact"/>
              <w:rPr>
                <w:sz w:val="20"/>
                <w:szCs w:val="20"/>
                <w:color w:val="auto"/>
              </w:rPr>
            </w:pPr>
            <w:r>
              <w:rPr>
                <w:rFonts w:ascii="Arial" w:cs="Arial" w:eastAsia="Arial" w:hAnsi="Arial"/>
                <w:sz w:val="14"/>
                <w:szCs w:val="14"/>
                <w:b w:val="1"/>
                <w:bCs w:val="1"/>
                <w:color w:val="auto"/>
              </w:rPr>
              <w:t>Total</w:t>
            </w:r>
          </w:p>
        </w:tc>
        <w:tc>
          <w:tcPr>
            <w:tcW w:w="134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4"/>
                <w:szCs w:val="14"/>
                <w:color w:val="auto"/>
              </w:rPr>
            </w:pPr>
          </w:p>
        </w:tc>
        <w:tc>
          <w:tcPr>
            <w:tcW w:w="1100" w:type="dxa"/>
            <w:vAlign w:val="bottom"/>
            <w:gridSpan w:val="4"/>
          </w:tcPr>
          <w:p>
            <w:pPr>
              <w:jc w:val="center"/>
              <w:ind w:right="298"/>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578"/>
              <w:spacing w:after="0"/>
              <w:rPr>
                <w:sz w:val="20"/>
                <w:szCs w:val="20"/>
                <w:color w:val="auto"/>
              </w:rPr>
            </w:pPr>
            <w:r>
              <w:rPr>
                <w:rFonts w:ascii="Arial" w:cs="Arial" w:eastAsia="Arial" w:hAnsi="Arial"/>
                <w:sz w:val="14"/>
                <w:szCs w:val="14"/>
                <w:b w:val="1"/>
                <w:bCs w:val="1"/>
                <w:color w:val="auto"/>
              </w:rPr>
              <w:t>AOCI</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(137,431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(102,195</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Activity January 1 to June 30, 2014: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98"/>
              <w:spacing w:after="0"/>
              <w:rPr>
                <w:sz w:val="20"/>
                <w:szCs w:val="20"/>
                <w:color w:val="auto"/>
              </w:rPr>
            </w:pPr>
            <w:r>
              <w:rPr>
                <w:rFonts w:ascii="Arial" w:cs="Arial" w:eastAsia="Arial" w:hAnsi="Arial"/>
                <w:sz w:val="18"/>
                <w:szCs w:val="18"/>
                <w:color w:val="auto"/>
              </w:rPr>
              <w:t>(6,946)</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58"/>
              <w:spacing w:after="0"/>
              <w:rPr>
                <w:sz w:val="20"/>
                <w:szCs w:val="20"/>
                <w:color w:val="auto"/>
              </w:rPr>
            </w:pPr>
            <w:r>
              <w:rPr>
                <w:rFonts w:ascii="Arial" w:cs="Arial" w:eastAsia="Arial" w:hAnsi="Arial"/>
                <w:sz w:val="18"/>
                <w:szCs w:val="18"/>
                <w:color w:val="auto"/>
              </w:rPr>
              <w:t>2,569</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(4,377)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42,021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98"/>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(141,808)</w:t>
            </w:r>
          </w:p>
        </w:tc>
        <w:tc>
          <w:tcPr>
            <w:tcW w:w="140" w:type="dxa"/>
            <w:vAlign w:val="bottom"/>
          </w:tcPr>
          <w:p>
            <w:pPr>
              <w:spacing w:after="0"/>
              <w:rPr>
                <w:sz w:val="19"/>
                <w:szCs w:val="19"/>
                <w:color w:val="auto"/>
              </w:rPr>
            </w:pPr>
          </w:p>
        </w:tc>
        <w:tc>
          <w:tcPr>
            <w:tcW w:w="980" w:type="dxa"/>
            <w:vAlign w:val="bottom"/>
            <w:gridSpan w:val="4"/>
          </w:tcPr>
          <w:p>
            <w:pPr>
              <w:jc w:val="right"/>
              <w:ind w:right="18"/>
              <w:spacing w:after="0"/>
              <w:rPr>
                <w:sz w:val="20"/>
                <w:szCs w:val="20"/>
                <w:color w:val="auto"/>
              </w:rPr>
            </w:pPr>
            <w:r>
              <w:rPr>
                <w:rFonts w:ascii="Arial" w:cs="Arial" w:eastAsia="Arial" w:hAnsi="Arial"/>
                <w:sz w:val="18"/>
                <w:szCs w:val="18"/>
                <w:color w:val="auto"/>
              </w:rPr>
              <w:t>$ (99,787)</w:t>
            </w:r>
          </w:p>
        </w:tc>
        <w:tc>
          <w:tcPr>
            <w:tcW w:w="320" w:type="dxa"/>
            <w:vAlign w:val="bottom"/>
          </w:tcPr>
          <w:p>
            <w:pPr>
              <w:spacing w:after="0"/>
              <w:rPr>
                <w:sz w:val="19"/>
                <w:szCs w:val="19"/>
                <w:color w:val="auto"/>
              </w:rPr>
            </w:pPr>
          </w:p>
        </w:tc>
        <w:tc>
          <w:tcPr>
            <w:tcW w:w="16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(99,788)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adjustments for items reclassified out of AOCI, by component, for the three month and six month periods ended June 30, 2015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Three Months Ended</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relating to employee benefit plans (a)</w:t>
            </w:r>
          </w:p>
        </w:tc>
        <w:tc>
          <w:tcPr>
            <w:tcW w:w="1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$ 1,728</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$ 1,611</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$ 3,477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Less – related income taxes</w:t>
            </w: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538</w:t>
            </w:r>
          </w:p>
        </w:tc>
        <w:tc>
          <w:tcPr>
            <w:tcW w:w="4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331</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$ 1,190</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$ 1,280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$ 2,376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2015 and 2014 and noncontrolling interests as of June 30, 2015 and December 31, 2014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Net Income</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Attributable to Noncontrolling</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jc w:val="right"/>
              <w:ind w:right="200"/>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tcPr>
          <w:p>
            <w:pPr>
              <w:jc w:val="right"/>
              <w:ind w:right="317"/>
              <w:spacing w:after="0" w:line="129" w:lineRule="exact"/>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2"/>
              </w:rPr>
              <w:t>June 30,</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2015</w:t>
            </w:r>
          </w:p>
        </w:tc>
        <w:tc>
          <w:tcPr>
            <w:tcW w:w="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3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2"/>
              </w:rPr>
              <w:t>June 30,</w:t>
            </w:r>
          </w:p>
        </w:tc>
        <w:tc>
          <w:tcPr>
            <w:tcW w:w="7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58,455</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and six month periods ended June 30, 2015 and 2014,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the 2005 Plan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2005 Plan authorized the issuance of up to 25,000,000 shares of Class A common stock pursuant to the grant or exercise of stock options, stock appreciation rights, RSUs and other equity-based awards. Each stock unit or similar award granted under the 2005 Plan represented a contingent right to receive one share of Class A common stock, at no cost to the recipient. The fair value of such awards was generally determined based on the closing market price of Class A common stock at the date of grant. The 2005 Plan expired in the second quarter of 2015.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six month periods ended June 30,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RSUs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32,263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40,931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91,334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93,216</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15,453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10,856</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44,188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50,794</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122,096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111,540</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2015 and 2014, dividend participation rights required the issuance of 529,616 and 203,537 RSUs, respectively.</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23,961 and 26,360 DSUs granted in connection with annual compensation during the six month periods ended June 30, 2015 and 2014,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2015 and 2014, 1,183 and 4,383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2015 and 2014:</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13,529,116</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286,227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 (including 529,616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3,982,135</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48.83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(397,637)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(6,873,352)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10,240,262</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311,371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34.51</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16,630,009</w:t>
            </w: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203,537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3,625,734</w:t>
            </w:r>
          </w:p>
        </w:tc>
        <w:tc>
          <w:tcPr>
            <w:tcW w:w="2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(77,368)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37.01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(6,381,080)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June 30, 2014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13,797,295</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35.09</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282,177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connection with RSUs that vested during the six month periods ended June 30, 2015 and 2014, the Company satisfied its minimum statutory tax withholding requirements in lieu of issuing 1,895,301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1,853,416 shares of Class A common stock in the respective six month periods. Accordingly, 4,978,051 and 4,527,664 shares of Class A common stock held by the Company were delivered during the six month periods ended June 30, 2015 and 2014, respectively.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2015, estimated unrecognized RSU compensation expense was approximately $192,787, with such expense expected to be recognized over a weighted average period of approximately 1.0 year subsequent to June 30, 2015.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2015 and 2014:</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576,886</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(44,769)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(501,298)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760,646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575,054</w:t>
            </w:r>
          </w:p>
        </w:tc>
        <w:tc>
          <w:tcPr>
            <w:tcW w:w="3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449,911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(9,438)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(205,075)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color w:val="auto"/>
              </w:rPr>
              <w:t>Balance, June 30, 2014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810,452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2015 and 2014, the Company satisfied its minimum statutory tax withholding requirements in lieu of delivering 92,500 and 29,999 shares of Class A common stock during such respective six month periods. Accordingly, 408,798 and 175,076 shares of Class A common stock held by the Company were delivered during the six month periods ended June 30, 2015 and 2014, respectively.</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June 30, 2015, estimated unrecognized restricted stock expense was approximately $21,470, with such expense to be recognized over a weighted average period of approximately 1.1 years subsequent to June 30, 2015.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award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2015 and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1,347,148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368,389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(696,499)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1,019,038</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360,783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808,911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connection with PRSUs that vested during the six month period ended June 30, 2015, the Company satisfied its minimum statutory tax withholding requirements in lieu of issuing 32,086 shares of Class A common stock in the period. Accordingly, 664,413 shares of Class A common stock held by the Company were delivered during the six month period ended June 30, 2015.</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2015, the total estimated unrecognized compensation expense was approximately $24,406, and the Company expects to amortize such expense over a weighted-average period of approximately 0.8 years subsequent to June 30,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six month periods ended June 30, 2015 and 2014: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89,817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(92,893)</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(3,259)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(44,522)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115,490</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202,063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92,711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(52,944)</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(39,457)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June 30, 2014</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112,535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215,163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 subsequent to June 30, 2015.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2015 and 2014:</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8"/>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$21,603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$44,924</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5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(1,894)</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8,906</w:t>
            </w:r>
          </w:p>
        </w:tc>
        <w:tc>
          <w:tcPr>
            <w:tcW w:w="580" w:type="dxa"/>
            <w:vAlign w:val="bottom"/>
          </w:tcPr>
          <w:p>
            <w:pPr>
              <w:jc w:val="right"/>
              <w:spacing w:after="0"/>
              <w:rPr>
                <w:sz w:val="20"/>
                <w:szCs w:val="20"/>
                <w:color w:val="auto"/>
              </w:rPr>
            </w:pPr>
            <w:r>
              <w:rPr>
                <w:rFonts w:ascii="Arial" w:cs="Arial" w:eastAsia="Arial" w:hAnsi="Arial"/>
                <w:sz w:val="18"/>
                <w:szCs w:val="18"/>
                <w:color w:val="auto"/>
              </w:rPr>
              <w:t>2,242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16,366</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47,166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31, 2015, the Company and the Trustees of the U.K. defined benefit pension plans concluded the December 31, 2013 triennial valuations of the plans. In connection with such valuations, the Company and the 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 within such accounts would be paid into the plans by June 30, 2015. On June 4, 2015, the full balance of 11.2 million British pounds in the account security arrangement was paid into the plans. At December 31, 2014, the balance of the account security arrangement was $17,500 and was recorded in “cash deposited with clearing organizations and other segregated cash” on the accompanying condensed consolidated statements of financial condition. Income on the account security arrangement accreted to the Company and is recorded in interest income.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8"/>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6,153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(7,019)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(8,228)</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$ 1,493</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7"/>
          </w:tcPr>
          <w:p>
            <w:pPr>
              <w:jc w:val="right"/>
              <w:spacing w:after="0"/>
              <w:rPr>
                <w:sz w:val="20"/>
                <w:szCs w:val="20"/>
                <w:color w:val="auto"/>
              </w:rPr>
            </w:pPr>
            <w:r>
              <w:rPr>
                <w:rFonts w:ascii="Arial" w:cs="Arial" w:eastAsia="Arial" w:hAnsi="Arial"/>
                <w:sz w:val="14"/>
                <w:szCs w:val="14"/>
                <w:b w:val="1"/>
                <w:bCs w:val="1"/>
                <w:color w:val="auto"/>
                <w:w w:val="98"/>
              </w:rPr>
              <w:t>Pension Plans</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8"/>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12,259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(14,090)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8"/>
                <w:szCs w:val="18"/>
                <w:color w:val="auto"/>
              </w:rPr>
              <w:t>(16,307)</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3,012</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43" w:lineRule="exact"/>
        <w:rPr>
          <w:sz w:val="20"/>
          <w:szCs w:val="20"/>
          <w:color w:val="auto"/>
        </w:rPr>
      </w:pPr>
    </w:p>
    <w:p>
      <w:pPr>
        <w:jc w:val="both"/>
        <w:ind w:right="240" w:firstLine="456"/>
        <w:spacing w:after="0" w:line="294" w:lineRule="auto"/>
        <w:rPr>
          <w:sz w:val="20"/>
          <w:szCs w:val="20"/>
          <w:color w:val="auto"/>
        </w:rPr>
      </w:pPr>
      <w:r>
        <w:rPr>
          <w:rFonts w:ascii="Arial" w:cs="Arial" w:eastAsia="Arial" w:hAnsi="Arial"/>
          <w:sz w:val="16"/>
          <w:szCs w:val="16"/>
          <w:color w:val="auto"/>
        </w:rPr>
        <w:t>The Company recorded income tax provisions of $14,464 and $25,922 for the three month and six month periods ended June 30, 2015, respectively, and $15,878 and $33,735 for the three month and six month periods ended June 30, 2014, respectively, representing effective tax rates of 9.0%, 10.7%, 14.4% and 15.5%,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and (iv) U.S. state and local taxes (primarily UBT), which are incremental to the U.S. federal statutory tax rate.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26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PAYABLE TO LAZARD LTD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2015 and December 31, 2014, Lazard Group’s payables to subsidiaries of Lazard Ltd included interest-bearing loans, plus accrued interest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thereon, of approximately $148,700 and $152,600, respectively. Interest expense relating to interest-bearing loans with subsidiaries of Lazard Ltd amounted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$1,025 and $2,046 for the three month and six month periods ended June 30, 2015, respectively, and $1,595 and $3,216 for the three month and six month periods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ended June 30, 2014, respectively. In addition, as of both June 30, 2015 and December 31, 2014, Lazard Group’s payables to subsidiaries of Lazard Ltd included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$2,840 in connection with Lazard Group’s prior year business acquisitions.</w:t>
      </w:r>
    </w:p>
    <w:p>
      <w:pPr>
        <w:spacing w:after="0" w:line="28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2015, LFNY’s regulatory net capital was $112,976, which exceeded the minimum requirement by $110,110. LFNY’s aggregate indebtedness to net capital ratio was 0.38:1 as of June 30, 2015.</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2015, the aggregate regulatory net capital of the U.K. Subsidiaries was $115,445, which exceeded the minimum requirement by $97,014.</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June 30, 2015, the consolidated regulatory net capital of CFLF was $133,985, which exceeded the minimum requirement set for regulatory capital levels by $95,785.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to be reported on a quarterly basis and satisfy periodic financial and other reporting obligations. At March 31, 2015, the regulatory net capital of the combined European regulated group was $201,766, which exceeded the minimum requirement set for regulatory capital levels by $126,478. Additionally, the combined European regulated group, together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2015, for those subsidiaries with regulatory capital requirements, their aggregate net capital was $116,436, which exceeded the minimum required capital by $89,831.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2015,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Condensed Consolidated Financial Statements. In addition, as described in Note 1 of Notes to Condensed Consolidated Financial Statements, the Company records selected other activities in its Corporate segment.</w:t>
      </w:r>
    </w:p>
    <w:p>
      <w:pPr>
        <w:spacing w:after="0" w:line="14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2015 and 2014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2"/>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Revenue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316,384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280,769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617,903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w w:val="95"/>
              </w:rPr>
              <w:t>Operating Expenses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253,221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253,804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496,156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Operating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121,747</w:t>
            </w: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57,046</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40" w:type="dxa"/>
            <w:vAlign w:val="bottom"/>
            <w:gridSpan w:val="2"/>
            <w:vMerge w:val="continue"/>
          </w:tcPr>
          <w:p>
            <w:pPr>
              <w:spacing w:after="0"/>
              <w:rPr>
                <w:sz w:val="24"/>
                <w:szCs w:val="24"/>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Net Revenue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305,838</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288,164</w:t>
            </w:r>
          </w:p>
        </w:tc>
        <w:tc>
          <w:tcPr>
            <w:tcW w:w="100" w:type="dxa"/>
            <w:vAlign w:val="bottom"/>
          </w:tcPr>
          <w:p>
            <w:pPr>
              <w:spacing w:after="0"/>
              <w:rPr>
                <w:sz w:val="24"/>
                <w:szCs w:val="24"/>
                <w:color w:val="auto"/>
              </w:rPr>
            </w:pP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585,645</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556,728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Operating Expenses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193,791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375,583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Operating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112,047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102,927</w:t>
            </w:r>
          </w:p>
        </w:tc>
        <w:tc>
          <w:tcPr>
            <w:tcW w:w="100" w:type="dxa"/>
            <w:vAlign w:val="bottom"/>
          </w:tcPr>
          <w:p>
            <w:pPr>
              <w:spacing w:after="0"/>
              <w:rPr>
                <w:sz w:val="19"/>
                <w:szCs w:val="19"/>
                <w:color w:val="auto"/>
              </w:rPr>
            </w:pP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210,062</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195,730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Revenue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w:t>
            </w: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(18,744)</w:t>
            </w: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w w:val="95"/>
              </w:rPr>
              <w:t>Operating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71,318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Operating Loss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(20,004)</w:t>
            </w:r>
          </w:p>
        </w:tc>
        <w:tc>
          <w:tcPr>
            <w:tcW w:w="30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(90,062)</w:t>
            </w: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(35,500)</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40" w:type="dxa"/>
            <w:vAlign w:val="bottom"/>
            <w:gridSpan w:val="2"/>
            <w:vMerge w:val="continue"/>
          </w:tcPr>
          <w:p>
            <w:pPr>
              <w:spacing w:after="0"/>
              <w:rPr>
                <w:sz w:val="24"/>
                <w:szCs w:val="24"/>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Net Revenue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607,951</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566,805</w:t>
            </w:r>
          </w:p>
        </w:tc>
        <w:tc>
          <w:tcPr>
            <w:tcW w:w="100" w:type="dxa"/>
            <w:vAlign w:val="bottom"/>
          </w:tcPr>
          <w:p>
            <w:pPr>
              <w:spacing w:after="0"/>
              <w:rPr>
                <w:sz w:val="24"/>
                <w:szCs w:val="24"/>
                <w:color w:val="auto"/>
              </w:rPr>
            </w:pPr>
          </w:p>
        </w:tc>
        <w:tc>
          <w:tcPr>
            <w:tcW w:w="1280" w:type="dxa"/>
            <w:vAlign w:val="bottom"/>
            <w:gridSpan w:val="6"/>
          </w:tcPr>
          <w:p>
            <w:pPr>
              <w:jc w:val="right"/>
              <w:ind w:right="260"/>
              <w:spacing w:after="0"/>
              <w:rPr>
                <w:sz w:val="20"/>
                <w:szCs w:val="20"/>
                <w:color w:val="auto"/>
              </w:rPr>
            </w:pPr>
            <w:r>
              <w:rPr>
                <w:rFonts w:ascii="Arial" w:cs="Arial" w:eastAsia="Arial" w:hAnsi="Arial"/>
                <w:sz w:val="18"/>
                <w:szCs w:val="18"/>
                <w:color w:val="auto"/>
              </w:rPr>
              <w:t>$1,184,804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1,100,100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Operating Expenses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446,815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456,917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943,057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Operating Income</w:t>
            </w: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161,136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109,888</w:t>
            </w:r>
          </w:p>
        </w:tc>
        <w:tc>
          <w:tcPr>
            <w:tcW w:w="100" w:type="dxa"/>
            <w:vAlign w:val="bottom"/>
          </w:tcPr>
          <w:p>
            <w:pPr>
              <w:spacing w:after="0"/>
              <w:rPr>
                <w:sz w:val="19"/>
                <w:szCs w:val="19"/>
                <w:color w:val="auto"/>
              </w:rPr>
            </w:pP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241,747</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217,276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6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2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86"/>
              </w:rPr>
              <w:t>773,432</w:t>
            </w:r>
          </w:p>
        </w:tc>
        <w:tc>
          <w:tcPr>
            <w:tcW w:w="260" w:type="dxa"/>
            <w:vAlign w:val="bottom"/>
          </w:tcPr>
          <w:p>
            <w:pPr>
              <w:spacing w:after="0"/>
              <w:rPr>
                <w:sz w:val="18"/>
                <w:szCs w:val="18"/>
                <w:color w:val="auto"/>
              </w:rPr>
            </w:pPr>
          </w:p>
        </w:tc>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26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6"/>
              </w:rPr>
              <w:t>486,851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1,678,493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1,796,720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w w:val="90"/>
              </w:rPr>
              <w:t>$ 2,938,776</w:t>
            </w:r>
          </w:p>
        </w:tc>
        <w:tc>
          <w:tcPr>
            <w:tcW w:w="2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$ 3,170,680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vMerge w:val="restart"/>
          </w:tcPr>
          <w:p>
            <w:pPr>
              <w:jc w:val="right"/>
              <w:ind w:right="15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2014 (the “Form 10-K”). All references to “2015”, “2014”, “second quarter”, “first half” or “the period” refer to, as the context requires, the three month and six month periods ended June 30, 2015 and June 30,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ability to deploy surplus cash through distributions to members, purchases of Lazard Ltd Class A common stock and debt repurchases;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8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7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Asset Management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040" w:type="dxa"/>
            <w:vAlign w:val="bottom"/>
            <w:gridSpan w:val="3"/>
          </w:tcPr>
          <w:p>
            <w:pPr>
              <w:jc w:val="right"/>
              <w:ind w:right="820"/>
              <w:spacing w:after="0"/>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Lazard Australia Corporate Opportunities Fund 2 (“COF2”), an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Despite market volatility in the early part of the first half of 2015, equity market indices for developed markets at June 30, 2015 generally increased or remained stable as compared to such indices at December 31, 2014. Emerging markets indices at June 30, 2015 have generally increased as compared to December 31,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global M&amp;A markets during the first half of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announced transactions (excluding the subset of announced transactions involving values greater than $500 million) decreased. During the first half of 2015, global restructuring activity remained low, consistent with the last several years.</w:t>
      </w:r>
    </w:p>
    <w:p>
      <w:pPr>
        <w:spacing w:after="0" w:line="144"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In the first half of 2015, corporate cash balances remain high and interest rates remain low. The U.S. macroeconomic environment has improved, but Europe and many of the developing markets remain unsettled, particularly with respect to foreign exchange markets. Although market and foreign currency volatility may continue, the longer-term trends appear to remain favorable for both of our businesses.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positive momentum in the M&amp;A cycle, and strength in the global equity markets. We believe that we can generate revenue growth by remaining adequately staffed to capitalize on any macroeconomic recovery and deploying our intellectual capital to generate new revenue streams.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94" w:lineRule="auto"/>
        <w:tabs>
          <w:tab w:leader="none" w:pos="92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growth of a strategic M&amp;A cycle appear to remain in place. Demand continues for expert,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34" w:lineRule="exact"/>
        <w:rPr>
          <w:rFonts w:ascii="Arial" w:cs="Arial" w:eastAsia="Arial" w:hAnsi="Arial"/>
          <w:sz w:val="16"/>
          <w:szCs w:val="16"/>
          <w:color w:val="auto"/>
        </w:rPr>
      </w:pPr>
    </w:p>
    <w:p>
      <w:pPr>
        <w:ind w:left="920" w:right="20" w:hanging="345"/>
        <w:spacing w:after="0" w:line="308" w:lineRule="auto"/>
        <w:tabs>
          <w:tab w:leader="none" w:pos="920" w:val="left"/>
        </w:tabs>
        <w:numPr>
          <w:ilvl w:val="0"/>
          <w:numId w:val="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Emerging Markets Debt, Emerging Markets Small Cap Equity, Middle East North African Equities, Asian Equities, U.S. Long/Short Equity and International Concentrated Equity.</w:t>
      </w:r>
    </w:p>
    <w:p>
      <w:pPr>
        <w:spacing w:after="0" w:line="109"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transactions, including completed transactions with values greater than $500 million, increased in the first half of 2015 as compared to the first half of 2014, while the number of all completed transactions decreased over the same period. With respect to announced M&amp;A transactions, the value of all announced transactions, including announced transactions with values greater than $500 million, increased in the first half of 2015 as compared to the first half of 2014, while the number of all announced transactions decreased over the same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2014</w:t>
            </w:r>
          </w:p>
        </w:tc>
        <w:tc>
          <w:tcPr>
            <w:tcW w:w="124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97"/>
              </w:rPr>
              <w:t>Incr / (Decr)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920" w:type="dxa"/>
            <w:vAlign w:val="bottom"/>
          </w:tcPr>
          <w:p>
            <w:pPr>
              <w:jc w:val="right"/>
              <w:ind w:right="516"/>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4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w w:val="85"/>
              </w:rPr>
              <w:t>($ in billions)</w:t>
            </w: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613</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1,756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1,354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4620" w:type="dxa"/>
            <w:vAlign w:val="bottom"/>
          </w:tcPr>
          <w:p>
            <w:pPr>
              <w:ind w:left="88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w w:val="88"/>
              </w:rPr>
              <w:t>7,925</w:t>
            </w:r>
          </w:p>
        </w:tc>
        <w:tc>
          <w:tcPr>
            <w:tcW w:w="460" w:type="dxa"/>
            <w:vAlign w:val="bottom"/>
          </w:tcPr>
          <w:p>
            <w:pPr>
              <w:spacing w:after="0"/>
              <w:rPr>
                <w:sz w:val="18"/>
                <w:szCs w:val="18"/>
                <w:color w:val="auto"/>
              </w:rPr>
            </w:pPr>
          </w:p>
        </w:tc>
        <w:tc>
          <w:tcPr>
            <w:tcW w:w="980" w:type="dxa"/>
            <w:vAlign w:val="bottom"/>
          </w:tcPr>
          <w:p>
            <w:pPr>
              <w:jc w:val="right"/>
              <w:ind w:right="416"/>
              <w:spacing w:after="0"/>
              <w:rPr>
                <w:sz w:val="20"/>
                <w:szCs w:val="20"/>
                <w:color w:val="auto"/>
              </w:rPr>
            </w:pPr>
            <w:r>
              <w:rPr>
                <w:rFonts w:ascii="Arial" w:cs="Arial" w:eastAsia="Arial" w:hAnsi="Arial"/>
                <w:sz w:val="18"/>
                <w:szCs w:val="18"/>
                <w:color w:val="auto"/>
                <w:w w:val="83"/>
              </w:rPr>
              <w:t>10,083</w:t>
            </w:r>
          </w:p>
        </w:tc>
        <w:tc>
          <w:tcPr>
            <w:tcW w:w="1240" w:type="dxa"/>
            <w:vAlign w:val="bottom"/>
            <w:gridSpan w:val="2"/>
          </w:tcPr>
          <w:p>
            <w:pPr>
              <w:jc w:val="right"/>
              <w:ind w:right="19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w w:val="87"/>
              </w:rPr>
              <w:t>17,254</w:t>
            </w:r>
          </w:p>
        </w:tc>
        <w:tc>
          <w:tcPr>
            <w:tcW w:w="440" w:type="dxa"/>
            <w:vAlign w:val="bottom"/>
          </w:tcPr>
          <w:p>
            <w:pPr>
              <w:spacing w:after="0"/>
              <w:rPr>
                <w:sz w:val="18"/>
                <w:szCs w:val="18"/>
                <w:color w:val="auto"/>
              </w:rPr>
            </w:pPr>
          </w:p>
        </w:tc>
        <w:tc>
          <w:tcPr>
            <w:tcW w:w="920" w:type="dxa"/>
            <w:vAlign w:val="bottom"/>
          </w:tcPr>
          <w:p>
            <w:pPr>
              <w:jc w:val="right"/>
              <w:ind w:right="356"/>
              <w:spacing w:after="0"/>
              <w:rPr>
                <w:sz w:val="20"/>
                <w:szCs w:val="20"/>
                <w:color w:val="auto"/>
              </w:rPr>
            </w:pPr>
            <w:r>
              <w:rPr>
                <w:rFonts w:ascii="Arial" w:cs="Arial" w:eastAsia="Arial" w:hAnsi="Arial"/>
                <w:sz w:val="18"/>
                <w:szCs w:val="18"/>
                <w:color w:val="auto"/>
                <w:w w:val="83"/>
              </w:rPr>
              <w:t>19,754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620" w:type="dxa"/>
            <w:vAlign w:val="bottom"/>
          </w:tcPr>
          <w:p>
            <w:pPr>
              <w:ind w:left="880"/>
              <w:spacing w:after="0"/>
              <w:rPr>
                <w:sz w:val="20"/>
                <w:szCs w:val="20"/>
                <w:color w:val="auto"/>
              </w:rPr>
            </w:pPr>
            <w:r>
              <w:rPr>
                <w:rFonts w:ascii="Arial" w:cs="Arial" w:eastAsia="Arial" w:hAnsi="Arial"/>
                <w:sz w:val="18"/>
                <w:szCs w:val="18"/>
                <w:color w:val="auto"/>
              </w:rPr>
              <w:t>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715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6"/>
              <w:spacing w:after="0"/>
              <w:rPr>
                <w:sz w:val="20"/>
                <w:szCs w:val="20"/>
                <w:color w:val="auto"/>
              </w:rPr>
            </w:pPr>
            <w:r>
              <w:rPr>
                <w:rFonts w:ascii="Arial" w:cs="Arial" w:eastAsia="Arial" w:hAnsi="Arial"/>
                <w:sz w:val="18"/>
                <w:szCs w:val="18"/>
                <w:color w:val="auto"/>
              </w:rPr>
              <w:t>401</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1,380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6"/>
              <w:spacing w:after="0"/>
              <w:rPr>
                <w:sz w:val="20"/>
                <w:szCs w:val="20"/>
                <w:color w:val="auto"/>
              </w:rPr>
            </w:pPr>
            <w:r>
              <w:rPr>
                <w:rFonts w:ascii="Arial" w:cs="Arial" w:eastAsia="Arial" w:hAnsi="Arial"/>
                <w:sz w:val="18"/>
                <w:szCs w:val="18"/>
                <w:color w:val="auto"/>
              </w:rPr>
              <w:t>959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263</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229</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526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491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620" w:type="dxa"/>
            <w:vAlign w:val="bottom"/>
          </w:tcPr>
          <w:p>
            <w:pPr>
              <w:ind w:left="880"/>
              <w:spacing w:after="0"/>
              <w:rPr>
                <w:sz w:val="20"/>
                <w:szCs w:val="20"/>
                <w:color w:val="auto"/>
              </w:rPr>
            </w:pPr>
            <w:r>
              <w:rPr>
                <w:rFonts w:ascii="Arial" w:cs="Arial" w:eastAsia="Arial" w:hAnsi="Arial"/>
                <w:sz w:val="18"/>
                <w:szCs w:val="18"/>
                <w:color w:val="auto"/>
              </w:rPr>
              <w:t>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74"/>
              <w:spacing w:after="0"/>
              <w:rPr>
                <w:sz w:val="20"/>
                <w:szCs w:val="20"/>
                <w:color w:val="auto"/>
              </w:rPr>
            </w:pPr>
            <w:r>
              <w:rPr>
                <w:rFonts w:ascii="Arial" w:cs="Arial" w:eastAsia="Arial" w:hAnsi="Arial"/>
                <w:sz w:val="18"/>
                <w:szCs w:val="18"/>
                <w:color w:val="auto"/>
                <w:w w:val="88"/>
              </w:rPr>
              <w:t>1,375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6"/>
              <w:spacing w:after="0"/>
              <w:rPr>
                <w:sz w:val="20"/>
                <w:szCs w:val="20"/>
                <w:color w:val="auto"/>
              </w:rPr>
            </w:pPr>
            <w:r>
              <w:rPr>
                <w:rFonts w:ascii="Arial" w:cs="Arial" w:eastAsia="Arial" w:hAnsi="Arial"/>
                <w:sz w:val="18"/>
                <w:szCs w:val="18"/>
                <w:color w:val="auto"/>
              </w:rPr>
              <w:t>1,010</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2,277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6"/>
              <w:spacing w:after="0"/>
              <w:rPr>
                <w:sz w:val="20"/>
                <w:szCs w:val="20"/>
                <w:color w:val="auto"/>
              </w:rPr>
            </w:pPr>
            <w:r>
              <w:rPr>
                <w:rFonts w:ascii="Arial" w:cs="Arial" w:eastAsia="Arial" w:hAnsi="Arial"/>
                <w:sz w:val="18"/>
                <w:szCs w:val="18"/>
                <w:color w:val="auto"/>
              </w:rPr>
              <w:t>1,671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8"/>
              </w:rPr>
              <w:t>8,819</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w w:val="83"/>
              </w:rPr>
              <w:t>10,474</w:t>
            </w: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7"/>
              </w:rPr>
              <w:t>18,650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83"/>
              </w:rPr>
              <w:t>20,301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8"/>
              </w:rPr>
              <w:t>1,133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772</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1,828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1,246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r>
      <w:tr>
        <w:trPr>
          <w:trHeight w:val="222"/>
        </w:trPr>
        <w:tc>
          <w:tcPr>
            <w:tcW w:w="4620" w:type="dxa"/>
            <w:vAlign w:val="bottom"/>
          </w:tcPr>
          <w:p>
            <w:pPr>
              <w:ind w:left="88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330</w:t>
            </w:r>
          </w:p>
        </w:tc>
        <w:tc>
          <w:tcPr>
            <w:tcW w:w="460" w:type="dxa"/>
            <w:vAlign w:val="bottom"/>
          </w:tcPr>
          <w:p>
            <w:pPr>
              <w:spacing w:after="0"/>
              <w:rPr>
                <w:sz w:val="19"/>
                <w:szCs w:val="19"/>
                <w:color w:val="auto"/>
              </w:rPr>
            </w:pPr>
          </w:p>
        </w:tc>
        <w:tc>
          <w:tcPr>
            <w:tcW w:w="980" w:type="dxa"/>
            <w:vAlign w:val="bottom"/>
          </w:tcPr>
          <w:p>
            <w:pPr>
              <w:jc w:val="right"/>
              <w:ind w:right="416"/>
              <w:spacing w:after="0"/>
              <w:rPr>
                <w:sz w:val="20"/>
                <w:szCs w:val="20"/>
                <w:color w:val="auto"/>
              </w:rPr>
            </w:pPr>
            <w:r>
              <w:rPr>
                <w:rFonts w:ascii="Arial" w:cs="Arial" w:eastAsia="Arial" w:hAnsi="Arial"/>
                <w:sz w:val="18"/>
                <w:szCs w:val="18"/>
                <w:color w:val="auto"/>
              </w:rPr>
              <w:t>308</w:t>
            </w:r>
          </w:p>
        </w:tc>
        <w:tc>
          <w:tcPr>
            <w:tcW w:w="1240" w:type="dxa"/>
            <w:vAlign w:val="bottom"/>
            <w:gridSpan w:val="2"/>
          </w:tcPr>
          <w:p>
            <w:pPr>
              <w:jc w:val="right"/>
              <w:ind w:right="25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602</w:t>
            </w:r>
          </w:p>
        </w:tc>
        <w:tc>
          <w:tcPr>
            <w:tcW w:w="440" w:type="dxa"/>
            <w:vAlign w:val="bottom"/>
          </w:tcPr>
          <w:p>
            <w:pPr>
              <w:spacing w:after="0"/>
              <w:rPr>
                <w:sz w:val="19"/>
                <w:szCs w:val="19"/>
                <w:color w:val="auto"/>
              </w:rPr>
            </w:pPr>
          </w:p>
        </w:tc>
        <w:tc>
          <w:tcPr>
            <w:tcW w:w="920" w:type="dxa"/>
            <w:vAlign w:val="bottom"/>
          </w:tcPr>
          <w:p>
            <w:pPr>
              <w:jc w:val="right"/>
              <w:ind w:right="356"/>
              <w:spacing w:after="0"/>
              <w:rPr>
                <w:sz w:val="20"/>
                <w:szCs w:val="20"/>
                <w:color w:val="auto"/>
              </w:rPr>
            </w:pPr>
            <w:r>
              <w:rPr>
                <w:rFonts w:ascii="Arial" w:cs="Arial" w:eastAsia="Arial" w:hAnsi="Arial"/>
                <w:sz w:val="18"/>
                <w:szCs w:val="18"/>
                <w:color w:val="auto"/>
              </w:rPr>
              <w:t>551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6, 2015.</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Global restructuring activity during the first half of 2015, as measured by the number of corporate defaults, increased as compared to the first half of 2014, however, the aggregate value of debt defaults remained low, consistent with the last several years. The number of defaulting issuers increased to 38 in the 2015 period, according to Moody’s Investors Service, Inc., as compared to 25 in the 2014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percentage change in major equity market indices at June 30, 2015, as compared to such indices at March 31, 2015, December 31, 2014, and at June 30, 2014,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June 30, 2015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540" w:type="dxa"/>
            <w:vAlign w:val="bottom"/>
          </w:tcPr>
          <w:p>
            <w:pPr>
              <w:spacing w:after="0"/>
              <w:rPr>
                <w:sz w:val="11"/>
                <w:szCs w:val="11"/>
                <w:color w:val="auto"/>
              </w:rPr>
            </w:pPr>
          </w:p>
        </w:tc>
        <w:tc>
          <w:tcPr>
            <w:tcW w:w="172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5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 Stoxx</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S&amp;P 500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0.2%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June 30, 2015 increased 3% versus AUM at December 31, 2014, primarily due to market appreciation and net inflows, partially offset by adverse foreign exchange movements. Average AUM in the first half of 2015 increased 5% as compared to average AUM in the 2014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2015 represented (1)% of Lazard’s net revenue, total assets in the Corporate segment represented 57% of Lazard’s consolidated total assets as of June 30, 2015, which are attributable to cash and cash equivalents, investments in debt and equity securities, interests in alternative investment, debt, equity and private equity funds, deferred tax assets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jc w:val="both"/>
        <w:ind w:left="900" w:right="260" w:hanging="325"/>
        <w:spacing w:after="0" w:line="29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add (i)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2015, 2014 and 2013 related to the 2014, 2013 and 2012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We believe that over the cycle we can attain a ratio of awarded compensation and benefits expense to operating revenue in the mid-to-high-50s percentage range, which compares to 55.6% for the year ended December 31, 2014.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substantial majority of the Company’s 6.85% senior notes due 2017 (the “2017 Notes”) (see Note 9 of Notes to Condensed Consolidated Financial Statements). For all periods, the amortization of intangible assets related to acquisitions pertains primarily to the acquisition of Edgewater.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Lazard Group primarily operates in the U.S. as a limited liability company that is treated as a partnership for U.S. federal income tax purposes. As a result, Lazard Group’s income pertaining to the limited liability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is not subject to U.S. federal income taxes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six month periods ended June 30, 2015 was negatively impacted in comparison to the prior year periods. The majority of the negative impact in each period was offset by the positive impact of the exchange rate movements on our operating expenses denominated in currencies other than the U.S. dollar.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6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5"/>
          </w:tcPr>
          <w:p>
            <w:pPr>
              <w:jc w:val="right"/>
              <w:ind w:right="91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38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$607,951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566,805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4"/>
              </w:rPr>
              <w:t>1,184,804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1,100,100</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38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336,707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345,911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665,197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380" w:type="dxa"/>
            <w:vAlign w:val="bottom"/>
            <w:gridSpan w:val="3"/>
          </w:tcPr>
          <w:p>
            <w:pPr>
              <w:jc w:val="right"/>
              <w:ind w:right="452"/>
              <w:spacing w:after="0"/>
              <w:rPr>
                <w:sz w:val="20"/>
                <w:szCs w:val="20"/>
                <w:color w:val="auto"/>
              </w:rPr>
            </w:pPr>
            <w:r>
              <w:rPr>
                <w:rFonts w:ascii="Arial" w:cs="Arial" w:eastAsia="Arial" w:hAnsi="Arial"/>
                <w:sz w:val="18"/>
                <w:szCs w:val="18"/>
                <w:color w:val="auto"/>
              </w:rPr>
              <w:t>108,251</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110,300</w:t>
            </w:r>
          </w:p>
        </w:tc>
        <w:tc>
          <w:tcPr>
            <w:tcW w:w="80" w:type="dxa"/>
            <w:vAlign w:val="bottom"/>
          </w:tcPr>
          <w:p>
            <w:pPr>
              <w:spacing w:after="0"/>
              <w:rPr>
                <w:sz w:val="18"/>
                <w:szCs w:val="18"/>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274,970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446,815</w:t>
            </w: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456,917</w:t>
            </w:r>
          </w:p>
        </w:tc>
        <w:tc>
          <w:tcPr>
            <w:tcW w:w="80" w:type="dxa"/>
            <w:vAlign w:val="bottom"/>
          </w:tcPr>
          <w:p>
            <w:pPr>
              <w:spacing w:after="0"/>
              <w:rPr>
                <w:sz w:val="19"/>
                <w:szCs w:val="19"/>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943,057</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882,824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8"/>
              </w:rPr>
              <w:t>161,136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109,888</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241,747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rPr>
              <w:t>14,464</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15,878</w:t>
            </w:r>
          </w:p>
        </w:tc>
        <w:tc>
          <w:tcPr>
            <w:tcW w:w="80" w:type="dxa"/>
            <w:vAlign w:val="bottom"/>
          </w:tcPr>
          <w:p>
            <w:pPr>
              <w:spacing w:after="0"/>
              <w:rPr>
                <w:sz w:val="18"/>
                <w:szCs w:val="18"/>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25,922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8"/>
              </w:rPr>
              <w:t>146,672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94,010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215,825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20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38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145,629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93,457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208,089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178,868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gridSpan w:val="2"/>
            <w:vMerge w:val="continue"/>
          </w:tcPr>
          <w:p>
            <w:pPr>
              <w:spacing w:after="0"/>
              <w:rPr>
                <w:sz w:val="18"/>
                <w:szCs w:val="18"/>
                <w:color w:val="auto"/>
              </w:rPr>
            </w:pPr>
          </w:p>
        </w:tc>
        <w:tc>
          <w:tcPr>
            <w:tcW w:w="2380" w:type="dxa"/>
            <w:vAlign w:val="bottom"/>
            <w:gridSpan w:val="3"/>
          </w:tcPr>
          <w:p>
            <w:pPr>
              <w:jc w:val="right"/>
              <w:ind w:right="29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11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4"/>
          </w:tcPr>
          <w:p>
            <w:pPr>
              <w:jc w:val="right"/>
              <w:ind w:right="560"/>
              <w:spacing w:after="0" w:line="155"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$ 607,951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$ 566,805</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$ 1,184,804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$ 1,100,100</w:t>
            </w: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Interest expense (a)</w:t>
            </w:r>
          </w:p>
        </w:tc>
        <w:tc>
          <w:tcPr>
            <w:tcW w:w="700" w:type="dxa"/>
            <w:vAlign w:val="bottom"/>
          </w:tcPr>
          <w:p>
            <w:pPr>
              <w:jc w:val="right"/>
              <w:spacing w:after="0"/>
              <w:rPr>
                <w:sz w:val="20"/>
                <w:szCs w:val="20"/>
                <w:color w:val="auto"/>
              </w:rPr>
            </w:pPr>
            <w:r>
              <w:rPr>
                <w:rFonts w:ascii="Arial" w:cs="Arial" w:eastAsia="Arial" w:hAnsi="Arial"/>
                <w:sz w:val="18"/>
                <w:szCs w:val="18"/>
                <w:color w:val="auto"/>
              </w:rPr>
              <w:t>12,452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17,150</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29,533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34,486</w:t>
            </w: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(3,588)</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(8,778)</w:t>
            </w: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Private equity revenue adjustment (c)</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(12,203)</w:t>
            </w: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(12,203)</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LFI (d)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(11,532)</w:t>
            </w: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$ 606,506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$ 572,537</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$ 1,187,570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$ 1,114,276</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12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4" w:lineRule="auto"/>
        <w:rPr>
          <w:sz w:val="20"/>
          <w:szCs w:val="20"/>
          <w:color w:val="auto"/>
        </w:rPr>
      </w:pPr>
      <w:r>
        <w:rPr>
          <w:rFonts w:ascii="Arial" w:cs="Arial" w:eastAsia="Arial" w:hAnsi="Arial"/>
          <w:sz w:val="18"/>
          <w:szCs w:val="18"/>
          <w:color w:val="auto"/>
        </w:rPr>
        <w:t>of the business (which primarily represents the realization of carried interest at fair value) is adjusted for the recognition of an obligation of $12,203 with the management of the disposed business, which obligation was previously recognized for U.S. GAAP.</w:t>
      </w:r>
    </w:p>
    <w:p>
      <w:pPr>
        <w:ind w:left="460" w:right="64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 June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20" w:type="dxa"/>
            <w:vAlign w:val="bottom"/>
            <w:gridSpan w:val="5"/>
          </w:tcPr>
          <w:p>
            <w:pPr>
              <w:jc w:val="right"/>
              <w:ind w:right="620"/>
              <w:spacing w:after="0" w:line="155" w:lineRule="exact"/>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w w:val="87"/>
              </w:rPr>
              <w:t>$336,707</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$ 345,911</w:t>
            </w:r>
          </w:p>
        </w:tc>
        <w:tc>
          <w:tcPr>
            <w:tcW w:w="3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$665,197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$667,461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(1,184)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(1,098)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(2,401)</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(b)</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337,417</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335,907</w:t>
            </w:r>
          </w:p>
        </w:tc>
        <w:tc>
          <w:tcPr>
            <w:tcW w:w="3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660,554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653,683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55.6%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c>
          <w:tcPr>
            <w:tcW w:w="21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0" w:type="dxa"/>
            <w:vAlign w:val="bottom"/>
            <w:gridSpan w:val="5"/>
          </w:tcPr>
          <w:p>
            <w:pPr>
              <w:ind w:left="460"/>
              <w:spacing w:after="0" w:line="155"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w w:val="87"/>
              </w:rPr>
              <w:t>$108,251</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$110,300</w:t>
            </w:r>
          </w:p>
        </w:tc>
        <w:tc>
          <w:tcPr>
            <w:tcW w:w="5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$274,970</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$213,437</w:t>
            </w: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(567)</w:t>
            </w:r>
          </w:p>
        </w:tc>
        <w:tc>
          <w:tcPr>
            <w:tcW w:w="1180" w:type="dxa"/>
            <w:vAlign w:val="bottom"/>
            <w:gridSpan w:val="2"/>
          </w:tcPr>
          <w:p>
            <w:pPr>
              <w:jc w:val="right"/>
              <w:ind w:right="392"/>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(1,001)</w:t>
            </w:r>
          </w:p>
        </w:tc>
      </w:tr>
      <w:tr>
        <w:trPr>
          <w:trHeight w:val="216"/>
        </w:trPr>
        <w:tc>
          <w:tcPr>
            <w:tcW w:w="6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(60,219)</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Adjusted non-compensation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107,899</w:t>
            </w:r>
          </w:p>
        </w:tc>
        <w:tc>
          <w:tcPr>
            <w:tcW w:w="5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109,733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214,036</w:t>
            </w:r>
          </w:p>
        </w:tc>
        <w:tc>
          <w:tcPr>
            <w:tcW w:w="5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212,436</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44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Charges pertaining to the redemption of a substantial majority of the Company’s 2017 Notes are excluded because of the non-recurring nature of such transaction. See “—Liquidity and Capital Resources—Financing Activities.”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4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10"/>
          </w:tcPr>
          <w:p>
            <w:pPr>
              <w:jc w:val="center"/>
              <w:ind w:right="6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7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gridSpan w:val="11"/>
          </w:tcPr>
          <w:p>
            <w:pPr>
              <w:ind w:left="64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Operating revenue</w:t>
            </w:r>
          </w:p>
        </w:tc>
        <w:tc>
          <w:tcPr>
            <w:tcW w:w="1300" w:type="dxa"/>
            <w:vAlign w:val="bottom"/>
            <w:gridSpan w:val="2"/>
          </w:tcPr>
          <w:p>
            <w:pPr>
              <w:jc w:val="right"/>
              <w:ind w:right="492"/>
              <w:spacing w:after="0"/>
              <w:rPr>
                <w:sz w:val="20"/>
                <w:szCs w:val="20"/>
                <w:color w:val="auto"/>
              </w:rPr>
            </w:pPr>
            <w:r>
              <w:rPr>
                <w:rFonts w:ascii="Arial" w:cs="Arial" w:eastAsia="Arial" w:hAnsi="Arial"/>
                <w:sz w:val="18"/>
                <w:szCs w:val="18"/>
                <w:color w:val="auto"/>
                <w:w w:val="89"/>
              </w:rPr>
              <w:t>$ 606,506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2"/>
              </w:rPr>
              <w:t>$ 572,537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36"/>
              <w:spacing w:after="0"/>
              <w:rPr>
                <w:sz w:val="20"/>
                <w:szCs w:val="20"/>
                <w:color w:val="auto"/>
              </w:rPr>
            </w:pPr>
            <w:r>
              <w:rPr>
                <w:rFonts w:ascii="Arial" w:cs="Arial" w:eastAsia="Arial" w:hAnsi="Arial"/>
                <w:sz w:val="18"/>
                <w:szCs w:val="18"/>
                <w:color w:val="auto"/>
                <w:w w:val="84"/>
              </w:rPr>
              <w:t>1,187,570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w w:val="84"/>
              </w:rPr>
              <w:t>1,114,276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300" w:type="dxa"/>
            <w:vAlign w:val="bottom"/>
            <w:gridSpan w:val="2"/>
          </w:tcPr>
          <w:p>
            <w:pPr>
              <w:jc w:val="right"/>
              <w:ind w:right="432"/>
              <w:spacing w:after="0"/>
              <w:rPr>
                <w:sz w:val="20"/>
                <w:szCs w:val="20"/>
                <w:color w:val="auto"/>
              </w:rPr>
            </w:pPr>
            <w:r>
              <w:rPr>
                <w:rFonts w:ascii="Arial" w:cs="Arial" w:eastAsia="Arial" w:hAnsi="Arial"/>
                <w:sz w:val="18"/>
                <w:szCs w:val="18"/>
                <w:color w:val="auto"/>
              </w:rPr>
              <w:t>(337,417)</w:t>
            </w:r>
          </w:p>
        </w:tc>
        <w:tc>
          <w:tcPr>
            <w:tcW w:w="1260" w:type="dxa"/>
            <w:vAlign w:val="bottom"/>
            <w:gridSpan w:val="4"/>
          </w:tcPr>
          <w:p>
            <w:pPr>
              <w:jc w:val="right"/>
              <w:ind w:right="352"/>
              <w:spacing w:after="0"/>
              <w:rPr>
                <w:sz w:val="20"/>
                <w:szCs w:val="20"/>
                <w:color w:val="auto"/>
              </w:rPr>
            </w:pPr>
            <w:r>
              <w:rPr>
                <w:rFonts w:ascii="Arial" w:cs="Arial" w:eastAsia="Arial" w:hAnsi="Arial"/>
                <w:sz w:val="18"/>
                <w:szCs w:val="18"/>
                <w:color w:val="auto"/>
              </w:rPr>
              <w:t>(335,907)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76"/>
              <w:spacing w:after="0"/>
              <w:rPr>
                <w:sz w:val="20"/>
                <w:szCs w:val="20"/>
                <w:color w:val="auto"/>
              </w:rPr>
            </w:pPr>
            <w:r>
              <w:rPr>
                <w:rFonts w:ascii="Arial" w:cs="Arial" w:eastAsia="Arial" w:hAnsi="Arial"/>
                <w:sz w:val="18"/>
                <w:szCs w:val="18"/>
                <w:color w:val="auto"/>
                <w:w w:val="95"/>
              </w:rPr>
              <w:t>(660,554)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(653,683)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3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(107,899)</w:t>
            </w:r>
          </w:p>
        </w:tc>
        <w:tc>
          <w:tcPr>
            <w:tcW w:w="1260" w:type="dxa"/>
            <w:vAlign w:val="bottom"/>
            <w:gridSpan w:val="4"/>
            <w:shd w:val="clear" w:color="auto" w:fill="CCEEFF"/>
          </w:tcPr>
          <w:p>
            <w:pPr>
              <w:jc w:val="right"/>
              <w:ind w:right="352"/>
              <w:spacing w:after="0"/>
              <w:rPr>
                <w:sz w:val="20"/>
                <w:szCs w:val="20"/>
                <w:color w:val="auto"/>
              </w:rPr>
            </w:pPr>
            <w:r>
              <w:rPr>
                <w:rFonts w:ascii="Arial" w:cs="Arial" w:eastAsia="Arial" w:hAnsi="Arial"/>
                <w:sz w:val="18"/>
                <w:szCs w:val="18"/>
                <w:color w:val="auto"/>
              </w:rPr>
              <w:t>(109,733)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76"/>
              <w:spacing w:after="0"/>
              <w:rPr>
                <w:sz w:val="20"/>
                <w:szCs w:val="20"/>
                <w:color w:val="auto"/>
              </w:rPr>
            </w:pPr>
            <w:r>
              <w:rPr>
                <w:rFonts w:ascii="Arial" w:cs="Arial" w:eastAsia="Arial" w:hAnsi="Arial"/>
                <w:sz w:val="18"/>
                <w:szCs w:val="18"/>
                <w:color w:val="auto"/>
                <w:w w:val="95"/>
              </w:rPr>
              <w:t>(214,036)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(212,436)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$ 161,190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$ 126,897</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36"/>
              <w:spacing w:after="0"/>
              <w:rPr>
                <w:sz w:val="20"/>
                <w:szCs w:val="20"/>
                <w:color w:val="auto"/>
              </w:rPr>
            </w:pPr>
            <w:r>
              <w:rPr>
                <w:rFonts w:ascii="Arial" w:cs="Arial" w:eastAsia="Arial" w:hAnsi="Arial"/>
                <w:sz w:val="18"/>
                <w:szCs w:val="18"/>
                <w:color w:val="auto"/>
              </w:rPr>
              <w:t>312,980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248,157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3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26.6%</w:t>
            </w:r>
          </w:p>
        </w:tc>
        <w:tc>
          <w:tcPr>
            <w:tcW w:w="126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22.2%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76"/>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0"/>
              </w:rPr>
              <w:t>As Of</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5"/>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1,122</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2,461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June 30, 2014</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$146 million, as compared to net income of $93 million in the 2014 period. The changes in the Company’s operating results during these periods are described below.</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Net revenue increased $41 million, or 7%, with operating revenue increasing $34 million, or 6%, as compared to the 2014 period. Fee revenue from investment banking and other advisory activities increased $34 million, or 12%, primarily due to increases in M&amp;A and Other Advisory fees. The increase in M&amp;A and Other Advisory fee revenue was primarily due to an increase in the average transaction fee with respect to completed transactions involving fees greater than $1 million as compared to the 2014 period. Asset management fees, including incentive fees, decreased $7 million, or 3%, as compared to the 2014 period, principally reflecting a decrease in incentive fees relating to traditional investment products. In the aggregate, interest income, other revenue and interest expense increased $14 million as compared to the 2014 period, primarily due to a $24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million gain on the disposal of the Company’s Australian private equity business (which primarily relates to the realization of carried interest at fair value), partially offset by investment losses due to LFI. Interest expense was lower due to the refinancing of the 2017 Notes.</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Compensation and benefits expense decreased $9 million, or 3%, as compared to the 2014 period, primarily driven by a decrease in amortization of deferred compensation expense, partially offset by an increase in discretionary compensation.</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$337 million, an increase of $1 million as compared to $336 million in the 2014 period. The ratio of adjusted compensation and benefits expense to operating revenue was 55.6% for the 2015 period, as compared to 58.7% for the 2014 period and 55.5% for full-year 2014.</w:t>
      </w:r>
    </w:p>
    <w:p>
      <w:pPr>
        <w:spacing w:after="0" w:line="107" w:lineRule="exact"/>
        <w:rPr>
          <w:sz w:val="20"/>
          <w:szCs w:val="20"/>
          <w:color w:val="auto"/>
        </w:rPr>
      </w:pPr>
    </w:p>
    <w:p>
      <w:pPr>
        <w:ind w:right="940" w:firstLine="456"/>
        <w:spacing w:after="0" w:line="370" w:lineRule="auto"/>
        <w:rPr>
          <w:sz w:val="20"/>
          <w:szCs w:val="20"/>
          <w:color w:val="auto"/>
        </w:rPr>
      </w:pPr>
      <w:r>
        <w:rPr>
          <w:rFonts w:ascii="Arial" w:cs="Arial" w:eastAsia="Arial" w:hAnsi="Arial"/>
          <w:sz w:val="15"/>
          <w:szCs w:val="15"/>
          <w:color w:val="auto"/>
        </w:rPr>
        <w:t>Non-compensation expense decreased $2 million, or 2%, as compared to the 2014 period, on both a U.S. GAAP and adjusted basis, including noncontrolling interests. The ratio of adjusted non-compensation expense to operating revenue was 17.8%, as compared to 19.2% in the 2014 period.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as compared to the 2014 period.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Operating income increased $51 million, or 47%, as compared to the 2014 period, and, as a percentage of net revenue, was 26.5%, as compared to 19.4% in the 2014 period.</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Earnings from operations increased $34 million, or 27%, as compared to the 2014 period, and, as a percentage of operating revenue, was 26.6%, as compared to 22.2% in the 2014 period.</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9.0%, as compared to 14.4% for the 2014 period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2014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June 30, 2014</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$208 million, as compared to net income of $179 million in the 2014 period. The changes in the Company’s operating results during these periods are described below.</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revenue increased $85 million, or 8%, with operating revenue increasing $73 million, or 7%, as compared to the 2014 period. Fee revenue from investment banking and other advisory activities increased $63 million, or 11%, primarily due to increases in M&amp;A and Other Advisory fees. The increase in M&amp;A and Other Advisory fee revenue was primarily due to an increase in the average transaction fee with respect to completed transactions involving fees greater than $1 million as compared to the 2014 period. Asset management fees, including incentive fees, were substantially unchanged as compared to the 2014 period. In the aggregate, interest income, other revenue and interest expense increased $20 million as compared to the 2014 period, primarily due to a $24 million gain on the disposal of the Company’s Australian private equity business (which primarily relates to the realization of carried interest at fair value), partially offset by lower investment gains due to LFI. Interest expense was lower due to the refinancing of the 2017 Notes.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Compensation and benefits expense decreased $2 million as compared to the 2014 period, primarily driven by a decrease in discretionary compensation, partially offset by an increase in amortization of deferred compensation expense.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$661 million, an increase of $7 million, or 1%, as compared to $654 million in the 2014 period, primarily driven by an increase in amortization of deferred compensation, partially offset by a decrease in discretionary compensation. The ratio of adjusted compensation and benefits expense to operating revenue was 55.6% for the 2015 period, as compared to 58.7% for the 2014 period and 55.5% for full-year 2014.</w:t>
      </w:r>
    </w:p>
    <w:p>
      <w:pPr>
        <w:spacing w:after="0" w:line="11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Non-compensation expense increased $62 million, or 29%, as compared to the 2014 period. In the 2015 period, non-compensation expense included a charge of $60 million related to the redemption of a substantial majority of the Company’s 2017 Notes. When excluding such charge, as well as non-compensation costs relating to noncontrolling interests, adjusted non-compensation expense increased $2 million, or 1%, as compared to the 2014 period, primarily reflecting increased business activity and investment in our businesses. The ratio of adjusted non-compensation expense to operating revenue was 18.0%, as compared to 19.1% in the 2014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or 50%, in the 2015 period as compared to the 2014 period.</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Operating income, which included the charge relating to the redemption of a substantial majority of the Company’s 2017 Notes, increased $24 million, or 11%, as compared to the 2014 period, and, as a percentage of net revenue, was 20.4%, as compared to 19.8% in the 2014 period.</w:t>
      </w:r>
    </w:p>
    <w:p>
      <w:pPr>
        <w:spacing w:after="0" w:line="85" w:lineRule="exact"/>
        <w:rPr>
          <w:sz w:val="20"/>
          <w:szCs w:val="20"/>
          <w:color w:val="auto"/>
        </w:rPr>
      </w:pPr>
    </w:p>
    <w:p>
      <w:pPr>
        <w:jc w:val="both"/>
        <w:ind w:right="780" w:firstLine="456"/>
        <w:spacing w:after="0" w:line="370" w:lineRule="auto"/>
        <w:rPr>
          <w:sz w:val="20"/>
          <w:szCs w:val="20"/>
          <w:color w:val="auto"/>
        </w:rPr>
      </w:pPr>
      <w:r>
        <w:rPr>
          <w:rFonts w:ascii="Arial" w:cs="Arial" w:eastAsia="Arial" w:hAnsi="Arial"/>
          <w:sz w:val="15"/>
          <w:szCs w:val="15"/>
          <w:color w:val="auto"/>
        </w:rPr>
        <w:t>Earnings from operations, which excluded the charge related to the redemption of a substantial majority of the Company’s 2017 Notes increased $65 million, or 26%, as compared to the 2014 period, and, as a percentage of operating revenue, was 26.4%, as compared to 22.3% in the 2014 period.</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10.7%, as compared to 15.5% for the 2014 period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$3 million as compared to the 2014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4"/>
          </w:tcPr>
          <w:p>
            <w:pPr>
              <w:jc w:val="right"/>
              <w:ind w:right="1052"/>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273,150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233,313</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7"/>
              </w:rPr>
              <w:t>$533,954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472,457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Capital Raising</w:t>
            </w:r>
          </w:p>
        </w:tc>
        <w:tc>
          <w:tcPr>
            <w:tcW w:w="80" w:type="dxa"/>
            <w:vAlign w:val="bottom"/>
          </w:tcPr>
          <w:p>
            <w:pPr>
              <w:spacing w:after="0"/>
              <w:rPr>
                <w:sz w:val="18"/>
                <w:szCs w:val="18"/>
                <w:color w:val="auto"/>
              </w:rPr>
            </w:pPr>
          </w:p>
        </w:tc>
        <w:tc>
          <w:tcPr>
            <w:tcW w:w="1200" w:type="dxa"/>
            <w:vAlign w:val="bottom"/>
            <w:gridSpan w:val="2"/>
          </w:tcPr>
          <w:p>
            <w:pPr>
              <w:jc w:val="right"/>
              <w:ind w:right="552"/>
              <w:spacing w:after="0"/>
              <w:rPr>
                <w:sz w:val="20"/>
                <w:szCs w:val="20"/>
                <w:color w:val="auto"/>
              </w:rPr>
            </w:pPr>
            <w:r>
              <w:rPr>
                <w:rFonts w:ascii="Arial" w:cs="Arial" w:eastAsia="Arial" w:hAnsi="Arial"/>
                <w:sz w:val="18"/>
                <w:szCs w:val="18"/>
                <w:color w:val="auto"/>
              </w:rPr>
              <w:t>17,293</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26,574</w:t>
            </w: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34,862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290,443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259,887</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568,816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505,247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1200" w:type="dxa"/>
            <w:vAlign w:val="bottom"/>
            <w:gridSpan w:val="2"/>
          </w:tcPr>
          <w:p>
            <w:pPr>
              <w:jc w:val="right"/>
              <w:ind w:right="552"/>
              <w:spacing w:after="0"/>
              <w:rPr>
                <w:sz w:val="20"/>
                <w:szCs w:val="20"/>
                <w:color w:val="auto"/>
              </w:rPr>
            </w:pPr>
            <w:r>
              <w:rPr>
                <w:rFonts w:ascii="Arial" w:cs="Arial" w:eastAsia="Arial" w:hAnsi="Arial"/>
                <w:sz w:val="18"/>
                <w:szCs w:val="18"/>
                <w:color w:val="auto"/>
              </w:rPr>
              <w:t>25,941</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20,882</w:t>
            </w: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49,087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316,384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280,769</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617,903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556,265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0" w:type="dxa"/>
            <w:vAlign w:val="bottom"/>
            <w:gridSpan w:val="2"/>
          </w:tcPr>
          <w:p>
            <w:pPr>
              <w:jc w:val="right"/>
              <w:ind w:right="552"/>
              <w:spacing w:after="0"/>
              <w:rPr>
                <w:sz w:val="20"/>
                <w:szCs w:val="20"/>
                <w:color w:val="auto"/>
              </w:rPr>
            </w:pPr>
            <w:r>
              <w:rPr>
                <w:rFonts w:ascii="Arial" w:cs="Arial" w:eastAsia="Arial" w:hAnsi="Arial"/>
                <w:sz w:val="18"/>
                <w:szCs w:val="18"/>
                <w:color w:val="auto"/>
                <w:w w:val="86"/>
              </w:rPr>
              <w:t>253,221</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253,804</w:t>
            </w: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496,156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499,219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63,163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26,965</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57,046</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9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9.6%</w:t>
            </w:r>
          </w:p>
        </w:tc>
        <w:tc>
          <w:tcPr>
            <w:tcW w:w="1280" w:type="dxa"/>
            <w:vAlign w:val="bottom"/>
            <w:gridSpan w:val="2"/>
          </w:tcPr>
          <w:p>
            <w:pPr>
              <w:jc w:val="right"/>
              <w:ind w:right="39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 13% in 2015 as compared to 2014. In contrast, the industry statistics for global M&amp;A transactions described above reflect a 30% increase in the value, and a 13% decrease in the number, of all completed transactions in the first half of 2015 as compared to 2014. For M&amp;A deals with values greater than $500 million, the value and number of completed transactions in the first half of 2015 increased 44% and 7%, respectively, as compared to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5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8"/>
              </w:rPr>
              <w:t>Three Months Ended</w:t>
            </w:r>
          </w:p>
        </w:tc>
        <w:tc>
          <w:tcPr>
            <w:tcW w:w="20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64</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58</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111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29%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14</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6,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5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43</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June 30, 2014</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Financial Advisory net revenue increased $36 million, or 13%, as compared to the 2014 period. Total Strategic Advisory net revenue, representing fees from our M&amp;A and Other Advisory and Capital Raising businesses, increased $31 million, or 12%, and Restructuring revenue increased $5 million, or 24%, as compared to the 2014 period.</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M&amp;A and Other Advisory revenue increased $40 million, or 17%, while Capital Raising revenue decreased by $9 million, or 35%, as compared to the 2014 period. The increase in M&amp;A and Other Advisory revenue was primarily due to an increase in the average transaction fee with respect to completed transactions involving fees greater than $1 million as compared to the 2014 period. Our major clients, which in the aggregate represented a significant portion of our M&amp;A and Other Advisory revenue in the 2015 period, included Alexion Pharmaceuticals, Dynegy, Greene King, Integrys Energy Group, Kofax, Reynolds American, Siemens and Toll Holdings.</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increase in Restructuring revenue in the 2015 period was primarily due to the closing of large assignments, but overall was generally in line with the continued industry-wide low level of corporate restructuring activity. Our major clients, which in the aggregate represented a significant portion of our Restructuring revenue for the 2015 period, included Energy Future Holdings, Hercules Offshore, Longview Power, RadioShack, Sabine Oil &amp; Gas and Walter Energy.</w:t>
      </w:r>
    </w:p>
    <w:p>
      <w:pPr>
        <w:spacing w:after="0" w:line="143"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Operating expenses remained substantially unchanged as compared to the 2014 period, in both compensation and benefits and non-compensation expenses. 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Financial Advisory operating income was $63 million, an increase of $36 million, or 134%, as compared to operating income of $27 million in the 2014 period and, as a percentage of net revenue, was 20.0%, as compared to 9.6% in the 2014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June 30, 2014</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Financial Advisory net revenue increased $62 million, or 11%, as compared to the 2014 period. Total Strategic Advisory net revenue, representing fees from our M&amp;A and Other Advisory and Capital Raising businesses, increased $64 million, or 13%, and Restructuring revenue decreased $2 million, or 4%, as compared to the 2014 period.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M&amp;A and Other Advisory revenue increased $61 million, or 13%, while Capital Raising revenue increased by $2 million, or 6%, as compared to the 2014 period. The increase in M&amp;A and Other Advisory revenue was primarily due to an increase in the average transaction fee with respect to completed transactions involving fees greater than $1 million as compared to the 2014 period. Restructuring revenue in the 2015 period was generally in line with the continued industry-wide low level of corporate restructuring activity.</w:t>
      </w:r>
    </w:p>
    <w:p>
      <w:pPr>
        <w:spacing w:after="0" w:line="14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Operating expenses decreased $3 million, or 1%, as compared to the 2014 period, primarily due to a decrease in compensation and benefits expense primarily related to a decrease in discretionary compensation, partially offset by an increase in amortization of deferred compensation expense.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Financial Advisory operating income was $122 million, an increase of $65 million, or 113%, as compared to operating income of $57 million in the 2014 period and, as a percentage of net revenue, was 19.7%, as compared to 10.3% in the 2014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47,850</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32,901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5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166,402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Global</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5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5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480" w:type="dxa"/>
            <w:vAlign w:val="bottom"/>
            <w:vMerge w:val="restart"/>
          </w:tcPr>
          <w:p>
            <w:pPr>
              <w:jc w:val="right"/>
              <w:ind w:right="3532"/>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Total AUM at June 30, 2015 was $203 billion, an increase of $6 billion, or 3%, as compared to total AUM of $197 billion at December 31, 2014, primarily due to market appreciation and net inflows, partially offset by adverse foreign exchange movements. Average AUM for the three month and six month periods ended June 30, 2015 was 2% and 5% higher than that for the three month and six month periods ended June 30, 2014, respectively.</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2015, approximately 89% of our AUM was managed on behalf of institutional clients, including corporations, labor unions, public pension funds, insurance companies and banks, and through sub-advisory relationships, mutual fund sponsors, broker-dealers and registered advisors, and approximately 11% of our AUM was managed on behalf of individual client relationships, which are principally with family offices and individuals, and was substantially unchanged from the corresponding percentages at December 31, 2014.</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2015 and December 31, 2014, AUM with foreign currency exposure represented approximately 73% of our total AUM for each respective period. AUM with foreign currency exposure generally declines in value with the strengthening of the U.S. Dollar and increases in value as the U.S. Dollar weakens, with all other factors held constant.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Three Months Ended June 30,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2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Inflows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Outflows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Flows</w:t>
            </w:r>
          </w:p>
        </w:tc>
        <w:tc>
          <w:tcPr>
            <w:tcW w:w="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 in millions)</w:t>
            </w: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$162,852</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$ 7,761</w:t>
            </w: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(6,711)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Fixed Income</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31,722</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2,365</w:t>
            </w: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(1,394)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971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490</w:t>
            </w:r>
          </w:p>
        </w:tc>
        <w:tc>
          <w:tcPr>
            <w:tcW w:w="660" w:type="dxa"/>
            <w:vAlign w:val="bottom"/>
          </w:tcPr>
          <w:p>
            <w:pPr>
              <w:jc w:val="right"/>
              <w:spacing w:after="0"/>
              <w:rPr>
                <w:sz w:val="20"/>
                <w:szCs w:val="20"/>
                <w:color w:val="auto"/>
              </w:rPr>
            </w:pPr>
            <w:r>
              <w:rPr>
                <w:rFonts w:ascii="Arial" w:cs="Arial" w:eastAsia="Arial" w:hAnsi="Arial"/>
                <w:sz w:val="18"/>
                <w:szCs w:val="18"/>
                <w:color w:val="auto"/>
              </w:rPr>
              <w:t>32,513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(713)</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199,181</w:t>
            </w:r>
          </w:p>
        </w:tc>
        <w:tc>
          <w:tcPr>
            <w:tcW w:w="26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10,366</w:t>
            </w:r>
          </w:p>
        </w:tc>
        <w:tc>
          <w:tcPr>
            <w:tcW w:w="106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(8,818)</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1,548</w:t>
            </w:r>
          </w:p>
        </w:tc>
        <w:tc>
          <w:tcPr>
            <w:tcW w:w="440" w:type="dxa"/>
            <w:vAlign w:val="bottom"/>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2,197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Six Months Ended June 30, 2015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1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1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8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Inflows</w:t>
            </w:r>
          </w:p>
        </w:tc>
        <w:tc>
          <w:tcPr>
            <w:tcW w:w="1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Outflows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Flows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$160,912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$13,911</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 (13,641)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270</w:t>
            </w:r>
          </w:p>
        </w:tc>
        <w:tc>
          <w:tcPr>
            <w:tcW w:w="44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31,110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5,768</w:t>
            </w:r>
          </w:p>
        </w:tc>
        <w:tc>
          <w:tcPr>
            <w:tcW w:w="140" w:type="dxa"/>
            <w:vAlign w:val="bottom"/>
          </w:tcPr>
          <w:p>
            <w:pPr>
              <w:spacing w:after="0"/>
              <w:rPr>
                <w:sz w:val="18"/>
                <w:szCs w:val="18"/>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(2,625)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3,143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(1,587)</w:t>
            </w:r>
          </w:p>
        </w:tc>
        <w:tc>
          <w:tcPr>
            <w:tcW w:w="660" w:type="dxa"/>
            <w:vAlign w:val="bottom"/>
          </w:tcPr>
          <w:p>
            <w:pPr>
              <w:jc w:val="right"/>
              <w:spacing w:after="0"/>
              <w:rPr>
                <w:sz w:val="20"/>
                <w:szCs w:val="20"/>
                <w:color w:val="auto"/>
              </w:rPr>
            </w:pPr>
            <w:r>
              <w:rPr>
                <w:rFonts w:ascii="Arial" w:cs="Arial" w:eastAsia="Arial" w:hAnsi="Arial"/>
                <w:sz w:val="18"/>
                <w:szCs w:val="18"/>
                <w:color w:val="auto"/>
              </w:rPr>
              <w:t>32,513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(1,147)</w:t>
            </w:r>
          </w:p>
        </w:tc>
        <w:tc>
          <w:tcPr>
            <w:tcW w:w="11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(824)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197,103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20,002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(17,413)</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2,589</w:t>
            </w:r>
          </w:p>
        </w:tc>
        <w:tc>
          <w:tcPr>
            <w:tcW w:w="44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9,109</w:t>
            </w:r>
          </w:p>
        </w:tc>
        <w:tc>
          <w:tcPr>
            <w:tcW w:w="44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(5,715)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Inflows in the Equity and Fixed Income asset classes were primarily attributable to the Emerging Markets and Multi-Regional platforms. Outflows in the Equity asset class were primarily attributable to the Emerging Markets and Global equity platforms, and outflows in the Fixed Income asset class were primarily attributable to the Multi-Regional and Emerging Markets platforms.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4"/>
          </w:tcPr>
          <w:p>
            <w:pPr>
              <w:ind w:left="100"/>
              <w:spacing w:after="0"/>
              <w:rPr>
                <w:sz w:val="20"/>
                <w:szCs w:val="20"/>
                <w:color w:val="auto"/>
              </w:rPr>
            </w:pPr>
            <w:r>
              <w:rPr>
                <w:rFonts w:ascii="Arial" w:cs="Arial" w:eastAsia="Arial" w:hAnsi="Arial"/>
                <w:sz w:val="14"/>
                <w:szCs w:val="14"/>
                <w:b w:val="1"/>
                <w:bCs w:val="1"/>
                <w:color w:val="auto"/>
              </w:rPr>
              <w:t>Three Months Ended June 30, 2014</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AUM</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80" w:type="dxa"/>
            <w:vAlign w:val="bottom"/>
          </w:tcPr>
          <w:p>
            <w:pPr>
              <w:spacing w:after="0"/>
              <w:rPr>
                <w:sz w:val="12"/>
                <w:szCs w:val="12"/>
                <w:color w:val="auto"/>
              </w:rPr>
            </w:pPr>
          </w:p>
        </w:tc>
        <w:tc>
          <w:tcPr>
            <w:tcW w:w="11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rPr>
              <w:t>Net</w:t>
            </w:r>
          </w:p>
        </w:tc>
        <w:tc>
          <w:tcPr>
            <w:tcW w:w="1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80" w:type="dxa"/>
            <w:vAlign w:val="bottom"/>
          </w:tcPr>
          <w:p>
            <w:pPr>
              <w:spacing w:after="0"/>
              <w:rPr>
                <w:sz w:val="12"/>
                <w:szCs w:val="12"/>
                <w:color w:val="auto"/>
              </w:rPr>
            </w:pPr>
          </w:p>
        </w:tc>
        <w:tc>
          <w:tcPr>
            <w:tcW w:w="11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Appreciation/</w:t>
            </w:r>
          </w:p>
        </w:tc>
        <w:tc>
          <w:tcPr>
            <w:tcW w:w="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Inflows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Outflows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Flows</w:t>
            </w: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4"/>
                <w:szCs w:val="14"/>
                <w:color w:val="auto"/>
              </w:rPr>
            </w:pPr>
          </w:p>
        </w:tc>
        <w:tc>
          <w:tcPr>
            <w:tcW w:w="11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2"/>
              </w:rPr>
              <w:t>(Depreciation)</w:t>
            </w:r>
          </w:p>
        </w:tc>
        <w:tc>
          <w:tcPr>
            <w:tcW w:w="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155,259</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7,529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$(5,305)</w:t>
            </w:r>
          </w:p>
        </w:tc>
        <w:tc>
          <w:tcPr>
            <w:tcW w:w="10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$2,224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9,036</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Fixed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28,378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3,384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60" w:type="dxa"/>
            <w:vAlign w:val="bottom"/>
            <w:vMerge w:val="continue"/>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189,453</w:t>
            </w:r>
          </w:p>
        </w:tc>
        <w:tc>
          <w:tcPr>
            <w:tcW w:w="420" w:type="dxa"/>
            <w:vAlign w:val="bottom"/>
          </w:tcPr>
          <w:p>
            <w:pPr>
              <w:spacing w:after="0"/>
              <w:rPr>
                <w:sz w:val="19"/>
                <w:szCs w:val="19"/>
                <w:color w:val="auto"/>
              </w:rPr>
            </w:pPr>
          </w:p>
        </w:tc>
        <w:tc>
          <w:tcPr>
            <w:tcW w:w="980" w:type="dxa"/>
            <w:vAlign w:val="bottom"/>
            <w:gridSpan w:val="5"/>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11,378</w:t>
            </w:r>
          </w:p>
        </w:tc>
        <w:tc>
          <w:tcPr>
            <w:tcW w:w="2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(6,669)</w:t>
            </w:r>
          </w:p>
        </w:tc>
        <w:tc>
          <w:tcPr>
            <w:tcW w:w="1080" w:type="dxa"/>
            <w:vAlign w:val="bottom"/>
            <w:gridSpan w:val="6"/>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4,709</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2"/>
          </w:tcPr>
          <w:p>
            <w:pPr>
              <w:jc w:val="center"/>
              <w:ind w:right="380"/>
              <w:spacing w:after="0"/>
              <w:rPr>
                <w:sz w:val="20"/>
                <w:szCs w:val="20"/>
                <w:color w:val="auto"/>
              </w:rPr>
            </w:pPr>
            <w:r>
              <w:rPr>
                <w:rFonts w:ascii="Arial" w:cs="Arial" w:eastAsia="Arial" w:hAnsi="Arial"/>
                <w:sz w:val="14"/>
                <w:szCs w:val="14"/>
                <w:b w:val="1"/>
                <w:bCs w:val="1"/>
                <w:color w:val="auto"/>
                <w:w w:val="86"/>
              </w:rPr>
              <w:t>Six Months Ended June 30, 2014</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Market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Exchange</w:t>
            </w:r>
          </w:p>
        </w:tc>
        <w:tc>
          <w:tcPr>
            <w:tcW w:w="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9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180" w:type="dxa"/>
            <w:vAlign w:val="bottom"/>
          </w:tcPr>
          <w:p>
            <w:pPr>
              <w:spacing w:after="0"/>
              <w:rPr>
                <w:sz w:val="12"/>
                <w:szCs w:val="12"/>
                <w:color w:val="auto"/>
              </w:rPr>
            </w:pPr>
          </w:p>
        </w:tc>
        <w:tc>
          <w:tcPr>
            <w:tcW w:w="11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Inflows</w:t>
            </w:r>
          </w:p>
        </w:tc>
        <w:tc>
          <w:tcPr>
            <w:tcW w:w="30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Outflows</w:t>
            </w:r>
          </w:p>
        </w:tc>
        <w:tc>
          <w:tcPr>
            <w:tcW w:w="24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Flows</w:t>
            </w:r>
          </w:p>
        </w:tc>
        <w:tc>
          <w:tcPr>
            <w:tcW w:w="16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(Depreciation)</w:t>
            </w:r>
          </w:p>
        </w:tc>
        <w:tc>
          <w:tcPr>
            <w:tcW w:w="180" w:type="dxa"/>
            <w:vAlign w:val="bottom"/>
          </w:tcPr>
          <w:p>
            <w:pPr>
              <w:spacing w:after="0"/>
              <w:rPr>
                <w:sz w:val="14"/>
                <w:szCs w:val="14"/>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jc w:val="center"/>
              <w:ind w:right="9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154,062</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$14,370</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(12,180)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$ 167,374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Fixed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26,874</w:t>
            </w:r>
          </w:p>
        </w:tc>
        <w:tc>
          <w:tcPr>
            <w:tcW w:w="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5,069</w:t>
            </w:r>
          </w:p>
        </w:tc>
        <w:tc>
          <w:tcPr>
            <w:tcW w:w="1020" w:type="dxa"/>
            <w:vAlign w:val="bottom"/>
            <w:gridSpan w:val="6"/>
          </w:tcPr>
          <w:p>
            <w:pPr>
              <w:jc w:val="right"/>
              <w:ind w:right="20"/>
              <w:spacing w:after="0"/>
              <w:rPr>
                <w:sz w:val="20"/>
                <w:szCs w:val="20"/>
                <w:color w:val="auto"/>
              </w:rPr>
            </w:pPr>
            <w:r>
              <w:rPr>
                <w:rFonts w:ascii="Arial" w:cs="Arial" w:eastAsia="Arial" w:hAnsi="Arial"/>
                <w:sz w:val="18"/>
                <w:szCs w:val="18"/>
                <w:color w:val="auto"/>
              </w:rPr>
              <w:t>(1,592)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(889)</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6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186,924</w:t>
            </w:r>
          </w:p>
        </w:tc>
        <w:tc>
          <w:tcPr>
            <w:tcW w:w="6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20,218</w:t>
            </w:r>
          </w:p>
        </w:tc>
        <w:tc>
          <w:tcPr>
            <w:tcW w:w="102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(14,661)</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5,557</w:t>
            </w:r>
          </w:p>
        </w:tc>
        <w:tc>
          <w:tcPr>
            <w:tcW w:w="16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10,525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$ 204,525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of July 17, 2015, AUM was $205.0 billion, a $1.9 billion increase since June 30, 2015. The increase in AUM was due to market appreciation of $3.8 billion and net inflows of $0.4 billion, partially offset by foreign exchange depreciation of $2.3 billion.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Average AUM for the three month and six month periods ended June 30, 2015 and 2014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3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$ 166,336</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$ 162,148</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$ 164,039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157,453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32,524</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30,496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32,525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28,908</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3,269</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4,621</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3,443</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3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$ 203,168</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$ 198,537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$ 201,040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192,211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560" w:type="dxa"/>
            <w:vAlign w:val="bottom"/>
            <w:vMerge w:val="restart"/>
          </w:tcPr>
          <w:p>
            <w:pPr>
              <w:jc w:val="right"/>
              <w:ind w:right="1632"/>
              <w:spacing w:after="0"/>
              <w:rPr>
                <w:sz w:val="20"/>
                <w:szCs w:val="20"/>
                <w:color w:val="auto"/>
              </w:rPr>
            </w:pPr>
            <w:r>
              <w:rPr>
                <w:rFonts w:ascii="Arial" w:cs="Arial" w:eastAsia="Arial" w:hAnsi="Arial"/>
                <w:sz w:val="18"/>
                <w:szCs w:val="18"/>
                <w:color w:val="auto"/>
              </w:rPr>
              <w:t>56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gridSpan w:val="5"/>
          </w:tcPr>
          <w:p>
            <w:pPr>
              <w:jc w:val="right"/>
              <w:ind w:right="912"/>
              <w:spacing w:after="0" w:line="155"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$258,401</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$257,507</w:t>
            </w:r>
          </w:p>
        </w:tc>
        <w:tc>
          <w:tcPr>
            <w:tcW w:w="340" w:type="dxa"/>
            <w:vAlign w:val="bottom"/>
          </w:tcPr>
          <w:p>
            <w:pPr>
              <w:spacing w:after="0"/>
              <w:rPr>
                <w:sz w:val="18"/>
                <w:szCs w:val="18"/>
                <w:color w:val="auto"/>
              </w:rPr>
            </w:pPr>
          </w:p>
        </w:tc>
        <w:tc>
          <w:tcPr>
            <w:tcW w:w="1360" w:type="dxa"/>
            <w:vAlign w:val="bottom"/>
            <w:gridSpan w:val="3"/>
          </w:tcPr>
          <w:p>
            <w:pPr>
              <w:jc w:val="right"/>
              <w:ind w:right="452"/>
              <w:spacing w:after="0"/>
              <w:rPr>
                <w:sz w:val="20"/>
                <w:szCs w:val="20"/>
                <w:color w:val="auto"/>
              </w:rPr>
            </w:pPr>
            <w:r>
              <w:rPr>
                <w:rFonts w:ascii="Arial" w:cs="Arial" w:eastAsia="Arial" w:hAnsi="Arial"/>
                <w:sz w:val="18"/>
                <w:szCs w:val="18"/>
                <w:color w:val="auto"/>
              </w:rPr>
              <w:t>$510,488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$497,030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13,261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Other 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40,459</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14,883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rPr>
              <w:t>61,896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33,546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305,838</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288,164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8"/>
              </w:rPr>
              <w:t>585,645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193,791</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185,237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375,583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360,998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$ 112,047</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102,927</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210,062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195,730</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36.6%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360" w:type="dxa"/>
            <w:vAlign w:val="bottom"/>
            <w:gridSpan w:val="3"/>
          </w:tcPr>
          <w:p>
            <w:pPr>
              <w:jc w:val="right"/>
              <w:ind w:right="292"/>
              <w:spacing w:after="0"/>
              <w:rPr>
                <w:sz w:val="20"/>
                <w:szCs w:val="20"/>
                <w:color w:val="auto"/>
              </w:rPr>
            </w:pPr>
            <w:r>
              <w:rPr>
                <w:rFonts w:ascii="Arial" w:cs="Arial" w:eastAsia="Arial" w:hAnsi="Arial"/>
                <w:sz w:val="18"/>
                <w:szCs w:val="18"/>
                <w:color w:val="auto"/>
              </w:rPr>
              <w:t>35.9%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82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4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56%</w:t>
            </w:r>
          </w:p>
        </w:tc>
        <w:tc>
          <w:tcPr>
            <w:tcW w:w="1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59%</w:t>
            </w:r>
          </w:p>
        </w:tc>
        <w:tc>
          <w:tcPr>
            <w:tcW w:w="13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Europe</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78"/>
              </w:rPr>
              <w:t>31</w:t>
            </w:r>
          </w:p>
        </w:tc>
        <w:tc>
          <w:tcPr>
            <w:tcW w:w="840" w:type="dxa"/>
            <w:vAlign w:val="bottom"/>
          </w:tcPr>
          <w:p>
            <w:pPr>
              <w:spacing w:after="0"/>
              <w:rPr>
                <w:sz w:val="18"/>
                <w:szCs w:val="18"/>
                <w:color w:val="auto"/>
              </w:rPr>
            </w:pPr>
          </w:p>
        </w:tc>
        <w:tc>
          <w:tcPr>
            <w:tcW w:w="1380" w:type="dxa"/>
            <w:vAlign w:val="bottom"/>
            <w:gridSpan w:val="2"/>
          </w:tcPr>
          <w:p>
            <w:pPr>
              <w:jc w:val="right"/>
              <w:ind w:right="772"/>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6"/>
                <w:szCs w:val="16"/>
                <w:color w:val="auto"/>
                <w:w w:val="78"/>
              </w:rPr>
              <w:t>10</w:t>
            </w:r>
          </w:p>
        </w:tc>
        <w:tc>
          <w:tcPr>
            <w:tcW w:w="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400" w:type="dxa"/>
            <w:vAlign w:val="bottom"/>
            <w:gridSpan w:val="2"/>
          </w:tcPr>
          <w:p>
            <w:pPr>
              <w:jc w:val="right"/>
              <w:ind w:right="632"/>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June 30, 2014</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Asset Management net revenue increased $18 million, or 6%, as compared to the 2014 period. Management fees remained substantially unchanged as compared to the 2014 period. Incentive fees decreased $8 million, or 56%, as compared to the 2014 period, primarily due to incentive fees related to traditional investment products. Other revenue increased $26 million as compared to the 2014 period, primarily due to a $24 million gain on disposal of the Company’s Australian private equity business (which relates primarily to the realization of carried interest at fair value).</w:t>
      </w:r>
    </w:p>
    <w:p>
      <w:pPr>
        <w:spacing w:after="0" w:line="11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Operating expenses increased $9 million, or 5%, as compared to the 2014 period, primarily due to increases in (i) compensation and benefits expense related to an increase in discretionary compensation and (ii) non-compensation expense related to increased AUM and business activity.</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Asset Management operating income was $112 million, an increase of $9 million, or 9%, as compared to operating income of $103 million in the 2014 period and, as a percentage of net revenue, was 36.6%, as compared to 35.7% in the 2014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June 30, 2014</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Asset Management net revenue increased $29 million, or 5%, as compared to the 2014 period. Management fees increased $13 million, or 3%, as compared to the 2014 period, reflecting a $9 billion, or 5%, increase in average AUM. Incentive fees decreased $13 million, or 49%, as compared to the 2014 period, primarily due to incentive fees related to traditional investment products. Other revenue increased $28 million, or 85%, as compared to the 2014 period, primarily due to a $24 million gain on disposal of the Company’s Australian private equity business (which relates primarily to the realization of carried interest at fair value).</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Operating expenses increased $15 million, or 4%, as compared to the 2014 period, primarily due to increases in (i) compensation and benefits expense related to an increase in discretionary compensation and (ii) non-compensation expense related to increased AUM and business activity.</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Asset Management operating income was $210 million, an increase of $14 million, or 7%, as compared to operating income of $196 million in the 2014 period and, as a percentage of net revenue, was 35.9%, as compared to 35.2% in the 2014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 in thousands)</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1,418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(12,512)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(17,299)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w w:val="86"/>
              </w:rPr>
              <w:t>(29,637)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(34,871)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(11,849)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(14,832)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(28,219)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(2,422)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12,704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9,475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(14,271)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(18,744)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17,876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71,318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22,607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(14,074)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(20,004)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(90,062)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in the six months ended June 30, 2015, $60,219 relating to the redemption of a substantial majority of the Company’s 2017 Notes.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June 30, 2014</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interest expense decreased by $3 million, or 20%, as compared to the 2014 period, primarily due to the redemption of $450 million of the 2017 Notes and Lazard Group’s issuance of $400 million of 3.75% senior notes due 2025 (the “2025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$15 million as compared to the 2014 period, primarily due to investment losses in LFI.</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Operating expenses decreased $18 million as compared to the 2014 period, primarily relating to decreased compensation and benefits expense relating to deferred compensation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June 30, 2014</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Net interest expense decreased by $2 million, or 6%, as compared to the 2014 period, primarily due to the redemption of $450 million of the 2017 Notes and the issuance of the 2025 Notes.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revenue decreased $8 million as compared to the 2014 period, primarily due to lower investment gains recorded in connection with LFI and other investments.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Operating expenses increased $49 million as compared to the 2014 period, including in the 2015 period, a charge of $60 million related to the redemption of a substantial majority of the Company’s 2017 Notes. Excluding the impact of such charge, operating expenses decreased $12 million compared to the 2014 period. The decrease was primarily related to decreased compensation and benefits expense related to deferred compensation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2014 period, the Company made cash payments, including severance payments, associated with cost saving initiatives.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4"/>
          </w:tcPr>
          <w:p>
            <w:pPr>
              <w:jc w:val="center"/>
              <w:ind w:left="318"/>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210.8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8"/>
        </w:trPr>
        <w:tc>
          <w:tcPr>
            <w:tcW w:w="7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Financing activities (c)</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(227.7)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917.2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620"/>
              <w:spacing w:after="0"/>
              <w:rPr>
                <w:sz w:val="20"/>
                <w:szCs w:val="20"/>
                <w:color w:val="auto"/>
              </w:rPr>
            </w:pPr>
            <w:r>
              <w:rPr>
                <w:rFonts w:ascii="Arial" w:cs="Arial" w:eastAsia="Arial" w:hAnsi="Arial"/>
                <w:sz w:val="18"/>
                <w:szCs w:val="18"/>
                <w:color w:val="auto"/>
              </w:rPr>
              <w:t>59</w:t>
            </w: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6280" w:type="dxa"/>
            <w:vAlign w:val="bottom"/>
          </w:tcPr>
          <w:p>
            <w:pPr>
              <w:ind w:left="140"/>
              <w:spacing w:after="0"/>
              <w:rPr>
                <w:sz w:val="20"/>
                <w:szCs w:val="20"/>
                <w:color w:val="auto"/>
              </w:rPr>
            </w:pPr>
            <w:r>
              <w:rPr>
                <w:rFonts w:ascii="Arial" w:cs="Arial" w:eastAsia="Arial" w:hAnsi="Arial"/>
                <w:sz w:val="18"/>
                <w:szCs w:val="18"/>
                <w:color w:val="auto"/>
              </w:rPr>
              <w:t>Consists of the following:</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3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88"/>
              </w:rPr>
              <w:t>Six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3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56"/>
        </w:trPr>
        <w:tc>
          <w:tcPr>
            <w:tcW w:w="3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320" w:type="dxa"/>
            <w:vAlign w:val="bottom"/>
            <w:shd w:val="clear" w:color="auto" w:fill="CCEEFF"/>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 of property</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Amortization of deferred expenses and stock units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72"/>
              <w:spacing w:after="0"/>
              <w:rPr>
                <w:sz w:val="20"/>
                <w:szCs w:val="20"/>
                <w:color w:val="auto"/>
              </w:rPr>
            </w:pPr>
            <w:r>
              <w:rPr>
                <w:rFonts w:ascii="Arial" w:cs="Arial" w:eastAsia="Arial" w:hAnsi="Arial"/>
                <w:sz w:val="18"/>
                <w:szCs w:val="18"/>
                <w:color w:val="auto"/>
              </w:rPr>
              <w:t>170.7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 related to acquisitions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Deferred tax provision (benefit)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12"/>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Gain on disposal of subsidiaries</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712"/>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8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and vested performance-based restricted stock units (“PRSUs”), distributions to members and noncontrolling interest holders, and activity relating to borrowings, including, in 2015, the redemption of a majority of the Company’s 2017 Notes and issuance of the 2025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Lazard Ltd Class A common stock and matters relating to liquidity and to compliance with regulatory net capital requirements. At June 30, 2015, Lazard Group had approximately $690 million of cash, with such amount including approximately $316 million held at Lazard’s operations outside the U.S. Since Lazard provides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2015, Lazard had approximately $247 million in unused lines of credit available to it, including a $150 million, three-year, senior revolving credit facility with a group of lenders (the “Credit Facility”) (see “—Financing Activities” below) and unused lines of credit available to LFB of approximately $39 million (at June 30, 2015 exchange rates) and Edgewater of $55 million. In addition, LFB has access to the Eurosystem Covered Bond Purchase Program of the Banque de France.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Credit Facility expires in September 2015 and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 The Company is currently discussing a potential renewal of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2015 and December 31, 2014.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1"/>
              </w:rPr>
              <w:t>Maturity</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2014</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left="2"/>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58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jc w:val="right"/>
              <w:ind w:right="5712"/>
              <w:spacing w:after="0"/>
              <w:rPr>
                <w:sz w:val="20"/>
                <w:szCs w:val="20"/>
                <w:color w:val="auto"/>
              </w:rPr>
            </w:pPr>
            <w:r>
              <w:rPr>
                <w:rFonts w:ascii="Arial" w:cs="Arial" w:eastAsia="Arial" w:hAnsi="Arial"/>
                <w:sz w:val="18"/>
                <w:szCs w:val="18"/>
                <w:color w:val="auto"/>
                <w:w w:val="85"/>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jc w:val="right"/>
              <w:ind w:right="5712"/>
              <w:spacing w:after="0"/>
              <w:rPr>
                <w:sz w:val="20"/>
                <w:szCs w:val="20"/>
                <w:color w:val="auto"/>
              </w:rPr>
            </w:pPr>
            <w:r>
              <w:rPr>
                <w:rFonts w:ascii="Arial" w:cs="Arial" w:eastAsia="Arial" w:hAnsi="Arial"/>
                <w:sz w:val="18"/>
                <w:szCs w:val="18"/>
                <w:color w:val="auto"/>
              </w:rPr>
              <w:t>6.85%</w:t>
            </w: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$ 98.4</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548.4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jc w:val="right"/>
              <w:ind w:right="5712"/>
              <w:spacing w:after="0"/>
              <w:rPr>
                <w:sz w:val="20"/>
                <w:szCs w:val="20"/>
                <w:color w:val="auto"/>
              </w:rPr>
            </w:pPr>
            <w:r>
              <w:rPr>
                <w:rFonts w:ascii="Arial" w:cs="Arial" w:eastAsia="Arial" w:hAnsi="Arial"/>
                <w:sz w:val="18"/>
                <w:szCs w:val="18"/>
                <w:color w:val="auto"/>
              </w:rPr>
              <w:t>4.25%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jc w:val="right"/>
              <w:ind w:right="5712"/>
              <w:spacing w:after="0"/>
              <w:rPr>
                <w:sz w:val="20"/>
                <w:szCs w:val="20"/>
                <w:color w:val="auto"/>
              </w:rPr>
            </w:pPr>
            <w:r>
              <w:rPr>
                <w:rFonts w:ascii="Arial" w:cs="Arial" w:eastAsia="Arial" w:hAnsi="Arial"/>
                <w:sz w:val="18"/>
                <w:szCs w:val="18"/>
                <w:color w:val="auto"/>
              </w:rPr>
              <w:t>3.75%</w:t>
            </w:r>
          </w:p>
        </w:tc>
        <w:tc>
          <w:tcPr>
            <w:tcW w:w="520" w:type="dxa"/>
            <w:vAlign w:val="bottom"/>
          </w:tcPr>
          <w:p>
            <w:pPr>
              <w:jc w:val="right"/>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jc w:val="right"/>
              <w:ind w:right="5352"/>
              <w:spacing w:after="0"/>
              <w:rPr>
                <w:sz w:val="20"/>
                <w:szCs w:val="20"/>
                <w:color w:val="auto"/>
              </w:rPr>
            </w:pPr>
            <w:r>
              <w:rPr>
                <w:rFonts w:ascii="Arial" w:cs="Arial" w:eastAsia="Arial" w:hAnsi="Arial"/>
                <w:sz w:val="18"/>
                <w:szCs w:val="18"/>
                <w:color w:val="auto"/>
                <w:w w:val="87"/>
              </w:rPr>
              <w:t>Total 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998.4</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1,048.4</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40" w:firstLine="456"/>
        <w:spacing w:after="0" w:line="335" w:lineRule="auto"/>
        <w:rPr>
          <w:sz w:val="20"/>
          <w:szCs w:val="20"/>
          <w:color w:val="auto"/>
        </w:rPr>
      </w:pPr>
      <w:r>
        <w:rPr>
          <w:rFonts w:ascii="Arial" w:cs="Arial" w:eastAsia="Arial" w:hAnsi="Arial"/>
          <w:sz w:val="15"/>
          <w:szCs w:val="15"/>
          <w:color w:val="auto"/>
        </w:rPr>
        <w:t>During February 2015, Lazard Group completed an offering of $400 million aggregate principal amount of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8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2015, Lazard Group was in compliance with such ratios, with its Consolidated Leverage Ratio being 1.12 to 1.00 and its Consolidated Interest Coverage Ratio being 18.33 to 1.00. In any event, no amounts were outstanding under the Credit Facility as of June 30, 2015.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June 30, 2015, total members’ equity was $514 million, as compared to $494 million at December 31, 2014, including $455 million and $432 million attributable to Lazard Group on the respective dates. The net activity in members’ equity during the six month period ended June 30, 2015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$ 494</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Lazard Ltd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$9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Members’ Equity—June 30, 2015</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$ 514</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172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Six Months Ended June 30:</w:t>
            </w:r>
          </w:p>
        </w:tc>
        <w:tc>
          <w:tcPr>
            <w:tcW w:w="79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2014</w:t>
            </w:r>
          </w:p>
        </w:tc>
        <w:tc>
          <w:tcPr>
            <w:tcW w:w="9080" w:type="dxa"/>
            <w:vAlign w:val="bottom"/>
            <w:gridSpan w:val="3"/>
          </w:tcPr>
          <w:p>
            <w:pPr>
              <w:ind w:left="7960"/>
              <w:spacing w:after="0"/>
              <w:rPr>
                <w:sz w:val="20"/>
                <w:szCs w:val="20"/>
                <w:color w:val="auto"/>
              </w:rPr>
            </w:pPr>
            <w:r>
              <w:rPr>
                <w:rFonts w:ascii="Arial" w:cs="Arial" w:eastAsia="Arial" w:hAnsi="Arial"/>
                <w:sz w:val="18"/>
                <w:szCs w:val="18"/>
                <w:color w:val="auto"/>
              </w:rPr>
              <w:t>4,114,206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080" w:type="dxa"/>
            <w:vAlign w:val="bottom"/>
            <w:gridSpan w:val="3"/>
            <w:shd w:val="clear" w:color="auto" w:fill="CCEEFF"/>
          </w:tcPr>
          <w:p>
            <w:pPr>
              <w:ind w:left="7960"/>
              <w:spacing w:after="0"/>
              <w:rPr>
                <w:sz w:val="20"/>
                <w:szCs w:val="20"/>
                <w:color w:val="auto"/>
              </w:rPr>
            </w:pPr>
            <w:r>
              <w:rPr>
                <w:rFonts w:ascii="Arial" w:cs="Arial" w:eastAsia="Arial" w:hAnsi="Arial"/>
                <w:sz w:val="18"/>
                <w:szCs w:val="18"/>
                <w:color w:val="auto"/>
              </w:rPr>
              <w:t>2,306,694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purchased in the six months ended June 30, 2014 included 1,000,000 shares purchased from Natixis S.A. on June 26, 2014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in connection with the sale by Natixis S.A. of its entire investment in Lazard Ltd’s Class A common stock. The purchase transaction closed on July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June 30, 2015, a total of $161 million of share repurchase authorization remained available under the Lazard Ltd’s share repurchase program, $11 million of which will expire on December 31, 2015 and $150 million of which will expire on December 31, 2016.</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six months ended June 30, 2015,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$ 1,278,616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$ 177,587</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984,917</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Operating Leases (exclusive of $73,063 of committed sublease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914,913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81,958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145,545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126,757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560,653</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8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16,798</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16,798</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$ 2,221,319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$ 144,548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$ 331,904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199,297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1,545,570</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$6,588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$216 million.</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$102 million as of December 31, 2014.</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any significant valuation allowance reduction were to occur, for subsequent annual periods, we expect that, our effective tax rate, with all other factors being held constant, would increase and could be significantly higher than our effective tax rate in the period preceding the period of the reduction in the valuation allowance. In such a situation, with all other factors being held constant, an increase in our effective tax rate as a result of the reduction in the valuation allowance would not impact the amount of cash income taxes we would pay to taxing authorities.</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14 of Notes to Condensed Consolidated Financial Statements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5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$ 114,167</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144,961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8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102,817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56,411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8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w:t>
            </w:r>
          </w:p>
        </w:tc>
        <w:tc>
          <w:tcPr>
            <w:tcW w:w="6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8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181,372</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218,253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326,333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381,840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Add:</w:t>
            </w:r>
          </w:p>
        </w:tc>
        <w:tc>
          <w:tcPr>
            <w:tcW w:w="8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and private equity consolidated, not owned (d)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LFI (e)</w:t>
            </w:r>
          </w:p>
        </w:tc>
        <w:tc>
          <w:tcPr>
            <w:tcW w:w="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214,382</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213,189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546,553</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609,226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jc w:val="right"/>
              <w:ind w:right="1092"/>
              <w:spacing w:after="0"/>
              <w:rPr>
                <w:sz w:val="20"/>
                <w:szCs w:val="20"/>
                <w:color w:val="auto"/>
              </w:rPr>
            </w:pPr>
            <w:r>
              <w:rPr>
                <w:rFonts w:ascii="Arial" w:cs="Arial" w:eastAsia="Arial" w:hAnsi="Arial"/>
                <w:sz w:val="18"/>
                <w:szCs w:val="18"/>
                <w:color w:val="auto"/>
              </w:rPr>
              <w:t>66</w:t>
            </w: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June 30, 2015 and December 31, 2014,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5"/>
              </w:rPr>
              <w:t>June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9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8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2015</w:t>
            </w:r>
          </w:p>
        </w:tc>
        <w:tc>
          <w:tcPr>
            <w:tcW w:w="9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196"/>
        </w:trPr>
        <w:tc>
          <w:tcPr>
            <w:tcW w:w="824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4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82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824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2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8240" w:type="dxa"/>
            <w:vAlign w:val="bottom"/>
          </w:tcPr>
          <w:p>
            <w:pPr>
              <w:ind w:left="1480"/>
              <w:spacing w:after="0"/>
              <w:rPr>
                <w:sz w:val="20"/>
                <w:szCs w:val="20"/>
                <w:color w:val="auto"/>
              </w:rPr>
            </w:pPr>
            <w:r>
              <w:rPr>
                <w:rFonts w:ascii="Arial" w:cs="Arial" w:eastAsia="Arial" w:hAnsi="Arial"/>
                <w:sz w:val="18"/>
                <w:szCs w:val="18"/>
                <w:color w:val="auto"/>
              </w:rPr>
              <w:t>Energy</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82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240" w:type="dxa"/>
            <w:vAlign w:val="bottom"/>
          </w:tcPr>
          <w:p>
            <w:pPr>
              <w:ind w:left="190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48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$23 million and $25 million as of June 30, 2015 and December 31, 2014, respectively.</w:t>
      </w:r>
    </w:p>
    <w:p>
      <w:pPr>
        <w:spacing w:after="0" w:line="4"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31" w:lineRule="exact"/>
        <w:rPr>
          <w:rFonts w:ascii="Arial" w:cs="Arial" w:eastAsia="Arial" w:hAnsi="Arial"/>
          <w:sz w:val="16"/>
          <w:szCs w:val="16"/>
          <w:color w:val="auto"/>
        </w:rPr>
      </w:pPr>
    </w:p>
    <w:p>
      <w:pPr>
        <w:ind w:left="460" w:right="30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 and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59"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June 30, 2015 and December 31, 2014, total investments with a fair value of $483 million and $517 million, respectively, included $103 million and $116 million, respectively, or 21% and 22%, respectively, of investments that were classified as Level 3 investments. A majority of our Level 3 investments at both dates are priced based on a NAV. During the six months ended June 30, 2015 and 2014, gains of approximately $8 million and $7 million, respectively, were recognized in “revenue-other” on the condensed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June 30, 2015 and December 31, 2014, the Company held seed investments of approximately $145 million and $164 million, respectively. Seed investments held in entities in which the Company maintained a controlling interest were $40 million in eight entities as of June 30, 2015, as compared to $42 million in seven entities as of December 31, 2014.</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June 30, 2015 and December 31, 2014, the Company did not consolidate or deconsolidate any seed investment entities. As such, 100% of the recorded balance of seed investments as of June 30, 2015 and December 31, 2014 represented the Company’s economic interest in the seed investments. See “— Consolidation of Variable Interest Entities” below for more information on the Company’s policy regarding the consolidation of seed investment entities.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generally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4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Equity Market Price Risk—At June 30, 2015 and December 31, 2014, the Company’s exposure to equity market price risk in its investment portfolio, which primarily relates to investments in equity securities, equity funds and hedge funds, was approximately $123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$2.0 million in the carrying value of such investments as of June 30, 2015 and December 31, 2014, respectively, including the effect of the hedging transactions.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Interest Rate/Credit Spread Risk—At both June 30, 2015 and December 31, 2014, the Company’s exposure to interest rate and credit spread risk in its investment portfolio related to investments in debt securities or funds which invest primarily in debt securities was $43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$0.1 million and $0.2 million in the carrying value of such investments as of June 30, 2015 and December 31, 2014, respectively, including the effect of the hedging transactions.</w:t>
      </w:r>
    </w:p>
    <w:p>
      <w:pPr>
        <w:spacing w:after="0" w:line="11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Foreign Exchange Rate Risk—At both June 30, 2015 and December 31, 2014, the Company’s exposure to foreign exchange rate risk in its investment portfolio, which primarily relates to investments in foreign currency denominated equity and debt securities, was $68 million. A significant portion of the Company’s foreign currency exposure related to our equity and debt investment portfolios is hedged through the aforementioned total return swaps. The Company estimates that a 10% adverse change in foreign exchange rates versus the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dollar would result in a decrease of approximately $0.7 million and $0.6 million in the carrying value of such investments as of June 30, 2015 and December 31, 2014, respectively, including the effect of the hedging transactions.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June 30, 2015 and December 31, 2014, the Company’s exposure to changes in fair value of such investments was approximately $103 million and $108 million, respectively. The Company estimates that a hypothetical 10% adverse change in fair value would result in a decrease of approximately $10.3 million and $10.8 million in the carrying value of such investments as of June 30, 2015 and December 31, 2014,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2015, total receivables amounted to $505 million, net of an allowance for doubtful accounts of $21 million. As of that date, Financial Advisory and Asset Management fees, and customer receivables comprised 88% and 12% of total receivables, respectively. At December 31, 2014, total receivables amounted to $558 million, net of an allowance for doubtful accounts of $24 million. As of that date, Financial Advisory and Asset Management fees, and customer receivables comprised 87% and 13% of total receivables, respectively. At June 30, 2015 and December 31, 2014, the Company had receivables past due or deemed uncollectible of approximately $23 million and $25 million, respectively. See also “Critical Accounting Policies and Estimates—Revenue Recognition” above and Note 3 of Notes to Condensed Consolidated Financial Statements for additional information regarding receivables.</w:t>
      </w:r>
    </w:p>
    <w:p>
      <w:pPr>
        <w:spacing w:after="0" w:line="34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2015 and December 31, 2014, customer receivables included $31 million and $35 million of LFB loans, respectively, with such loans being fully collateralized and closely monitored for counterparty creditworthiness.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exposure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at both June 30, 2015 and December 31, 2014, and derivative liabilities, excluding the derivative liability arising from the Company’s obligation pertaining to LFI and other similar deferred compensation arrangements, amounted to $1 million and $0.8 million at such respective dates.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$202 million and $207 million at June 30, 2015 and December 31, 2014,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2015, Lazard estimates that its annual operating income relating to cash and cash equivalents would increase by approximately $7 million in the event interest rates were to increase by 1% and decrease by approximately $7 million if rates were to decrease by 1%.</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June 30, 2015, the Company’s cash and cash equivalents totaled approximately $690 million. Substantially all of the Company’s cash and cash equivalents were invested in highly liquid institutional money market funds (a significant majority of which were invested solely in U.S. Government or Agency money market 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Notes (included in Exhibits 4.2, 4.3 and 4.4).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Amendment dated as of February 16, 2001, by and among RCPI Landmark Properties, L.L.C. (as the successor in interest to Rockefeller</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tcPr>
          <w:p>
            <w:pPr>
              <w:ind w:left="44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Form S-l/A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May 9,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S-l/A filed on April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4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65"/>
        </w:trPr>
        <w:tc>
          <w:tcPr>
            <w:tcW w:w="940" w:type="dxa"/>
            <w:vAlign w:val="bottom"/>
          </w:tcPr>
          <w:p>
            <w:pPr>
              <w:spacing w:after="0"/>
              <w:rPr>
                <w:sz w:val="24"/>
                <w:szCs w:val="24"/>
                <w:color w:val="auto"/>
              </w:rPr>
            </w:pPr>
          </w:p>
        </w:tc>
        <w:tc>
          <w:tcPr>
            <w:tcW w:w="10440" w:type="dxa"/>
            <w:vAlign w:val="bottom"/>
          </w:tcPr>
          <w:p>
            <w:pPr>
              <w:ind w:left="468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Form of Award Letter for Annual Grant of Deferred Stock Units to Non-Executive Directors (incorporated by reference to Exhibit 99.1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10.41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Form of Agreement evidencing a grant of Deferred Cash Award to Executive Officers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10.42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10-Q filed on May 11,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10.43 to Lazard Ltd’s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Senior Revolving Credit Agreement, dated as of September 25, 2012, among the Registrant, the Banks from time to time parties thereto, and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Citibank, N.A., as Administrative Agent (incorporated by reference to Exhibit 10.46 to the Registrant’s Quarterly Report (File No. 333-</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126751) on Form 10-Q filed on November 1,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65"/>
        </w:trPr>
        <w:tc>
          <w:tcPr>
            <w:tcW w:w="94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10.31*</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of March 15, 2005 and amended on August 2, 2011, among the Registrant, Lazard Ltd and Ashish Bhutani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10.32*</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of October 4, 2004 and amended on April 1, 2011, among the Registrant, Lazard Ltd and Matthieu Bucaille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10.33*</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10.34*</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of October 4, 2004 and amended on March 23, 2010, among the Registrant, Lazard Ltd and Alexander F. Stern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10.35*</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10.36*</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10.37*</w:t>
            </w:r>
          </w:p>
        </w:tc>
        <w:tc>
          <w:tcPr>
            <w:tcW w:w="10340" w:type="dxa"/>
            <w:vAlign w:val="bottom"/>
          </w:tcPr>
          <w:p>
            <w:pPr>
              <w:ind w:left="360"/>
              <w:spacing w:after="0"/>
              <w:rPr>
                <w:sz w:val="20"/>
                <w:szCs w:val="20"/>
                <w:color w:val="auto"/>
              </w:rPr>
            </w:pPr>
            <w:r>
              <w:rPr>
                <w:rFonts w:ascii="Arial" w:cs="Arial" w:eastAsia="Arial" w:hAnsi="Arial"/>
                <w:sz w:val="18"/>
                <w:szCs w:val="18"/>
                <w:color w:val="auto"/>
                <w:w w:val="89"/>
              </w:rPr>
              <w:t>Form of Agreement evidencing a grant of Restricted Stock Units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10.38*</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10.39*</w:t>
            </w:r>
          </w:p>
        </w:tc>
        <w:tc>
          <w:tcPr>
            <w:tcW w:w="10340" w:type="dxa"/>
            <w:vAlign w:val="bottom"/>
          </w:tcPr>
          <w:p>
            <w:pPr>
              <w:ind w:left="360"/>
              <w:spacing w:after="0"/>
              <w:rPr>
                <w:sz w:val="20"/>
                <w:szCs w:val="20"/>
                <w:color w:val="auto"/>
              </w:rPr>
            </w:pPr>
            <w:r>
              <w:rPr>
                <w:rFonts w:ascii="Arial" w:cs="Arial" w:eastAsia="Arial" w:hAnsi="Arial"/>
                <w:sz w:val="18"/>
                <w:szCs w:val="18"/>
                <w:color w:val="auto"/>
                <w:w w:val="87"/>
              </w:rPr>
              <w:t>Agreement between Lazard Ltd and Kenneth M. Jacobs, dated as of February 20, 2014, evidencing a grant of Performance-Based Stock Units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No. 333-126751) on Form 10-Q filed on May 6, 2014).</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1034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40" w:type="dxa"/>
            <w:vAlign w:val="bottom"/>
          </w:tcPr>
          <w:p>
            <w:pPr>
              <w:ind w:left="36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40" w:type="dxa"/>
            <w:vAlign w:val="bottom"/>
          </w:tcPr>
          <w:p>
            <w:pPr>
              <w:ind w:left="36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40" w:type="dxa"/>
            <w:vAlign w:val="bottom"/>
          </w:tcPr>
          <w:p>
            <w:pPr>
              <w:ind w:left="36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340" w:type="dxa"/>
            <w:vAlign w:val="bottom"/>
          </w:tcPr>
          <w:p>
            <w:pPr>
              <w:ind w:left="36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65"/>
        </w:trPr>
        <w:tc>
          <w:tcPr>
            <w:tcW w:w="1020" w:type="dxa"/>
            <w:vAlign w:val="bottom"/>
          </w:tcPr>
          <w:p>
            <w:pPr>
              <w:spacing w:after="0"/>
              <w:rPr>
                <w:sz w:val="24"/>
                <w:szCs w:val="24"/>
                <w:color w:val="auto"/>
              </w:rPr>
            </w:pPr>
          </w:p>
        </w:tc>
        <w:tc>
          <w:tcPr>
            <w:tcW w:w="10340" w:type="dxa"/>
            <w:vAlign w:val="bottom"/>
          </w:tcPr>
          <w:p>
            <w:pPr>
              <w:ind w:left="460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820" w:type="dxa"/>
            <w:vAlign w:val="bottom"/>
          </w:tcPr>
          <w:p>
            <w:pPr>
              <w:ind w:left="360"/>
              <w:spacing w:after="0"/>
              <w:rPr>
                <w:sz w:val="20"/>
                <w:szCs w:val="20"/>
                <w:color w:val="auto"/>
              </w:rPr>
            </w:pPr>
            <w:r>
              <w:rPr>
                <w:rFonts w:ascii="Arial" w:cs="Arial" w:eastAsia="Arial" w:hAnsi="Arial"/>
                <w:sz w:val="18"/>
                <w:szCs w:val="18"/>
                <w:color w:val="auto"/>
                <w:w w:val="91"/>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820" w:type="dxa"/>
            <w:vAlign w:val="bottom"/>
          </w:tcPr>
          <w:p>
            <w:pPr>
              <w:ind w:left="360"/>
              <w:spacing w:after="0"/>
              <w:rPr>
                <w:sz w:val="20"/>
                <w:szCs w:val="20"/>
                <w:color w:val="auto"/>
              </w:rPr>
            </w:pPr>
            <w:r>
              <w:rPr>
                <w:rFonts w:ascii="Arial" w:cs="Arial" w:eastAsia="Arial" w:hAnsi="Arial"/>
                <w:sz w:val="18"/>
                <w:szCs w:val="18"/>
                <w:color w:val="auto"/>
                <w:w w:val="99"/>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820" w:type="dxa"/>
            <w:vAlign w:val="bottom"/>
          </w:tcPr>
          <w:p>
            <w:pPr>
              <w:ind w:left="360"/>
              <w:spacing w:after="0"/>
              <w:rPr>
                <w:sz w:val="20"/>
                <w:szCs w:val="20"/>
                <w:color w:val="auto"/>
              </w:rPr>
            </w:pPr>
            <w:r>
              <w:rPr>
                <w:rFonts w:ascii="Arial" w:cs="Arial" w:eastAsia="Arial" w:hAnsi="Arial"/>
                <w:sz w:val="18"/>
                <w:szCs w:val="18"/>
                <w:color w:val="auto"/>
                <w:w w:val="97"/>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July 27,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Dominick Ragone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6"/>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 2015</w:t>
            </w: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tcPr>
          <w:p>
            <w:pPr>
              <w:jc w:val="center"/>
              <w:ind w:left="72"/>
              <w:spacing w:after="0" w:line="155"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540,975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219,009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121,593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241,791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246,809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41,917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w w:val="89"/>
              </w:rPr>
              <w:t>111,317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116,255</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114,998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121,656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before</w:t>
            </w:r>
          </w:p>
        </w:tc>
        <w:tc>
          <w:tcPr>
            <w:tcW w:w="1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283,664</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632,666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330,326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237,848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356,789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368,465</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4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87,039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91,359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24,278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24,896</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20,787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111,317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116,255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114,998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121,656</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6.77(d)</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2.97(e)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2.05(f)</w:t>
            </w:r>
          </w:p>
        </w:tc>
        <w:tc>
          <w:tcPr>
            <w:tcW w:w="1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income for the six month period ended June 30, 2015 is presented after giving effect to a charge of (i) $60,219 associated with the redemption of $450 million of the 2017 Notes, (ii) $2,655 excess interest expense due to the overlap between the issuance of the 2025 Notes and the settlement of the redemption of the 2017 Notes and (iii) $12,203 relating to a private equity revenue adjustment. Excluding the impact of such items, the ratio of earnings to fixed charges would have been 8.45.</w:t>
      </w:r>
    </w:p>
    <w:p>
      <w:pPr>
        <w:spacing w:after="0" w:line="62"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pacing w:after="0" w:line="16" w:lineRule="exact"/>
        <w:rPr>
          <w:rFonts w:ascii="Arial" w:cs="Arial" w:eastAsia="Arial" w:hAnsi="Arial"/>
          <w:sz w:val="15"/>
          <w:szCs w:val="15"/>
          <w:color w:val="auto"/>
        </w:rPr>
      </w:pPr>
    </w:p>
    <w:p>
      <w:pPr>
        <w:ind w:left="460" w:right="4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27,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27,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2"/>
    </w:lvl>
  </w:abstractNum>
  <w:abstractNum w:abstractNumId="7">
    <w:nsid w:val="1E7FF521"/>
    <w:multiLevelType w:val="hybridMultilevel"/>
    <w:lvl w:ilvl="0">
      <w:lvlJc w:val="left"/>
      <w:lvlText w:val="%1."/>
      <w:numFmt w:val="decimal"/>
      <w:start w:val="3"/>
    </w:lvl>
  </w:abstractNum>
  <w:abstractNum w:abstractNumId="8">
    <w:nsid w:val="7C3DBD3D"/>
    <w:multiLevelType w:val="hybridMultilevel"/>
    <w:lvl w:ilvl="0">
      <w:lvlJc w:val="left"/>
      <w:lvlText w:val="%1."/>
      <w:numFmt w:val="decimal"/>
      <w:start w:val="4"/>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decimal"/>
      <w:start w:val="5"/>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decimal"/>
      <w:start w:val="6"/>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decimal"/>
      <w:start w:val="7"/>
    </w:lvl>
  </w:abstractNum>
  <w:abstractNum w:abstractNumId="17">
    <w:nsid w:val="440BADFC"/>
    <w:multiLevelType w:val="hybridMultilevel"/>
    <w:lvl w:ilvl="0">
      <w:lvlJc w:val="left"/>
      <w:lvlText w:val="%1."/>
      <w:numFmt w:val="decimal"/>
      <w:start w:val="8"/>
    </w:lvl>
  </w:abstractNum>
  <w:abstractNum w:abstractNumId="18">
    <w:nsid w:val="5072367"/>
    <w:multiLevelType w:val="hybridMultilevel"/>
    <w:lvl w:ilvl="0">
      <w:lvlJc w:val="left"/>
      <w:lvlText w:val="%1"/>
      <w:numFmt w:val="decimal"/>
      <w:start w:val="1"/>
    </w:lvl>
    <w:lvl w:ilvl="1">
      <w:lvlJc w:val="left"/>
      <w:lvlText w:val="(%2)"/>
      <w:numFmt w:val="lowerLetter"/>
      <w:start w:val="1"/>
    </w:lvl>
  </w:abstractNum>
  <w:abstractNum w:abstractNumId="19">
    <w:nsid w:val="3804823E"/>
    <w:multiLevelType w:val="hybridMultilevel"/>
    <w:lvl w:ilvl="0">
      <w:lvlJc w:val="left"/>
      <w:lvlText w:val="%1."/>
      <w:numFmt w:val="decimal"/>
      <w:start w:val="9"/>
    </w:lvl>
    <w:lvl w:ilvl="1">
      <w:lvlJc w:val="left"/>
      <w:lvlText w:val="%2"/>
      <w:numFmt w:val="lowerLetter"/>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decimal"/>
      <w:start w:val="10"/>
    </w:lvl>
  </w:abstractNum>
  <w:abstractNum w:abstractNumId="22">
    <w:nsid w:val="5C482A97"/>
    <w:multiLevelType w:val="hybridMultilevel"/>
    <w:lvl w:ilvl="0">
      <w:lvlJc w:val="left"/>
      <w:lvlText w:val="%1."/>
      <w:numFmt w:val="decimal"/>
      <w:start w:val="1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decimal"/>
      <w:start w:val="12"/>
    </w:lvl>
  </w:abstractNum>
  <w:abstractNum w:abstractNumId="25">
    <w:nsid w:val="51EAD36B"/>
    <w:multiLevelType w:val="hybridMultilevel"/>
    <w:lvl w:ilvl="0">
      <w:lvlJc w:val="left"/>
      <w:lvlText w:val="%1."/>
      <w:numFmt w:val="decimal"/>
      <w:start w:val="13"/>
    </w:lvl>
  </w:abstractNum>
  <w:abstractNum w:abstractNumId="26">
    <w:nsid w:val="2D517796"/>
    <w:multiLevelType w:val="hybridMultilevel"/>
    <w:lvl w:ilvl="0">
      <w:lvlJc w:val="left"/>
      <w:lvlText w:val="%1."/>
      <w:numFmt w:val="decimal"/>
      <w:start w:val="14"/>
    </w:lvl>
  </w:abstractNum>
  <w:abstractNum w:abstractNumId="27">
    <w:nsid w:val="580BD78F"/>
    <w:multiLevelType w:val="hybridMultilevel"/>
    <w:lvl w:ilvl="0">
      <w:lvlJc w:val="left"/>
      <w:lvlText w:val="%1."/>
      <w:numFmt w:val="decimal"/>
      <w:start w:val="15"/>
    </w:lvl>
  </w:abstractNum>
  <w:abstractNum w:abstractNumId="28">
    <w:nsid w:val="153EA438"/>
    <w:multiLevelType w:val="hybridMultilevel"/>
    <w:lvl w:ilvl="0">
      <w:lvlJc w:val="left"/>
      <w:lvlText w:val="%1."/>
      <w:numFmt w:val="decimal"/>
      <w:start w:val="16"/>
    </w:lvl>
  </w:abstractNum>
  <w:abstractNum w:abstractNumId="29">
    <w:nsid w:val="3855585C"/>
    <w:multiLevelType w:val="hybridMultilevel"/>
    <w:lvl w:ilvl="0">
      <w:lvlJc w:val="left"/>
      <w:lvlText w:val="%1."/>
      <w:numFmt w:val="decimal"/>
      <w:start w:val="17"/>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4"/>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2"/>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lowerLetter"/>
      <w:start w:val="1"/>
    </w:lvl>
    <w:lvl w:ilvl="1">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2019-12-29T17:46:21Z</dcterms:created>
  <dcterms:modified xsi:type="dcterms:W3CDTF">2019-12-29T17:46:21Z</dcterms:modified>
</cp:coreProperties>
</file>