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________to 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001-32492</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LAZARD,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6148" w:type="dxa"/>
        <w:jc w:val="center"/>
        <w:tblInd w:w="0" w:type="dxa"/>
        <w:tblLayout w:type="fixed"/>
        <w:tblCellMar>
          <w:top w:w="28" w:type="dxa"/>
          <w:left w:w="28" w:type="dxa"/>
          <w:bottom w:w="28" w:type="dxa"/>
          <w:right w:w="28" w:type="dxa"/>
        </w:tblCellMar>
      </w:tblPr>
      <w:tblGrid>
        <w:gridCol w:w="1232"/>
        <w:gridCol w:w="1080"/>
        <w:gridCol w:w="1092"/>
        <w:gridCol w:w="801"/>
        <w:gridCol w:w="801"/>
        <w:gridCol w:w="1142"/>
      </w:tblGrid>
      <w:tr>
        <w:trPr/>
        <w:tc>
          <w:tcPr>
            <w:tcW w:w="123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98-0437848</w:t>
            </w:r>
          </w:p>
        </w:tc>
      </w:tr>
      <w:tr>
        <w:trPr/>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br/>
              <w:t>or Organization)</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30 Rockefeller Plaza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10112</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(212) 632-6000</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5998" w:type="dxa"/>
        <w:jc w:val="center"/>
        <w:tblInd w:w="0" w:type="dxa"/>
        <w:tblLayout w:type="fixed"/>
        <w:tblCellMar>
          <w:top w:w="28" w:type="dxa"/>
          <w:left w:w="28" w:type="dxa"/>
          <w:bottom w:w="28" w:type="dxa"/>
          <w:right w:w="28" w:type="dxa"/>
        </w:tblCellMar>
      </w:tblPr>
      <w:tblGrid>
        <w:gridCol w:w="489"/>
        <w:gridCol w:w="427"/>
        <w:gridCol w:w="433"/>
        <w:gridCol w:w="474"/>
        <w:gridCol w:w="474"/>
        <w:gridCol w:w="476"/>
        <w:gridCol w:w="945"/>
        <w:gridCol w:w="945"/>
        <w:gridCol w:w="1335"/>
      </w:tblGrid>
      <w:tr>
        <w:trPr/>
        <w:tc>
          <w:tcPr>
            <w:tcW w:w="48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134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14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LAZ</w:t>
            </w:r>
          </w:p>
        </w:tc>
        <w:tc>
          <w:tcPr>
            <w:tcW w:w="32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12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x</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0" w:after="0"/>
        <w:jc w:val="left"/>
        <w:rPr/>
      </w:pPr>
      <w:r>
        <w:rPr>
          <w:rFonts w:ascii="Times New Roman;serif" w:hAnsi="Times New Roman;serif"/>
          <w:b w:val="false"/>
          <w:color w:val="000000"/>
          <w:sz w:val="16"/>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60" w:after="283"/>
        <w:ind w:left="0" w:right="0" w:firstLine="7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As of July 17, 2026, there were 110,548,172 shares of the Registrant’s common stock outstanding (including 13,097,600 shares held in treasury by subsidiaries).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When we use the terms “Lazard”, “we”, “us”, “our” and “the Company”, we mean Lazard, Inc., a company incorporated under the laws of the state of Delaware, and its subsidiaries. Lazard’s subsidiaries include Lazard Group LLC, a Delaware limited liability company, that is the current holding company for our businesses. Lazard’s primary operating asset is its indirect ownership of all of the common membership interests in Lazard Group LLC and its controlling interest in Lazard Group LLC.</w:t>
      </w:r>
    </w:p>
    <w:tbl>
      <w:tblPr>
        <w:tblW w:w="8490" w:type="dxa"/>
        <w:jc w:val="left"/>
        <w:tblInd w:w="0" w:type="dxa"/>
        <w:tblLayout w:type="fixed"/>
        <w:tblCellMar>
          <w:top w:w="28" w:type="dxa"/>
          <w:left w:w="28" w:type="dxa"/>
          <w:bottom w:w="28" w:type="dxa"/>
          <w:right w:w="28" w:type="dxa"/>
        </w:tblCellMar>
      </w:tblPr>
      <w:tblGrid>
        <w:gridCol w:w="2892"/>
        <w:gridCol w:w="2541"/>
        <w:gridCol w:w="2546"/>
        <w:gridCol w:w="149"/>
        <w:gridCol w:w="149"/>
        <w:gridCol w:w="213"/>
      </w:tblGrid>
      <w:tr>
        <w:trPr/>
        <w:tc>
          <w:tcPr>
            <w:tcW w:w="2892"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10">
              <w:r>
                <w:rPr>
                  <w:rStyle w:val="InternetLink"/>
                  <w:rFonts w:ascii="Times New Roman;serif" w:hAnsi="Times New Roman;serif"/>
                  <w:b/>
                  <w:color w:val="000000"/>
                  <w:sz w:val="20"/>
                  <w:u w:val="single"/>
                </w:rPr>
                <w:t>Part I. 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13">
              <w:r>
                <w:rPr>
                  <w:rStyle w:val="InternetLink"/>
                  <w:rFonts w:ascii="Times New Roman;serif" w:hAnsi="Times New Roman;serif"/>
                  <w:b w:val="false"/>
                  <w:color w:val="000000"/>
                  <w:sz w:val="20"/>
                  <w:u w:val="single"/>
                </w:rPr>
                <w:t>Item 1.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13">
              <w:r>
                <w:rPr>
                  <w:rStyle w:val="InternetLink"/>
                  <w:rFonts w:ascii="Times New Roman;serif" w:hAnsi="Times New Roman;serif"/>
                  <w:b w:val="false"/>
                  <w:strike w:val="false"/>
                  <w:dstrike w:val="false"/>
                  <w:color w:val="000000"/>
                  <w:sz w:val="20"/>
                  <w:u w:val="none"/>
                  <w:effect w:val="none"/>
                </w:rPr>
                <w:t>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127">
              <w:r>
                <w:rPr>
                  <w:rStyle w:val="InternetLink"/>
                  <w:rFonts w:ascii="Times New Roman;serif" w:hAnsi="Times New Roman;serif"/>
                  <w:b w:val="false"/>
                  <w:color w:val="000000"/>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127">
              <w:r>
                <w:rPr>
                  <w:rStyle w:val="InternetLink"/>
                  <w:rFonts w:ascii="Times New Roman;serif" w:hAnsi="Times New Roman;serif"/>
                  <w:b w:val="false"/>
                  <w:strike w:val="false"/>
                  <w:dstrike w:val="false"/>
                  <w:color w:val="000000"/>
                  <w:sz w:val="20"/>
                  <w:u w:val="none"/>
                  <w:effect w:val="none"/>
                </w:rPr>
                <w:t>43</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199">
              <w:r>
                <w:rPr>
                  <w:rStyle w:val="InternetLink"/>
                  <w:rFonts w:ascii="Times New Roman;serif" w:hAnsi="Times New Roman;serif"/>
                  <w:b w:val="false"/>
                  <w:color w:val="000000"/>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199">
              <w:r>
                <w:rPr>
                  <w:rStyle w:val="InternetLink"/>
                  <w:rFonts w:ascii="Times New Roman;serif" w:hAnsi="Times New Roman;serif"/>
                  <w:b w:val="false"/>
                  <w:strike w:val="false"/>
                  <w:dstrike w:val="false"/>
                  <w:color w:val="000000"/>
                  <w:sz w:val="20"/>
                  <w:u w:val="none"/>
                  <w:effect w:val="none"/>
                </w:rPr>
                <w:t>74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202">
              <w:r>
                <w:rPr>
                  <w:rStyle w:val="InternetLink"/>
                  <w:rFonts w:ascii="Times New Roman;serif" w:hAnsi="Times New Roman;serif"/>
                  <w:b w:val="false"/>
                  <w:color w:val="000000"/>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202">
              <w:r>
                <w:rPr>
                  <w:rStyle w:val="InternetLink"/>
                  <w:rFonts w:ascii="Times New Roman;serif" w:hAnsi="Times New Roman;serif"/>
                  <w:b w:val="false"/>
                  <w:strike w:val="false"/>
                  <w:dstrike w:val="false"/>
                  <w:color w:val="000000"/>
                  <w:sz w:val="20"/>
                  <w:u w:val="none"/>
                  <w:effect w:val="none"/>
                </w:rPr>
                <w:t>74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205">
              <w:r>
                <w:rPr>
                  <w:rStyle w:val="InternetLink"/>
                  <w:rFonts w:ascii="Times New Roman;serif" w:hAnsi="Times New Roman;serif"/>
                  <w:b/>
                  <w:color w:val="000000"/>
                  <w:sz w:val="20"/>
                  <w:u w:val="single"/>
                </w:rPr>
                <w:t>Part II.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208">
              <w:r>
                <w:rPr>
                  <w:rStyle w:val="InternetLink"/>
                  <w:rFonts w:ascii="Times New Roman;serif" w:hAnsi="Times New Roman;serif"/>
                  <w:b w:val="false"/>
                  <w:color w:val="000000"/>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208">
              <w:r>
                <w:rPr>
                  <w:rStyle w:val="InternetLink"/>
                  <w:rFonts w:ascii="Times New Roman;serif" w:hAnsi="Times New Roman;serif"/>
                  <w:b w:val="false"/>
                  <w:strike w:val="false"/>
                  <w:dstrike w:val="false"/>
                  <w:color w:val="000000"/>
                  <w:sz w:val="20"/>
                  <w:u w:val="none"/>
                  <w:effect w:val="none"/>
                </w:rPr>
                <w:t>75</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211">
              <w:r>
                <w:rPr>
                  <w:rStyle w:val="InternetLink"/>
                  <w:rFonts w:ascii="Times New Roman;serif" w:hAnsi="Times New Roman;serif"/>
                  <w:b w:val="false"/>
                  <w:color w:val="000000"/>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211">
              <w:r>
                <w:rPr>
                  <w:rStyle w:val="InternetLink"/>
                  <w:rFonts w:ascii="Times New Roman;serif" w:hAnsi="Times New Roman;serif"/>
                  <w:b w:val="false"/>
                  <w:strike w:val="false"/>
                  <w:dstrike w:val="false"/>
                  <w:color w:val="000000"/>
                  <w:sz w:val="20"/>
                  <w:u w:val="none"/>
                  <w:effect w:val="none"/>
                </w:rPr>
                <w:t>75</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214">
              <w:r>
                <w:rPr>
                  <w:rStyle w:val="InternetLink"/>
                  <w:rFonts w:ascii="Times New Roman;serif" w:hAnsi="Times New Roman;serif"/>
                  <w:b w:val="false"/>
                  <w:color w:val="000000"/>
                  <w:sz w:val="20"/>
                  <w:u w:val="single"/>
                </w:rPr>
                <w:t>Item 2. 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214">
              <w:r>
                <w:rPr>
                  <w:rStyle w:val="InternetLink"/>
                  <w:rFonts w:ascii="Times New Roman;serif" w:hAnsi="Times New Roman;serif"/>
                  <w:b w:val="false"/>
                  <w:strike w:val="false"/>
                  <w:dstrike w:val="false"/>
                  <w:color w:val="000000"/>
                  <w:sz w:val="20"/>
                  <w:u w:val="none"/>
                  <w:effect w:val="none"/>
                </w:rPr>
                <w:t>75</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217">
              <w:r>
                <w:rPr>
                  <w:rStyle w:val="InternetLink"/>
                  <w:rFonts w:ascii="Times New Roman;serif" w:hAnsi="Times New Roman;serif"/>
                  <w:b w:val="false"/>
                  <w:color w:val="000000"/>
                  <w:sz w:val="20"/>
                  <w:u w:val="single"/>
                </w:rPr>
                <w:t>Item 3. 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217">
              <w:r>
                <w:rPr>
                  <w:rStyle w:val="InternetLink"/>
                  <w:rFonts w:ascii="Times New Roman;serif" w:hAnsi="Times New Roman;serif"/>
                  <w:b w:val="false"/>
                  <w:strike w:val="false"/>
                  <w:dstrike w:val="false"/>
                  <w:color w:val="000000"/>
                  <w:sz w:val="20"/>
                  <w:u w:val="none"/>
                  <w:effect w:val="none"/>
                </w:rPr>
                <w:t>76</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220">
              <w:r>
                <w:rPr>
                  <w:rStyle w:val="InternetLink"/>
                  <w:rFonts w:ascii="Times New Roman;serif" w:hAnsi="Times New Roman;serif"/>
                  <w:b w:val="false"/>
                  <w:color w:val="000000"/>
                  <w:sz w:val="20"/>
                  <w:u w:val="single"/>
                </w:rPr>
                <w:t>Item 4. 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220">
              <w:r>
                <w:rPr>
                  <w:rStyle w:val="InternetLink"/>
                  <w:rFonts w:ascii="Times New Roman;serif" w:hAnsi="Times New Roman;serif"/>
                  <w:b w:val="false"/>
                  <w:strike w:val="false"/>
                  <w:dstrike w:val="false"/>
                  <w:color w:val="000000"/>
                  <w:sz w:val="20"/>
                  <w:u w:val="none"/>
                  <w:effect w:val="none"/>
                </w:rPr>
                <w:t>76</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223">
              <w:r>
                <w:rPr>
                  <w:rStyle w:val="InternetLink"/>
                  <w:rFonts w:ascii="Times New Roman;serif" w:hAnsi="Times New Roman;serif"/>
                  <w:b w:val="false"/>
                  <w:color w:val="000000"/>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223">
              <w:r>
                <w:rPr>
                  <w:rStyle w:val="InternetLink"/>
                  <w:rFonts w:ascii="Times New Roman;serif" w:hAnsi="Times New Roman;serif"/>
                  <w:b w:val="false"/>
                  <w:strike w:val="false"/>
                  <w:dstrike w:val="false"/>
                  <w:color w:val="000000"/>
                  <w:sz w:val="20"/>
                  <w:u w:val="none"/>
                  <w:effect w:val="none"/>
                </w:rPr>
                <w:t>76</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232">
              <w:r>
                <w:rPr>
                  <w:rStyle w:val="InternetLink"/>
                  <w:rFonts w:ascii="Times New Roman;serif" w:hAnsi="Times New Roman;serif"/>
                  <w:b w:val="false"/>
                  <w:color w:val="000000"/>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232">
              <w:r>
                <w:rPr>
                  <w:rStyle w:val="InternetLink"/>
                  <w:rFonts w:ascii="Times New Roman;serif" w:hAnsi="Times New Roman;serif"/>
                  <w:b w:val="false"/>
                  <w:strike w:val="false"/>
                  <w:dstrike w:val="false"/>
                  <w:color w:val="000000"/>
                  <w:sz w:val="20"/>
                  <w:u w:val="none"/>
                  <w:effect w:val="none"/>
                </w:rPr>
                <w:t>78</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ef94fee61415abdeb828be20381be_235">
              <w:r>
                <w:rPr>
                  <w:rStyle w:val="InternetLink"/>
                  <w:rFonts w:ascii="Times New Roman;serif" w:hAnsi="Times New Roman;serif"/>
                  <w:b/>
                  <w:color w:val="000000"/>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235">
              <w:r>
                <w:rPr>
                  <w:rStyle w:val="InternetLink"/>
                  <w:rFonts w:ascii="Times New Roman;serif" w:hAnsi="Times New Roman;serif"/>
                  <w:b w:val="false"/>
                  <w:strike w:val="false"/>
                  <w:dstrike w:val="false"/>
                  <w:color w:val="000000"/>
                  <w:sz w:val="20"/>
                  <w:u w:val="none"/>
                  <w:effect w:val="none"/>
                </w:rPr>
                <w:t>79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tbl>
      <w:tblPr>
        <w:tblW w:w="10205" w:type="dxa"/>
        <w:jc w:val="left"/>
        <w:tblInd w:w="0" w:type="dxa"/>
        <w:tblLayout w:type="fixed"/>
        <w:tblCellMar>
          <w:top w:w="28" w:type="dxa"/>
          <w:left w:w="28" w:type="dxa"/>
          <w:bottom w:w="28" w:type="dxa"/>
          <w:right w:w="28" w:type="dxa"/>
        </w:tblCellMar>
      </w:tblPr>
      <w:tblGrid>
        <w:gridCol w:w="3556"/>
        <w:gridCol w:w="3065"/>
        <w:gridCol w:w="3072"/>
        <w:gridCol w:w="149"/>
        <w:gridCol w:w="149"/>
        <w:gridCol w:w="214"/>
      </w:tblGrid>
      <w:tr>
        <w:trPr/>
        <w:tc>
          <w:tcPr>
            <w:tcW w:w="3556"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30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a6ef94fee61415abdeb828be20381be_16">
              <w:r>
                <w:rPr>
                  <w:rStyle w:val="InternetLink"/>
                  <w:rFonts w:ascii="Times New Roman;serif" w:hAnsi="Times New Roman;serif"/>
                  <w:b w:val="false"/>
                  <w:color w:val="000000"/>
                  <w:sz w:val="20"/>
                  <w:u w:val="single"/>
                </w:rPr>
                <w:t>Condensed Consolidated Statements of Financial Condition as of June 30, 2026 and December 31, 2025</w:t>
              </w:r>
            </w:hyperlink>
          </w:p>
        </w:tc>
        <w:tc>
          <w:tcPr>
            <w:tcW w:w="5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hyperlink w:anchor="i2a6ef94fee61415abdeb828be20381be_16">
              <w:r>
                <w:rPr>
                  <w:rStyle w:val="InternetLink"/>
                  <w:rFonts w:ascii="Times New Roman;serif" w:hAnsi="Times New Roman;serif"/>
                  <w:b w:val="false"/>
                  <w:strike w:val="false"/>
                  <w:dstrike w:val="false"/>
                  <w:color w:val="000000"/>
                  <w:sz w:val="20"/>
                  <w:u w:val="none"/>
                  <w:effect w:val="none"/>
                </w:rPr>
                <w:t>2</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a6ef94fee61415abdeb828be20381be_19">
              <w:r>
                <w:rPr>
                  <w:rStyle w:val="InternetLink"/>
                  <w:rFonts w:ascii="Times New Roman;serif" w:hAnsi="Times New Roman;serif"/>
                  <w:b w:val="false"/>
                  <w:color w:val="000000"/>
                  <w:sz w:val="20"/>
                  <w:u w:val="single"/>
                </w:rPr>
                <w:t>Condensed Consolidated Statements of Operations for the three month and six month periods ended June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19">
              <w:r>
                <w:rPr>
                  <w:rStyle w:val="InternetLink"/>
                  <w:rFonts w:ascii="Times New Roman;serif" w:hAnsi="Times New Roman;serif"/>
                  <w:b w:val="false"/>
                  <w:strike w:val="false"/>
                  <w:dstrike w:val="false"/>
                  <w:color w:val="000000"/>
                  <w:sz w:val="20"/>
                  <w:u w:val="none"/>
                  <w:effect w:val="none"/>
                </w:rPr>
                <w:t>4</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a6ef94fee61415abdeb828be20381be_22">
              <w:r>
                <w:rPr>
                  <w:rStyle w:val="InternetLink"/>
                  <w:rFonts w:ascii="Times New Roman;serif" w:hAnsi="Times New Roman;serif"/>
                  <w:b w:val="false"/>
                  <w:color w:val="000000"/>
                  <w:sz w:val="20"/>
                  <w:u w:val="single"/>
                </w:rPr>
                <w:t>Condensed Consolidated Statements of Comprehensive Income for the three month and six month periods ended June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22">
              <w:r>
                <w:rPr>
                  <w:rStyle w:val="InternetLink"/>
                  <w:rFonts w:ascii="Times New Roman;serif" w:hAnsi="Times New Roman;serif"/>
                  <w:b w:val="false"/>
                  <w:strike w:val="false"/>
                  <w:dstrike w:val="false"/>
                  <w:color w:val="000000"/>
                  <w:sz w:val="20"/>
                  <w:u w:val="none"/>
                  <w:effect w:val="none"/>
                </w:rPr>
                <w:t>5</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a6ef94fee61415abdeb828be20381be_25">
              <w:r>
                <w:rPr>
                  <w:rStyle w:val="InternetLink"/>
                  <w:rFonts w:ascii="Times New Roman;serif" w:hAnsi="Times New Roman;serif"/>
                  <w:b w:val="false"/>
                  <w:color w:val="000000"/>
                  <w:sz w:val="20"/>
                  <w:u w:val="single"/>
                </w:rPr>
                <w:t>Condensed Consolidated Statements of Cash Flows for the six month periods ended June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25">
              <w:r>
                <w:rPr>
                  <w:rStyle w:val="InternetLink"/>
                  <w:rFonts w:ascii="Times New Roman;serif" w:hAnsi="Times New Roman;serif"/>
                  <w:b w:val="false"/>
                  <w:strike w:val="false"/>
                  <w:dstrike w:val="false"/>
                  <w:color w:val="000000"/>
                  <w:sz w:val="20"/>
                  <w:u w:val="none"/>
                  <w:effect w:val="none"/>
                </w:rPr>
                <w:t>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a6ef94fee61415abdeb828be20381be_28">
              <w:r>
                <w:rPr>
                  <w:rStyle w:val="InternetLink"/>
                  <w:rFonts w:ascii="Times New Roman;serif" w:hAnsi="Times New Roman;serif"/>
                  <w:b w:val="false"/>
                  <w:color w:val="000000"/>
                  <w:sz w:val="20"/>
                  <w:u w:val="single"/>
                </w:rPr>
                <w:t>Condensed Consolidated Statements of Changes in Stockholders’ Equity and Redeemable Noncontrolling Interests for the three month and six month periods ended June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28">
              <w:r>
                <w:rPr>
                  <w:rStyle w:val="InternetLink"/>
                  <w:rFonts w:ascii="Times New Roman;serif" w:hAnsi="Times New Roman;serif"/>
                  <w:b w:val="false"/>
                  <w:strike w:val="false"/>
                  <w:dstrike w:val="false"/>
                  <w:color w:val="000000"/>
                  <w:sz w:val="20"/>
                  <w:u w:val="none"/>
                  <w:effect w:val="none"/>
                </w:rPr>
                <w:t>8</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a6ef94fee61415abdeb828be20381be_31">
              <w:r>
                <w:rPr>
                  <w:rStyle w:val="InternetLink"/>
                  <w:rFonts w:ascii="Times New Roman;serif" w:hAnsi="Times New Roman;serif"/>
                  <w:b w:val="false"/>
                  <w:color w:val="000000"/>
                  <w:sz w:val="20"/>
                  <w:u w:val="single"/>
                </w:rPr>
                <w:t>Notes to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ef94fee61415abdeb828be20381be_31">
              <w:r>
                <w:rPr>
                  <w:rStyle w:val="InternetLink"/>
                  <w:rFonts w:ascii="Times New Roman;serif" w:hAnsi="Times New Roman;serif"/>
                  <w:b w:val="false"/>
                  <w:strike w:val="false"/>
                  <w:dstrike w:val="false"/>
                  <w:color w:val="000000"/>
                  <w:sz w:val="20"/>
                  <w:u w:val="none"/>
                  <w:effect w:val="none"/>
                </w:rPr>
                <w:t>12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06450"/>
                <wp:effectExtent l="0" t="0" r="0" b="0"/>
                <wp:wrapNone/>
                <wp:docPr id="3" name="Frame3"/>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before="240" w:after="283"/>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 AND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w:t>
      </w:r>
    </w:p>
    <w:tbl>
      <w:tblPr>
        <w:tblW w:w="10205" w:type="dxa"/>
        <w:jc w:val="center"/>
        <w:tblInd w:w="0" w:type="dxa"/>
        <w:tblLayout w:type="fixed"/>
        <w:tblCellMar>
          <w:top w:w="28" w:type="dxa"/>
          <w:left w:w="28" w:type="dxa"/>
          <w:bottom w:w="28" w:type="dxa"/>
          <w:right w:w="28" w:type="dxa"/>
        </w:tblCellMar>
      </w:tblPr>
      <w:tblGrid>
        <w:gridCol w:w="2623"/>
        <w:gridCol w:w="2299"/>
        <w:gridCol w:w="2317"/>
        <w:gridCol w:w="211"/>
        <w:gridCol w:w="976"/>
        <w:gridCol w:w="109"/>
        <w:gridCol w:w="109"/>
        <w:gridCol w:w="109"/>
        <w:gridCol w:w="109"/>
        <w:gridCol w:w="211"/>
        <w:gridCol w:w="976"/>
        <w:gridCol w:w="156"/>
      </w:tblGrid>
      <w:tr>
        <w:trPr/>
        <w:tc>
          <w:tcPr>
            <w:tcW w:w="2623"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with banks and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 for credit losses of $23,589 and $22,884 at June 30, 2026 and December 31, 2025, respectively):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706,220 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897,786 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 (including $33,770 and $48,966 pledged at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625,846 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Property (net of accumulated amortization and depreciation of $291,341 and $286,235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 (net of accumulated amortization of $67,711 at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449,531 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316,687 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4,364,661 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4,936,272 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866005"/>
                <wp:effectExtent l="0" t="0" r="0" b="0"/>
                <wp:wrapNone/>
                <wp:docPr id="4" name="Frame4"/>
                <a:graphic xmlns:a="http://schemas.openxmlformats.org/drawingml/2006/main">
                  <a:graphicData uri="http://schemas.microsoft.com/office/word/2010/wordprocessingShape">
                    <wps:wsp>
                      <wps:cNvSpPr txBox="1"/>
                      <wps:spPr>
                        <a:xfrm>
                          <a:off x="0" y="0"/>
                          <a:ext cx="6480175" cy="4866005"/>
                        </a:xfrm>
                        <a:prstGeom prst="rect"/>
                        <a:solidFill>
                          <a:srgbClr val="FFFFFF"/>
                        </a:solidFill>
                      </wps:spPr>
                      <wps:txb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 AND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w:t>
      </w:r>
    </w:p>
    <w:tbl>
      <w:tblPr>
        <w:tblW w:w="10205" w:type="dxa"/>
        <w:jc w:val="center"/>
        <w:tblInd w:w="0" w:type="dxa"/>
        <w:tblLayout w:type="fixed"/>
        <w:tblCellMar>
          <w:top w:w="28" w:type="dxa"/>
          <w:left w:w="28" w:type="dxa"/>
          <w:bottom w:w="28" w:type="dxa"/>
          <w:right w:w="28" w:type="dxa"/>
        </w:tblCellMar>
      </w:tblPr>
      <w:tblGrid>
        <w:gridCol w:w="2624"/>
        <w:gridCol w:w="2304"/>
        <w:gridCol w:w="2312"/>
        <w:gridCol w:w="211"/>
        <w:gridCol w:w="976"/>
        <w:gridCol w:w="109"/>
        <w:gridCol w:w="109"/>
        <w:gridCol w:w="109"/>
        <w:gridCol w:w="109"/>
        <w:gridCol w:w="211"/>
        <w:gridCol w:w="976"/>
        <w:gridCol w:w="155"/>
      </w:tblGrid>
      <w:tr>
        <w:trPr/>
        <w:tc>
          <w:tcPr>
            <w:tcW w:w="262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LIABILITIES, REDEEMABLE NONCONTROLLING INTERESTS AND </w:t>
            </w:r>
          </w:p>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0"/>
              </w:rPr>
              <w:t>STOCKHOLDERS’ EQUITY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customer payables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330,852 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485,149 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1,688,086 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3,348,843 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3,951,604 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par value $0.01 per share; 15,000,000 shares authorized; no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shares issued and outstanding at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Par value $0.01 per share (500,000,000 shares authorized; 110,548,172 and 111,728,757 shares issued at June 30, 2026 and December 31, 2025, respectively, including shares held in treasury)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1,517,571 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1,553,604 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held in treasury, at cost (13,097,600 and 17,822,122 shares at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(684,411)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Lazard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869,193 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904,532 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906,289 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4,364,661 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4,936,272 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866005"/>
                <wp:effectExtent l="0" t="0" r="0" b="0"/>
                <wp:wrapNone/>
                <wp:docPr id="5" name="Frame5"/>
                <a:graphic xmlns:a="http://schemas.openxmlformats.org/drawingml/2006/main">
                  <a:graphicData uri="http://schemas.microsoft.com/office/word/2010/wordprocessingShape">
                    <wps:wsp>
                      <wps:cNvSpPr txBox="1"/>
                      <wps:spPr>
                        <a:xfrm>
                          <a:off x="0" y="0"/>
                          <a:ext cx="6480175" cy="4866005"/>
                        </a:xfrm>
                        <a:prstGeom prst="rect"/>
                        <a:solidFill>
                          <a:srgbClr val="FFFFFF"/>
                        </a:solidFill>
                      </wps:spPr>
                      <wps:txb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 AND SIX MONTH PERIODS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w:t>
      </w:r>
    </w:p>
    <w:tbl>
      <w:tblPr>
        <w:tblW w:w="10205" w:type="dxa"/>
        <w:jc w:val="left"/>
        <w:tblInd w:w="0" w:type="dxa"/>
        <w:tblLayout w:type="fixed"/>
        <w:tblCellMar>
          <w:top w:w="28" w:type="dxa"/>
          <w:left w:w="28" w:type="dxa"/>
          <w:bottom w:w="28" w:type="dxa"/>
          <w:right w:w="28" w:type="dxa"/>
        </w:tblCellMar>
      </w:tblPr>
      <w:tblGrid>
        <w:gridCol w:w="1955"/>
        <w:gridCol w:w="1315"/>
        <w:gridCol w:w="132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95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banking and other advisory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540,221 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817,160 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1,486,324 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807,669 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795,997 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1,564,251 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1,444,048 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949,478 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business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information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Fund administration and outsourced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702,916 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1,437,074 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1,296,332 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147,716 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123,306 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LESS - 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LAZARD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115,721 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ATTRIBUTABLE TO LAZARD COMMON STOCKHOLDERS: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SHARES OF COMMON STOCK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101,357,540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97,534,319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100,408,897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96,394,871</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107,341,353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104,911,633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107,064,663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104,870,193</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PER SHARE OF COMMON STOCK:</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866005"/>
                <wp:effectExtent l="0" t="0" r="0" b="0"/>
                <wp:wrapNone/>
                <wp:docPr id="6" name="Frame6"/>
                <a:graphic xmlns:a="http://schemas.openxmlformats.org/drawingml/2006/main">
                  <a:graphicData uri="http://schemas.microsoft.com/office/word/2010/wordprocessingShape">
                    <wps:wsp>
                      <wps:cNvSpPr txBox="1"/>
                      <wps:spPr>
                        <a:xfrm>
                          <a:off x="0" y="0"/>
                          <a:ext cx="6480175" cy="4866005"/>
                        </a:xfrm>
                        <a:prstGeom prst="rect"/>
                        <a:solidFill>
                          <a:srgbClr val="FFFFFF"/>
                        </a:solidFill>
                      </wps:spPr>
                      <wps:txb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 AND SIX MONTH PERIODS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0205" w:type="dxa"/>
        <w:jc w:val="left"/>
        <w:tblInd w:w="0" w:type="dxa"/>
        <w:tblLayout w:type="fixed"/>
        <w:tblCellMar>
          <w:top w:w="28" w:type="dxa"/>
          <w:left w:w="28" w:type="dxa"/>
          <w:bottom w:w="28" w:type="dxa"/>
          <w:right w:w="28" w:type="dxa"/>
        </w:tblCellMar>
      </w:tblPr>
      <w:tblGrid>
        <w:gridCol w:w="1826"/>
        <w:gridCol w:w="1481"/>
        <w:gridCol w:w="149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82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123,306 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 (net of tax benefit of $597 and $603 for the three months and six months ended June 30, 2026,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70,081 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Actuarial gain (loss) (net of tax expense (benefit) of $105 and $(2,736) for the three months ended June 30, 2026 and 2025, respectively, and $1,367 and $(4,338) for the six months ended June 30, 2026 and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Adjustment for items reclassified to earnings (net of tax expense of $523 and $562 for the three months ended June 30, 2026 and 2025, respectively, and $1,047 and $1,092 for the six months ended June 30, 2026 and 2025, respectively)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57,905 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181,211 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LESS - COMPREHENSIVE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LAZARD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173,560 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866005"/>
                <wp:effectExtent l="0" t="0" r="0" b="0"/>
                <wp:wrapNone/>
                <wp:docPr id="7" name="Frame7"/>
                <a:graphic xmlns:a="http://schemas.openxmlformats.org/drawingml/2006/main">
                  <a:graphicData uri="http://schemas.microsoft.com/office/word/2010/wordprocessingShape">
                    <wps:wsp>
                      <wps:cNvSpPr txBox="1"/>
                      <wps:spPr>
                        <a:xfrm>
                          <a:off x="0" y="0"/>
                          <a:ext cx="6480175" cy="4866005"/>
                        </a:xfrm>
                        <a:prstGeom prst="rect"/>
                        <a:solidFill>
                          <a:srgbClr val="FFFFFF"/>
                        </a:solidFill>
                      </wps:spPr>
                      <wps:txb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 PERIODS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2726"/>
        <w:gridCol w:w="2370"/>
        <w:gridCol w:w="2384"/>
        <w:gridCol w:w="196"/>
        <w:gridCol w:w="871"/>
        <w:gridCol w:w="109"/>
        <w:gridCol w:w="109"/>
        <w:gridCol w:w="109"/>
        <w:gridCol w:w="109"/>
        <w:gridCol w:w="196"/>
        <w:gridCol w:w="871"/>
        <w:gridCol w:w="155"/>
      </w:tblGrid>
      <w:tr>
        <w:trPr/>
        <w:tc>
          <w:tcPr>
            <w:tcW w:w="2726"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123,306 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(used in)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expenses and share-based incentive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237,536 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33,512 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of property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17,070 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benefit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(17,834)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and deconsolidation of business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(5,182)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operating assets and increase (decrease) in operating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53,156 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(26,292)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 and 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(585,359)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(167,846)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property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and consolidation of business, net of cash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 and deconsolidation of business, net of cash proceeds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(payments for) customer loans,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(49,014)</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(payments for) customer deposits,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35,282 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receivable agreement obligation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(39,928)</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(92,024)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share-based incentive compensation in satisfaction of tax withholding requirements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(103,014)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LFI Consolidated Funds redemptions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(21,657)</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(277,577)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(231,548)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EFFECT OF EXCHANGE RATE CHANGES ON CASH AND CASH EQUIVALENTS AND RESTRICTED CASH</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87,348 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DECREASE IN CASH AND CASH EQUIVALENTS AND RESTRICTED CASH</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(367,815)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(361,060)</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AND CASH EQUIVALENTS AND RESTRICTED CASH— January 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1,670,571 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1,609,368 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AND CASH EQUIVALENTS AND RESTRICTED CASH—June 30</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1,302,756 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1,248,308 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866005"/>
                <wp:effectExtent l="0" t="0" r="0" b="0"/>
                <wp:wrapNone/>
                <wp:docPr id="8" name="Frame8"/>
                <a:graphic xmlns:a="http://schemas.openxmlformats.org/drawingml/2006/main">
                  <a:graphicData uri="http://schemas.microsoft.com/office/word/2010/wordprocessingShape">
                    <wps:wsp>
                      <wps:cNvSpPr txBox="1"/>
                      <wps:spPr>
                        <a:xfrm>
                          <a:off x="0" y="0"/>
                          <a:ext cx="6480175" cy="4866005"/>
                        </a:xfrm>
                        <a:prstGeom prst="rect"/>
                        <a:solidFill>
                          <a:srgbClr val="FFFFFF"/>
                        </a:solidFill>
                      </wps:spPr>
                      <wps:txb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240" w:after="283"/>
        <w:jc w:val="both"/>
        <w:rPr/>
      </w:pPr>
      <w:r>
        <w:rPr/>
      </w:r>
    </w:p>
    <w:tbl>
      <w:tblPr>
        <w:tblW w:w="10205" w:type="dxa"/>
        <w:jc w:val="center"/>
        <w:tblInd w:w="0" w:type="dxa"/>
        <w:tblLayout w:type="fixed"/>
        <w:tblCellMar>
          <w:top w:w="28" w:type="dxa"/>
          <w:left w:w="28" w:type="dxa"/>
          <w:bottom w:w="28" w:type="dxa"/>
          <w:right w:w="28" w:type="dxa"/>
        </w:tblCellMar>
      </w:tblPr>
      <w:tblGrid>
        <w:gridCol w:w="2710"/>
        <w:gridCol w:w="2383"/>
        <w:gridCol w:w="2387"/>
        <w:gridCol w:w="196"/>
        <w:gridCol w:w="871"/>
        <w:gridCol w:w="109"/>
        <w:gridCol w:w="109"/>
        <w:gridCol w:w="109"/>
        <w:gridCol w:w="109"/>
        <w:gridCol w:w="196"/>
        <w:gridCol w:w="871"/>
        <w:gridCol w:w="155"/>
      </w:tblGrid>
      <w:tr>
        <w:trPr/>
        <w:tc>
          <w:tcPr>
            <w:tcW w:w="2710"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RECONCILIATION OF CASH AND CASH EQUIVALENTS AND RESTRICTED CASH WITHIN THE CONDENSED CONSOLIDATED STATEMENTS OF FINANCIAL CONDITION: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1,099,790 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1,469,416 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with banks and 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167,134 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CASH AND CASH EQUIVALENTS AND RESTRICTED CASH</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1,302,756 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1,670,571 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866005"/>
                <wp:effectExtent l="0" t="0" r="0" b="0"/>
                <wp:wrapNone/>
                <wp:docPr id="9" name="Frame9"/>
                <a:graphic xmlns:a="http://schemas.openxmlformats.org/drawingml/2006/main">
                  <a:graphicData uri="http://schemas.microsoft.com/office/word/2010/wordprocessingShape">
                    <wps:wsp>
                      <wps:cNvSpPr txBox="1"/>
                      <wps:spPr>
                        <a:xfrm>
                          <a:off x="0" y="0"/>
                          <a:ext cx="6480175" cy="4866005"/>
                        </a:xfrm>
                        <a:prstGeom prst="rect"/>
                        <a:solidFill>
                          <a:srgbClr val="FFFFFF"/>
                        </a:solidFill>
                      </wps:spPr>
                      <wps:txb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240" w:after="283"/>
        <w:jc w:val="both"/>
        <w:rPr/>
      </w:pPr>
      <w:r>
        <w:rPr/>
      </w:r>
    </w:p>
    <w:p>
      <w:pPr>
        <w:pStyle w:val="TextBody"/>
        <w:bidi w:val="0"/>
        <w:spacing w:before="24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AND REDEEMABLE NONCONTROLLING INTERESTS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before="240" w:after="283"/>
        <w:jc w:val="center"/>
        <w:rPr/>
      </w:pPr>
      <w:r>
        <w:rPr/>
      </w:r>
    </w:p>
    <w:tbl>
      <w:tblPr>
        <w:tblW w:w="16160" w:type="dxa"/>
        <w:jc w:val="center"/>
        <w:tblInd w:w="0" w:type="dxa"/>
        <w:tblLayout w:type="fixed"/>
        <w:tblCellMar>
          <w:top w:w="28" w:type="dxa"/>
          <w:left w:w="28" w:type="dxa"/>
          <w:bottom w:w="28" w:type="dxa"/>
          <w:right w:w="28" w:type="dxa"/>
        </w:tblCellMar>
      </w:tblPr>
      <w:tblGrid>
        <w:gridCol w:w="673"/>
        <w:gridCol w:w="327"/>
        <w:gridCol w:w="231"/>
        <w:gridCol w:w="334"/>
        <w:gridCol w:w="334"/>
        <w:gridCol w:w="338"/>
        <w:gridCol w:w="109"/>
        <w:gridCol w:w="109"/>
        <w:gridCol w:w="109"/>
        <w:gridCol w:w="196"/>
        <w:gridCol w:w="571"/>
        <w:gridCol w:w="109"/>
        <w:gridCol w:w="109"/>
        <w:gridCol w:w="109"/>
        <w:gridCol w:w="109"/>
        <w:gridCol w:w="196"/>
        <w:gridCol w:w="751"/>
        <w:gridCol w:w="109"/>
        <w:gridCol w:w="109"/>
        <w:gridCol w:w="109"/>
        <w:gridCol w:w="109"/>
        <w:gridCol w:w="196"/>
        <w:gridCol w:w="886"/>
        <w:gridCol w:w="109"/>
        <w:gridCol w:w="109"/>
        <w:gridCol w:w="109"/>
        <w:gridCol w:w="109"/>
        <w:gridCol w:w="196"/>
        <w:gridCol w:w="791"/>
        <w:gridCol w:w="109"/>
        <w:gridCol w:w="109"/>
        <w:gridCol w:w="109"/>
        <w:gridCol w:w="109"/>
        <w:gridCol w:w="375"/>
        <w:gridCol w:w="376"/>
        <w:gridCol w:w="308"/>
        <w:gridCol w:w="109"/>
        <w:gridCol w:w="109"/>
        <w:gridCol w:w="109"/>
        <w:gridCol w:w="196"/>
        <w:gridCol w:w="751"/>
        <w:gridCol w:w="109"/>
        <w:gridCol w:w="109"/>
        <w:gridCol w:w="109"/>
        <w:gridCol w:w="109"/>
        <w:gridCol w:w="196"/>
        <w:gridCol w:w="751"/>
        <w:gridCol w:w="109"/>
        <w:gridCol w:w="109"/>
        <w:gridCol w:w="109"/>
        <w:gridCol w:w="109"/>
        <w:gridCol w:w="241"/>
        <w:gridCol w:w="704"/>
        <w:gridCol w:w="136"/>
        <w:gridCol w:w="109"/>
        <w:gridCol w:w="109"/>
        <w:gridCol w:w="109"/>
        <w:gridCol w:w="196"/>
        <w:gridCol w:w="751"/>
        <w:gridCol w:w="109"/>
        <w:gridCol w:w="109"/>
        <w:gridCol w:w="109"/>
        <w:gridCol w:w="109"/>
        <w:gridCol w:w="200"/>
        <w:gridCol w:w="768"/>
        <w:gridCol w:w="158"/>
      </w:tblGrid>
      <w:tr>
        <w:trPr/>
        <w:tc>
          <w:tcPr>
            <w:tcW w:w="6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Income (Loss),</w:t>
              <w:b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Common Stock</w:t>
              <w:br/>
              <w:t>Held 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br/>
              <w:t>Lazard</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Redeemable </w:t>
              <w:br/>
              <w:t xml:space="preserve">Noncontrolling </w:t>
              <w:br/>
              <w:t>Interests</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 April 1, 2026</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111,687,255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106,494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1,559,269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(276,678)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13,249,570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(508,906)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881,296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(8,841)</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872,455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81,426</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8,668 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 net of tax</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share-based incentive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equivalents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Common stock dividends ($0.50 per share)</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 and cancellation of common </w:t>
              <w:br/>
              <w:t>   stock</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Delivery of common stock in connection with share-based incentive compensation and related tax benefit of $8,350</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(151,970)</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Distributions to noncontrolling </w:t>
              <w:br/>
              <w:t>   interests, net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(1,807)</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LFI Consolidated Funds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(12,772)</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and consolidation of business (a)</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35,774</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 June 30, 2026</w:t>
            </w:r>
          </w:p>
        </w:tc>
        <w:tc>
          <w:tcPr>
            <w:tcW w:w="10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110,548,172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1,105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195,119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1,505,836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(278,753)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13,097,600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(509,002)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914,305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(9,773)</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904,532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111,286</w:t>
            </w:r>
            <w:r>
              <w:rPr>
                <w:color w:val="000000"/>
              </w:rPr>
              <w:t>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(a) See Notes 9 and 12.</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866005"/>
                <wp:effectExtent l="0" t="0" r="0" b="0"/>
                <wp:wrapNone/>
                <wp:docPr id="10" name="Frame10"/>
                <a:graphic xmlns:a="http://schemas.openxmlformats.org/drawingml/2006/main">
                  <a:graphicData uri="http://schemas.microsoft.com/office/word/2010/wordprocessingShape">
                    <wps:wsp>
                      <wps:cNvSpPr txBox="1"/>
                      <wps:spPr>
                        <a:xfrm>
                          <a:off x="0" y="0"/>
                          <a:ext cx="6480175" cy="4866005"/>
                        </a:xfrm>
                        <a:prstGeom prst="rect"/>
                        <a:solidFill>
                          <a:srgbClr val="FFFFFF"/>
                        </a:solidFill>
                      </wps:spPr>
                      <wps:txb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283"/>
        <w:jc w:val="both"/>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AND REDEEMABLE NONCONTROLLING INTERESTS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6355" w:type="dxa"/>
        <w:jc w:val="center"/>
        <w:tblInd w:w="0" w:type="dxa"/>
        <w:tblLayout w:type="fixed"/>
        <w:tblCellMar>
          <w:top w:w="28" w:type="dxa"/>
          <w:left w:w="28" w:type="dxa"/>
          <w:bottom w:w="28" w:type="dxa"/>
          <w:right w:w="28" w:type="dxa"/>
        </w:tblCellMar>
      </w:tblPr>
      <w:tblGrid>
        <w:gridCol w:w="735"/>
        <w:gridCol w:w="277"/>
        <w:gridCol w:w="279"/>
        <w:gridCol w:w="334"/>
        <w:gridCol w:w="334"/>
        <w:gridCol w:w="338"/>
        <w:gridCol w:w="109"/>
        <w:gridCol w:w="109"/>
        <w:gridCol w:w="109"/>
        <w:gridCol w:w="196"/>
        <w:gridCol w:w="571"/>
        <w:gridCol w:w="109"/>
        <w:gridCol w:w="109"/>
        <w:gridCol w:w="109"/>
        <w:gridCol w:w="109"/>
        <w:gridCol w:w="196"/>
        <w:gridCol w:w="751"/>
        <w:gridCol w:w="109"/>
        <w:gridCol w:w="109"/>
        <w:gridCol w:w="109"/>
        <w:gridCol w:w="109"/>
        <w:gridCol w:w="196"/>
        <w:gridCol w:w="886"/>
        <w:gridCol w:w="109"/>
        <w:gridCol w:w="109"/>
        <w:gridCol w:w="109"/>
        <w:gridCol w:w="109"/>
        <w:gridCol w:w="196"/>
        <w:gridCol w:w="791"/>
        <w:gridCol w:w="109"/>
        <w:gridCol w:w="109"/>
        <w:gridCol w:w="109"/>
        <w:gridCol w:w="109"/>
        <w:gridCol w:w="443"/>
        <w:gridCol w:w="443"/>
        <w:gridCol w:w="308"/>
        <w:gridCol w:w="109"/>
        <w:gridCol w:w="109"/>
        <w:gridCol w:w="109"/>
        <w:gridCol w:w="196"/>
        <w:gridCol w:w="751"/>
        <w:gridCol w:w="109"/>
        <w:gridCol w:w="109"/>
        <w:gridCol w:w="109"/>
        <w:gridCol w:w="109"/>
        <w:gridCol w:w="196"/>
        <w:gridCol w:w="751"/>
        <w:gridCol w:w="109"/>
        <w:gridCol w:w="109"/>
        <w:gridCol w:w="109"/>
        <w:gridCol w:w="109"/>
        <w:gridCol w:w="219"/>
        <w:gridCol w:w="739"/>
        <w:gridCol w:w="123"/>
        <w:gridCol w:w="109"/>
        <w:gridCol w:w="109"/>
        <w:gridCol w:w="109"/>
        <w:gridCol w:w="196"/>
        <w:gridCol w:w="751"/>
        <w:gridCol w:w="109"/>
        <w:gridCol w:w="109"/>
        <w:gridCol w:w="109"/>
        <w:gridCol w:w="109"/>
        <w:gridCol w:w="200"/>
        <w:gridCol w:w="768"/>
        <w:gridCol w:w="158"/>
      </w:tblGrid>
      <w:tr>
        <w:trPr/>
        <w:tc>
          <w:tcPr>
            <w:tcW w:w="7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 xml:space="preserve">Income (Loss), </w:t>
              <w:b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Common Stock</w:t>
              <w:br/>
              <w:t>Held 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br/>
              <w:t>Lazard</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Redeemable</w:t>
              <w:br/>
              <w:t>Noncontrolling</w:t>
              <w:br/>
              <w:t>Interests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 January 1, 2026</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111,728,757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306,425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1,517,571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(271,509)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17,822,122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(684,411)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869,193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37,096</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906,289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78,379</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 net of tax</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share-based incentive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equivalents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Common stock dividends ($1.00 per share)</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 and cancellation of common </w:t>
              <w:br/>
              <w:t xml:space="preserve">   stock </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(1,180,585)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Delivery of common stock in connection with share-based incentive compensation and related tax expense of $2,302</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(4,724,522)</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 and related equity transactions: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issuable</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Contributions from (distributions to) </w:t>
              <w:br/>
              <w:t>   noncontrolling interests, net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LFI Consolidated Funds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(9,626)</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 and deconsolidation of business (a)</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and consolidation of business (b)</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 June 30, 2026</w:t>
            </w:r>
          </w:p>
        </w:tc>
        <w:tc>
          <w:tcPr>
            <w:tcW w:w="100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110,548,172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1,105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195,119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1,505,836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(278,753)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13,097,600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(509,002)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914,305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(9,773)</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904,532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111,286</w:t>
            </w:r>
            <w:r>
              <w:rPr>
                <w:color w:val="000000"/>
              </w:rPr>
              <w:t>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 See Note 1.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(b) See Notes 9 and 12.</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w:t>
      </w:r>
    </w:p>
    <w:p>
      <w:pPr>
        <w:pStyle w:val="TextBody"/>
        <w:bidi w:val="0"/>
        <w:spacing w:before="60" w:after="283"/>
        <w:ind w:left="0" w:right="0" w:hanging="360"/>
        <w:jc w:val="left"/>
        <w:rPr/>
      </w:pPr>
      <w:r>
        <w:rPr/>
      </w:r>
    </w:p>
    <w:p>
      <w:pPr>
        <w:pStyle w:val="TextBody"/>
        <w:bidi w:val="0"/>
        <w:spacing w:before="60" w:after="283"/>
        <w:ind w:left="0" w:right="0" w:hanging="360"/>
        <w:jc w:val="left"/>
        <w:rPr/>
      </w:pPr>
      <w:r>
        <w:rPr/>
      </w:r>
    </w:p>
    <w:p>
      <w:pPr>
        <w:pStyle w:val="TextBody"/>
        <w:bidi w:val="0"/>
        <w:spacing w:before="60" w:after="283"/>
        <w:ind w:left="0" w:right="0" w:hanging="360"/>
        <w:jc w:val="left"/>
        <w:rPr/>
      </w:pPr>
      <w:r>
        <w:rPr/>
      </w:r>
    </w:p>
    <w:p>
      <w:pPr>
        <w:pStyle w:val="TextBody"/>
        <w:bidi w:val="0"/>
        <w:spacing w:before="60" w:after="283"/>
        <w:ind w:left="0" w:right="0" w:hanging="360"/>
        <w:jc w:val="left"/>
        <w:rPr/>
      </w:pPr>
      <w:r>
        <w:rPr/>
      </w:r>
    </w:p>
    <w:p>
      <w:pPr>
        <w:pStyle w:val="TextBody"/>
        <w:bidi w:val="0"/>
        <w:spacing w:before="60" w:after="283"/>
        <w:ind w:left="0" w:right="0" w:hanging="360"/>
        <w:jc w:val="left"/>
        <w:rPr/>
      </w:pPr>
      <w:r>
        <w:rPr/>
      </w:r>
    </w:p>
    <w:p>
      <w:pPr>
        <w:pStyle w:val="TextBody"/>
        <w:bidi w:val="0"/>
        <w:spacing w:before="60" w:after="283"/>
        <w:ind w:left="0" w:right="0" w:hanging="360"/>
        <w:jc w:val="left"/>
        <w:rPr/>
      </w:pPr>
      <w:r>
        <w:rPr/>
      </w:r>
    </w:p>
    <w:p>
      <w:pPr>
        <w:pStyle w:val="TextBody"/>
        <w:bidi w:val="0"/>
        <w:spacing w:before="6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866005"/>
                <wp:effectExtent l="0" t="0" r="0" b="0"/>
                <wp:wrapNone/>
                <wp:docPr id="11" name="Frame11"/>
                <a:graphic xmlns:a="http://schemas.openxmlformats.org/drawingml/2006/main">
                  <a:graphicData uri="http://schemas.microsoft.com/office/word/2010/wordprocessingShape">
                    <wps:wsp>
                      <wps:cNvSpPr txBox="1"/>
                      <wps:spPr>
                        <a:xfrm>
                          <a:off x="0" y="0"/>
                          <a:ext cx="6480175" cy="4866005"/>
                        </a:xfrm>
                        <a:prstGeom prst="rect"/>
                        <a:solidFill>
                          <a:srgbClr val="FFFFFF"/>
                        </a:solidFill>
                      </wps:spPr>
                      <wps:txb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240" w:after="283"/>
        <w:jc w:val="both"/>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AND REDEEMABLE NONCONTROLLING INTERESTS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 PERIOD ENDED JUNE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before="240" w:after="283"/>
        <w:jc w:val="both"/>
        <w:rPr/>
      </w:pPr>
      <w:r>
        <w:rPr/>
      </w:r>
    </w:p>
    <w:tbl>
      <w:tblPr>
        <w:tblW w:w="16499" w:type="dxa"/>
        <w:jc w:val="center"/>
        <w:tblInd w:w="0" w:type="dxa"/>
        <w:tblLayout w:type="fixed"/>
        <w:tblCellMar>
          <w:top w:w="28" w:type="dxa"/>
          <w:left w:w="28" w:type="dxa"/>
          <w:bottom w:w="28" w:type="dxa"/>
          <w:right w:w="28" w:type="dxa"/>
        </w:tblCellMar>
      </w:tblPr>
      <w:tblGrid>
        <w:gridCol w:w="673"/>
        <w:gridCol w:w="327"/>
        <w:gridCol w:w="231"/>
        <w:gridCol w:w="533"/>
        <w:gridCol w:w="533"/>
        <w:gridCol w:w="181"/>
        <w:gridCol w:w="109"/>
        <w:gridCol w:w="109"/>
        <w:gridCol w:w="109"/>
        <w:gridCol w:w="196"/>
        <w:gridCol w:w="571"/>
        <w:gridCol w:w="109"/>
        <w:gridCol w:w="109"/>
        <w:gridCol w:w="109"/>
        <w:gridCol w:w="109"/>
        <w:gridCol w:w="196"/>
        <w:gridCol w:w="751"/>
        <w:gridCol w:w="109"/>
        <w:gridCol w:w="109"/>
        <w:gridCol w:w="109"/>
        <w:gridCol w:w="109"/>
        <w:gridCol w:w="196"/>
        <w:gridCol w:w="886"/>
        <w:gridCol w:w="109"/>
        <w:gridCol w:w="109"/>
        <w:gridCol w:w="109"/>
        <w:gridCol w:w="109"/>
        <w:gridCol w:w="196"/>
        <w:gridCol w:w="791"/>
        <w:gridCol w:w="109"/>
        <w:gridCol w:w="109"/>
        <w:gridCol w:w="109"/>
        <w:gridCol w:w="109"/>
        <w:gridCol w:w="488"/>
        <w:gridCol w:w="488"/>
        <w:gridCol w:w="181"/>
        <w:gridCol w:w="109"/>
        <w:gridCol w:w="109"/>
        <w:gridCol w:w="109"/>
        <w:gridCol w:w="196"/>
        <w:gridCol w:w="751"/>
        <w:gridCol w:w="109"/>
        <w:gridCol w:w="109"/>
        <w:gridCol w:w="109"/>
        <w:gridCol w:w="109"/>
        <w:gridCol w:w="196"/>
        <w:gridCol w:w="751"/>
        <w:gridCol w:w="109"/>
        <w:gridCol w:w="109"/>
        <w:gridCol w:w="109"/>
        <w:gridCol w:w="109"/>
        <w:gridCol w:w="219"/>
        <w:gridCol w:w="739"/>
        <w:gridCol w:w="123"/>
        <w:gridCol w:w="109"/>
        <w:gridCol w:w="109"/>
        <w:gridCol w:w="109"/>
        <w:gridCol w:w="196"/>
        <w:gridCol w:w="751"/>
        <w:gridCol w:w="109"/>
        <w:gridCol w:w="109"/>
        <w:gridCol w:w="109"/>
        <w:gridCol w:w="109"/>
        <w:gridCol w:w="218"/>
        <w:gridCol w:w="736"/>
        <w:gridCol w:w="172"/>
      </w:tblGrid>
      <w:tr>
        <w:trPr/>
        <w:tc>
          <w:tcPr>
            <w:tcW w:w="6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 xml:space="preserve">Income (Loss), </w:t>
              <w:b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Common Stock</w:t>
              <w:br/>
              <w:t>Held 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br/>
              <w:t>Lazard</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Redeemable </w:t>
              <w:br/>
              <w:t>Noncontrolling</w:t>
              <w:br/>
              <w:t>Interests</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 April 1, 2025</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112,766,091</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97,771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1,507,126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(306,766)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18,618,701</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(700,693)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598,566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45,525</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644,091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83,811</w:t>
            </w: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6,385 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 net of tax</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share-based incentive compensation</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equivalents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Common stock dividends ($0.50 per share)</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common stock</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85,894 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Delivery of common stock in connection with share-based incentive compensation and related tax expense of $92</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(295,946)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Contributions from noncontrolling </w:t>
              <w:br/>
              <w:t>   interests, net</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LFI Consolidated Funds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18"/>
              </w:rPr>
            </w:pPr>
            <w:r>
              <w:rPr>
                <w:rFonts w:ascii="Times New Roman;serif" w:hAnsi="Times New Roman;serif"/>
                <w:b w:val="false"/>
                <w:color w:val="000000"/>
                <w:sz w:val="18"/>
              </w:rPr>
              <w:t>(6,618)</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 June 30, 2025</w:t>
            </w:r>
          </w:p>
        </w:tc>
        <w:tc>
          <w:tcPr>
            <w:tcW w:w="10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112,766,091</w:t>
            </w:r>
            <w:r>
              <w:rPr>
                <w:color w:val="000000"/>
              </w:rPr>
              <w:t>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191,132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1,507,082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(268,903)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18,408,649</w:t>
            </w:r>
            <w:r>
              <w:rPr>
                <w:color w:val="000000"/>
              </w:rPr>
              <w:t>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(693,298)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737,141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44,881</w:t>
            </w: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782,022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83,578</w:t>
            </w:r>
            <w:r>
              <w:rPr>
                <w:color w:val="000000"/>
              </w:rPr>
              <w:t>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866005"/>
                <wp:effectExtent l="0" t="0" r="0" b="0"/>
                <wp:wrapNone/>
                <wp:docPr id="12" name="Frame12"/>
                <a:graphic xmlns:a="http://schemas.openxmlformats.org/drawingml/2006/main">
                  <a:graphicData uri="http://schemas.microsoft.com/office/word/2010/wordprocessingShape">
                    <wps:wsp>
                      <wps:cNvSpPr txBox="1"/>
                      <wps:spPr>
                        <a:xfrm>
                          <a:off x="0" y="0"/>
                          <a:ext cx="6480175" cy="4866005"/>
                        </a:xfrm>
                        <a:prstGeom prst="rect"/>
                        <a:solidFill>
                          <a:srgbClr val="FFFFFF"/>
                        </a:solidFill>
                      </wps:spPr>
                      <wps:txb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240" w:after="283"/>
        <w:jc w:val="both"/>
        <w:rPr/>
      </w:pPr>
      <w:r>
        <w:rPr/>
      </w:r>
    </w:p>
    <w:p>
      <w:pPr>
        <w:pStyle w:val="TextBody"/>
        <w:bidi w:val="0"/>
        <w:spacing w:before="24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AND REDEEMABLE NONCONTROLLING INTERESTS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 PERIOD ENDED JUNE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6355" w:type="dxa"/>
        <w:jc w:val="center"/>
        <w:tblInd w:w="0" w:type="dxa"/>
        <w:tblLayout w:type="fixed"/>
        <w:tblCellMar>
          <w:top w:w="28" w:type="dxa"/>
          <w:left w:w="28" w:type="dxa"/>
          <w:bottom w:w="28" w:type="dxa"/>
          <w:right w:w="28" w:type="dxa"/>
        </w:tblCellMar>
      </w:tblPr>
      <w:tblGrid>
        <w:gridCol w:w="664"/>
        <w:gridCol w:w="268"/>
        <w:gridCol w:w="269"/>
        <w:gridCol w:w="334"/>
        <w:gridCol w:w="334"/>
        <w:gridCol w:w="338"/>
        <w:gridCol w:w="109"/>
        <w:gridCol w:w="109"/>
        <w:gridCol w:w="109"/>
        <w:gridCol w:w="196"/>
        <w:gridCol w:w="571"/>
        <w:gridCol w:w="109"/>
        <w:gridCol w:w="109"/>
        <w:gridCol w:w="109"/>
        <w:gridCol w:w="109"/>
        <w:gridCol w:w="196"/>
        <w:gridCol w:w="751"/>
        <w:gridCol w:w="109"/>
        <w:gridCol w:w="109"/>
        <w:gridCol w:w="109"/>
        <w:gridCol w:w="109"/>
        <w:gridCol w:w="196"/>
        <w:gridCol w:w="886"/>
        <w:gridCol w:w="109"/>
        <w:gridCol w:w="109"/>
        <w:gridCol w:w="109"/>
        <w:gridCol w:w="109"/>
        <w:gridCol w:w="196"/>
        <w:gridCol w:w="791"/>
        <w:gridCol w:w="109"/>
        <w:gridCol w:w="109"/>
        <w:gridCol w:w="109"/>
        <w:gridCol w:w="109"/>
        <w:gridCol w:w="488"/>
        <w:gridCol w:w="488"/>
        <w:gridCol w:w="308"/>
        <w:gridCol w:w="109"/>
        <w:gridCol w:w="109"/>
        <w:gridCol w:w="109"/>
        <w:gridCol w:w="196"/>
        <w:gridCol w:w="751"/>
        <w:gridCol w:w="109"/>
        <w:gridCol w:w="109"/>
        <w:gridCol w:w="109"/>
        <w:gridCol w:w="109"/>
        <w:gridCol w:w="196"/>
        <w:gridCol w:w="751"/>
        <w:gridCol w:w="109"/>
        <w:gridCol w:w="109"/>
        <w:gridCol w:w="109"/>
        <w:gridCol w:w="109"/>
        <w:gridCol w:w="219"/>
        <w:gridCol w:w="739"/>
        <w:gridCol w:w="123"/>
        <w:gridCol w:w="109"/>
        <w:gridCol w:w="109"/>
        <w:gridCol w:w="109"/>
        <w:gridCol w:w="196"/>
        <w:gridCol w:w="751"/>
        <w:gridCol w:w="109"/>
        <w:gridCol w:w="109"/>
        <w:gridCol w:w="109"/>
        <w:gridCol w:w="109"/>
        <w:gridCol w:w="218"/>
        <w:gridCol w:w="736"/>
        <w:gridCol w:w="172"/>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 xml:space="preserve">Income (Loss), </w:t>
              <w:b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Common Stock</w:t>
              <w:br/>
              <w:t>Held 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br/>
              <w:t>Lazard</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Redeemable</w:t>
              <w:br/>
              <w:t>Noncontrolling</w:t>
              <w:br/>
              <w:t>Interests</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 January 1, 2025</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112,766,091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293,884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1,501,577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(326,742)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22,467,315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(838,069)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631,778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48,914</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680,692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79,629</w:t>
            </w: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 net of tax</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share-based incentive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equivalents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dividends ($1.00 per share)</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common stock</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859,849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Delivery of common stock in connection with share-based incentive compensation and related tax expense of $10,747</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(4,960,484)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acquisitions and related equity transactions: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issuable</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 from noncontrolling interests, net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LFI Consolidated Funds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 June 30, 2025</w:t>
            </w:r>
          </w:p>
        </w:tc>
        <w:tc>
          <w:tcPr>
            <w:tcW w:w="10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112,766,091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1,128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191,132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1,507,082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(268,903)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18,408,649</w:t>
            </w:r>
            <w:r>
              <w:rPr>
                <w:color w:val="000000"/>
              </w:rPr>
              <w:t> </w:t>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(693,298)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737,141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44,881</w:t>
            </w: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782,022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83,578</w:t>
            </w:r>
            <w:r>
              <w:rPr>
                <w:color w:val="000000"/>
              </w:rPr>
              <w:t>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866005"/>
                <wp:effectExtent l="0" t="0" r="0" b="0"/>
                <wp:wrapNone/>
                <wp:docPr id="13" name="Frame13"/>
                <a:graphic xmlns:a="http://schemas.openxmlformats.org/drawingml/2006/main">
                  <a:graphicData uri="http://schemas.microsoft.com/office/word/2010/wordprocessingShape">
                    <wps:wsp>
                      <wps:cNvSpPr txBox="1"/>
                      <wps:spPr>
                        <a:xfrm>
                          <a:off x="0" y="0"/>
                          <a:ext cx="6480175" cy="4866005"/>
                        </a:xfrm>
                        <a:prstGeom prst="rect"/>
                        <a:solidFill>
                          <a:srgbClr val="FFFFFF"/>
                        </a:solidFill>
                      </wps:spPr>
                      <wps:txb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    ORGANIZATION AND BASIS OF PRESENTATION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Lazard, Inc. is a global financial advisory and asset management firm, incorporated in Delaware that specializes in crafting solutions to the complex financial and strategic challenges and opportunities of our clients. Lazard provides advice on mergers and acquisitions, capital markets and capital solutions, restructuring and liability management, geopolitics, and other strategic matters, as well as asset management and investment solutions to institutions, corporations, governments, partnerships, family offices, and high net worth individuals.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Lazard, Inc. indirectly held 100% of all outstanding common membership interests of Lazard Group LLC, a Delaware limited liability company (collectively referred to, together with its subsidiaries, as “Lazard Group”), as of June 30, 2026 and December 31, 2025. Lazard, Inc., through its control of the managing members of Lazard Group LLC, controls Lazard Group, which is governed by a Third Amended and Restated Operating Agreement (the “Operating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Lazard, Inc.’s primary operating asset is its indirect ownership of the common membership interests of, and managing member interests in, Lazard Group, whose principal operating activities are included in two business segments: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 xml:space="preserve">Financial Advisory, which offers corporate, partnership, institutional, government, sovereign and individual clients across the globe a wide array of financial advisory services including mergers and acquisitions (“M&amp;A”) advisory, strategic capital solutions, shareholder advisory, sovereign advisory, geopolitical advisory, restructuring and liability management, capital raising and placement, and other strategic matters; and </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Asset Management, which offers a broad range of global investment solutions and investment and wealth management services in equity and fixed income strategies, asset allocation strategies, alternative investments and private equity funds to corporations, public funds, sovereign entities, endowments and foundations, labor funds, financial intermediaries and private wealth clients.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record selected other activities in our Corporate segment, including cash management, certain investments, deferred tax assets, outstanding indebtedness and certain contingent obligations.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of Lazard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Inc.’s Annual Report on Form 10-K for the year ended December 31, 2025. The accompanying December 31, 2025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that are, in the opinion of management, necessary for a fair presentation of the financial position, results of operations and cash flows for the interim periods presented.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Preparing financial statements requires management to make estimates and assumptions that affect the amounts that are reported in the condensed consolidated financial statements and the accompanying disclosures. For example, discretionary compensation and benefits expense for interim periods is accrued based on the year-to-date amount of revenue earned, and an estimated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results of operations for the three month and six month periods ended June 30, 2026 are not indicative of the results to be expected for any future interim or annual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3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Lazard, Inc. and its subsidiaries including Lazard Group LLC and Lazard Group LLC’s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Lazard Frères Banque SA (“LFB”) and Lazard Frères Gestion SAS (“LFG”), and Maison Lazard SAS and its subsidiaries; and Lazard &amp; Co., Limited (“LCL”), through Lazard &amp; Co., Holdings Limited (“LCH”), an English private limited company, together with their jointly owned affiliates and subsidiaries.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policy is to consolidate entities in which it has a controlling financial interest. The Company consolidates: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Voting interest entities (“VOEs”) where the Company holds a majority of the voting interest in such VOEs and</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 (see Note 20).</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losses or (ii) elects the option to measure its investment at fair value.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Intercompany transactions and balances have been eliminated.</w:t>
      </w:r>
    </w:p>
    <w:p>
      <w:pPr>
        <w:pStyle w:val="TextBody"/>
        <w:bidi w:val="0"/>
        <w:spacing w:lineRule="auto" w:line="288" w:before="240" w:after="283"/>
        <w:ind w:left="0" w:right="0" w:firstLine="720"/>
        <w:jc w:val="both"/>
        <w:rPr>
          <w:color w:val="000000"/>
        </w:rPr>
      </w:pPr>
      <w:r>
        <w:rPr>
          <w:color w:val="000000"/>
        </w:rPr>
        <w:t>“</w:t>
      </w:r>
      <w:r>
        <w:rPr>
          <w:rFonts w:ascii="Times New Roman;serif" w:hAnsi="Times New Roman;serif"/>
          <w:b w:val="false"/>
          <w:color w:val="000000"/>
          <w:sz w:val="20"/>
        </w:rPr>
        <w:t>Proceeds from (payments for) customer loans, net” is being reported separately in the condensed consolidated statements of cash flows. Such amounts were previously reported in “other investing activities”. Prior period information has been recast to reflect the updated presentation.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Accounting Principle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changed its accounting principle for recognizing compensation expense for share-based incentive compensation awards and certain deferred compensation arrangements with only a service condition from the graded attribution method to the straight-line attribution method. The Company believes that the straight-line attribution method of accounting is preferable because it more appropriately reflects the pattern of service provided by the employee. This change in accounting principle was retrospectively applied resulting in a cumulative effect that was recorded as an adjustment to opening retained earnings as of January 1, 2024. The effect of the change on each prior period’s condensed consolidated statements of operations and cash flows presented as well as on basic and diluted net income per share and weighted average shares of common stock outstanding was not material, and as a result these amounts were not recast. The Company also changed the vesting period for share-based incentive compensation awards and certain deferred compensation arrangements with only a service condition, granted in the first quarter of 2026, such that they vest to employees ratably over three years (see Note 13).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effect of the change in accounting principle and its impact on key components of the Company's condensed consolidated statements of financial condition and condensed consolidated statements of changes in stockholders’ equity and redeemable noncontrolling interests:</w:t>
      </w:r>
    </w:p>
    <w:tbl>
      <w:tblPr>
        <w:tblW w:w="7220" w:type="dxa"/>
        <w:jc w:val="left"/>
        <w:tblInd w:w="0" w:type="dxa"/>
        <w:tblLayout w:type="fixed"/>
        <w:tblCellMar>
          <w:top w:w="28" w:type="dxa"/>
          <w:left w:w="28" w:type="dxa"/>
          <w:bottom w:w="28" w:type="dxa"/>
          <w:right w:w="28" w:type="dxa"/>
        </w:tblCellMar>
      </w:tblPr>
      <w:tblGrid>
        <w:gridCol w:w="1050"/>
        <w:gridCol w:w="920"/>
        <w:gridCol w:w="925"/>
        <w:gridCol w:w="211"/>
        <w:gridCol w:w="826"/>
        <w:gridCol w:w="109"/>
        <w:gridCol w:w="109"/>
        <w:gridCol w:w="109"/>
        <w:gridCol w:w="109"/>
        <w:gridCol w:w="211"/>
        <w:gridCol w:w="826"/>
        <w:gridCol w:w="109"/>
        <w:gridCol w:w="109"/>
        <w:gridCol w:w="109"/>
        <w:gridCol w:w="109"/>
        <w:gridCol w:w="250"/>
        <w:gridCol w:w="946"/>
        <w:gridCol w:w="183"/>
      </w:tblGrid>
      <w:tr>
        <w:trPr/>
        <w:tc>
          <w:tcPr>
            <w:tcW w:w="10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Reported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Adjusted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Effect of Change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(9,556)</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(33,926)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Lazard Stockholders'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070" w:type="dxa"/>
        <w:jc w:val="left"/>
        <w:tblInd w:w="0" w:type="dxa"/>
        <w:tblLayout w:type="fixed"/>
        <w:tblCellMar>
          <w:top w:w="28" w:type="dxa"/>
          <w:left w:w="28" w:type="dxa"/>
          <w:bottom w:w="28" w:type="dxa"/>
          <w:right w:w="28" w:type="dxa"/>
        </w:tblCellMar>
      </w:tblPr>
      <w:tblGrid>
        <w:gridCol w:w="886"/>
        <w:gridCol w:w="779"/>
        <w:gridCol w:w="780"/>
        <w:gridCol w:w="211"/>
        <w:gridCol w:w="976"/>
        <w:gridCol w:w="109"/>
        <w:gridCol w:w="109"/>
        <w:gridCol w:w="109"/>
        <w:gridCol w:w="109"/>
        <w:gridCol w:w="211"/>
        <w:gridCol w:w="976"/>
        <w:gridCol w:w="109"/>
        <w:gridCol w:w="109"/>
        <w:gridCol w:w="109"/>
        <w:gridCol w:w="109"/>
        <w:gridCol w:w="250"/>
        <w:gridCol w:w="946"/>
        <w:gridCol w:w="183"/>
      </w:tblGrid>
      <w:tr>
        <w:trPr/>
        <w:tc>
          <w:tcPr>
            <w:tcW w:w="8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Adjusted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Effect of Change</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Additional Paid-In-Capital: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 April 1, 2025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(33,926)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 June 30,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(33,926)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18"/>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 April 1, 2025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 June 30,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7070" w:type="dxa"/>
        <w:jc w:val="left"/>
        <w:tblInd w:w="0" w:type="dxa"/>
        <w:tblLayout w:type="fixed"/>
        <w:tblCellMar>
          <w:top w:w="28" w:type="dxa"/>
          <w:left w:w="28" w:type="dxa"/>
          <w:bottom w:w="28" w:type="dxa"/>
          <w:right w:w="28" w:type="dxa"/>
        </w:tblCellMar>
      </w:tblPr>
      <w:tblGrid>
        <w:gridCol w:w="886"/>
        <w:gridCol w:w="779"/>
        <w:gridCol w:w="780"/>
        <w:gridCol w:w="211"/>
        <w:gridCol w:w="976"/>
        <w:gridCol w:w="109"/>
        <w:gridCol w:w="109"/>
        <w:gridCol w:w="109"/>
        <w:gridCol w:w="109"/>
        <w:gridCol w:w="211"/>
        <w:gridCol w:w="976"/>
        <w:gridCol w:w="109"/>
        <w:gridCol w:w="109"/>
        <w:gridCol w:w="109"/>
        <w:gridCol w:w="109"/>
        <w:gridCol w:w="250"/>
        <w:gridCol w:w="946"/>
        <w:gridCol w:w="183"/>
      </w:tblGrid>
      <w:tr>
        <w:trPr/>
        <w:tc>
          <w:tcPr>
            <w:tcW w:w="8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Adjusted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Effect of Change</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Additional Paid-In-Capital: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January 1, 2025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(33,926)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 June 30,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(33,926)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18"/>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January 1, 2025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 June 30,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(a)Included in other assets is the prepaid compensation asset relating to Lazard Fund Interests (“LFI”) and other similar deferred compensation arrangements. The following table presents the impact to the prepaid compensation asset as presented in Note 13: </w:t>
      </w:r>
    </w:p>
    <w:tbl>
      <w:tblPr>
        <w:tblW w:w="6995" w:type="dxa"/>
        <w:jc w:val="left"/>
        <w:tblInd w:w="0" w:type="dxa"/>
        <w:tblLayout w:type="fixed"/>
        <w:tblCellMar>
          <w:top w:w="28" w:type="dxa"/>
          <w:left w:w="28" w:type="dxa"/>
          <w:bottom w:w="28" w:type="dxa"/>
          <w:right w:w="28" w:type="dxa"/>
        </w:tblCellMar>
      </w:tblPr>
      <w:tblGrid>
        <w:gridCol w:w="1043"/>
        <w:gridCol w:w="917"/>
        <w:gridCol w:w="919"/>
        <w:gridCol w:w="211"/>
        <w:gridCol w:w="721"/>
        <w:gridCol w:w="109"/>
        <w:gridCol w:w="109"/>
        <w:gridCol w:w="109"/>
        <w:gridCol w:w="109"/>
        <w:gridCol w:w="211"/>
        <w:gridCol w:w="721"/>
        <w:gridCol w:w="109"/>
        <w:gridCol w:w="109"/>
        <w:gridCol w:w="109"/>
        <w:gridCol w:w="109"/>
        <w:gridCol w:w="297"/>
        <w:gridCol w:w="867"/>
        <w:gridCol w:w="216"/>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Adjusted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Effect of Change</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Compensation Asset - LFI</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5,094 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 and Deconsolidation of The Edgewater Management Vehicles (“Edgewater”)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13, 2026, the Company completed the sale of a controlling stake in the Edgewater management vehicles, resulting in the deconsolidation of the related entities. The Company measured its retained investment in Edgewater, primarily composed of certain carried interests, at fair value of $6,314. This measurement, which required significant management estimates and assumptions, was determined using an income approach, which is based on discounted estimated future cash flows from net income. As a result of the transaction, the Company recorded a pre-tax gain of $75,508, which was reported as “other revenue” on the condensed consolidated statement of operations for the six month period ended June 30, 2026. Cash flows from investing activities “sale and deconsolidation of business, net of cash proceeds” in the condensed consolidated statements of cash flows for the six month period ended June 30, 2026 primarily relate to decrease in cash and cash equivalents and restricted cash from the deconsolidation of Edgewater. The Company uses the equity method to account for its retained investment.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Pending Acquisition of Campbell Lutyens Holdings Limited (“Campbell Lutyens”)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30, 2026, the Company entered into a Sale and Purchase Agreement (the “Purchase Agreement”) pursuant to which the Company agreed to acquire all of the issued share capital of Campbell Lutyens, a global private markets advisor focused on fund placement, secondary advisory, and GP capital advisory services. The aggregate consideration for the transaction consists of (i) initial closing consideration of $460,000 based on the Company’s stock price at announcement, and subject to adjustments for cash, debt and working capital as of closing; (ii) deferred consideration of $115,000 payable on the second anniversary of closing; and (iii) earn-out consideration of up to $85,000 based on the achievement of defined performance criteria over a multi-year period and subject to continuing employment by certain selling shareholders. Both initial and deferred consideration include portions that are subject to additional lock-up arrangements. The aggregate consideration is payable in a combination of the Company’s common stock, cash, and loan notes, subject to the terms of the Purchase Agreement, including limitations on share issuance.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transaction is expected to close in the second half of 2026, subject to regulatory approvals and other customary closing conditions. Under certain circumstances, if the Purchase Agreement is terminated, the Company may be required to pay Campbell Lutyens a termination fee of $50,000.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pPr>
      <w:r>
        <w:rPr>
          <w:rFonts w:ascii="Times New Roman;serif" w:hAnsi="Times New Roman;serif"/>
          <w:b w:val="false"/>
          <w:color w:val="000000"/>
          <w:sz w:val="20"/>
        </w:rPr>
        <w:t>2</w:t>
      </w:r>
      <w:r>
        <w:rPr>
          <w:rFonts w:ascii="Times New Roman;serif" w:hAnsi="Times New Roman;serif"/>
          <w:b/>
          <w:i/>
          <w:color w:val="000000"/>
          <w:sz w:val="20"/>
        </w:rPr>
        <w:t>.    RECENT ACCOUNTING DEVELOPMENTS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Financial Instruments—Credit Losses (Topic 326): Measurement of Credit Losses for Accounts Receivable and Contract Assets </w:t>
      </w:r>
      <w:r>
        <w:rPr>
          <w:color w:val="000000"/>
        </w:rPr>
        <w:t xml:space="preserve">— </w:t>
      </w:r>
      <w:r>
        <w:rPr>
          <w:rFonts w:ascii="Times New Roman;serif" w:hAnsi="Times New Roman;serif"/>
          <w:b w:val="false"/>
          <w:color w:val="000000"/>
          <w:sz w:val="20"/>
        </w:rPr>
        <w:t>In July 2025, the FASB issued an accounting standard update that provides a practical expedient related to the estimation of expected credit losses on accounts receivable, which permits entities to assume that the current conditions as of the balance sheet date do not change for the remaining life of the asset. The amendments are effective for annual periods beginning after December 15, 2025 and interim periods within those annual periods, with prospective application. The Company elected to apply the practical expedient on a prospective basis beginning January 1, 2026. The adoption of this guidance did not have a material impact on the Company’s financial statements.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 </w:t>
      </w:r>
      <w:r>
        <w:rPr>
          <w:rFonts w:ascii="Times New Roman;serif" w:hAnsi="Times New Roman;serif"/>
          <w:b w:val="false"/>
          <w:color w:val="000000"/>
          <w:sz w:val="20"/>
        </w:rPr>
        <w:t xml:space="preserve">In November 2024, the FASB issued an accounting standard update to require additional information about the types of expenses in commonly presented expense captions. The amendments are effective for annual periods beginning after December 15, 2026, and the subsequent interim periods, with early adoption permitted. The amendments shall be applied either prospectively or retrospectively. The Company is currently evaluating the new guidance.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 </w:t>
      </w:r>
      <w:r>
        <w:rPr>
          <w:rFonts w:ascii="Times New Roman;serif" w:hAnsi="Times New Roman;serif"/>
          <w:b w:val="false"/>
          <w:color w:val="000000"/>
          <w:sz w:val="20"/>
        </w:rPr>
        <w:t>In September 2025, the FASB issued an accounting standard update to eliminate accounting consideration of software project development stages and enhance the guidance related to when an entity would begin capitalizing software costs. The amendments are effective for annual periods beginning after December 15, 2027, and the interim periods within those annual periods, with early adoption permitted. The amendments can be applied prospectively, retrospectively, or using a modified transition approach. The Company is currently evaluating the new guidance.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3.    REVENUE RECOGNITION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disaggregates revenue from contracts with customers based on its business segment results and believes that the following information provides a reasonable representation of how performance obligations relate to the nature, amount, timing and uncertainty of revenue and cash flows: </w:t>
      </w:r>
    </w:p>
    <w:tbl>
      <w:tblPr>
        <w:tblW w:w="7754" w:type="dxa"/>
        <w:jc w:val="left"/>
        <w:tblInd w:w="0" w:type="dxa"/>
        <w:tblLayout w:type="fixed"/>
        <w:tblCellMar>
          <w:top w:w="28" w:type="dxa"/>
          <w:left w:w="28" w:type="dxa"/>
          <w:bottom w:w="28" w:type="dxa"/>
          <w:right w:w="28" w:type="dxa"/>
        </w:tblCellMar>
      </w:tblPr>
      <w:tblGrid>
        <w:gridCol w:w="775"/>
        <w:gridCol w:w="684"/>
        <w:gridCol w:w="68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Advisory (a)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 Management: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 (b)</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329,633 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270,327 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645,108 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525,027 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fees (c)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40,362 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342,183 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292,478 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680,455 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580,578 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1"/>
        </w:rPr>
      </w:pPr>
      <w:r>
        <w:rPr>
          <w:rFonts w:ascii="Times New Roman;serif" w:hAnsi="Times New Roman;serif"/>
          <w:b w:val="false"/>
          <w:color w:val="000000"/>
          <w:sz w:val="11"/>
        </w:rPr>
        <w:t>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(a)Financial Advisory is comprised of a wide array of financial advisory services regarding M&amp;A advisory, strategic capital solutions, shareholder advisory, sovereign advisory, geopolitical advisory, restructuring and liability management, capital raising and placement,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Therefore, in any given period, advisory fees recognized for certain transactions may relate to 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(b)Management fees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the benefits of such services are transferred to the Company’s clients at the point in time that such fund interests are sold or distributed.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(d)Other is primarily comprised of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Asset Management “other” revenue is being reported separately in the above table. Such amounts were previously included in “management fees and other”. Prior period information has been recast to reflect the updated presentation.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deferred revenue of $5,401 included in “other liabilities” on the condensed consolidated statements of financial condition. During the three month and six month periods ended June 30, 2026, the Company recognized $1,093 and $9,756 in revenue, respectively, that was included in the deferred revenue balance as of December 31, 2025 of $139,022. The majority of the remaining decrease in the deferred revenue balance in the six month period ended June 30, 2026 relates to the sale and corresponding deconsolidation of Edgewater. See Note 1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4.    RECEIVABLES AND ALLOWANCE FOR CREDIT LOSSES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receivables represent fee receivables, amounts due from customers and other receivables. Where applicable, receivables are stated net of an estimated allowance for credit losses determined in accordance with the current expected credit losses (“CECL”) model.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Of the Company’s fee receivables at June 30, 2026 and December 31, 2025, $114,725 and $152,227, respectively, represented financing receivables for our Private Capital Advisory fees.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At June 30, 2026 and December 31, 2025, customers and other receivables included $141,634 and $142,454, respectively, of customer loans provided by </w:t>
      </w:r>
      <w:r>
        <w:rPr>
          <w:rFonts w:ascii="Times New Roman;serif" w:hAnsi="Times New Roman;serif"/>
          <w:b w:val="false"/>
          <w:color w:val="000000"/>
          <w:sz w:val="20"/>
          <w:shd w:fill="FFFFFF" w:val="clear"/>
        </w:rPr>
        <w:t>LFB to high net worth individuals and families</w:t>
      </w:r>
      <w:r>
        <w:rPr>
          <w:rFonts w:ascii="Times New Roman;serif" w:hAnsi="Times New Roman;serif"/>
          <w:b w:val="false"/>
          <w:color w:val="000000"/>
          <w:sz w:val="20"/>
        </w:rPr>
        <w:t xml:space="preserve">, which are fully collateralized and monitored for counterparty creditworthiness, with such collateral having a fair value in excess of the carrying amount of the loans as of both June 30, 2026 and December 31,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carrying amount of other fees and customers and other receivables was $508,869 and $603,105 at June 30, 2026 and December 31, 2025, respectively.</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Activity in the allowance for credit losses for the three month and six month periods ended June 30, 2026 and 2025 was as follows:</w:t>
      </w:r>
    </w:p>
    <w:tbl>
      <w:tblPr>
        <w:tblW w:w="9434" w:type="dxa"/>
        <w:jc w:val="left"/>
        <w:tblInd w:w="0" w:type="dxa"/>
        <w:tblLayout w:type="fixed"/>
        <w:tblCellMar>
          <w:top w:w="28" w:type="dxa"/>
          <w:left w:w="28" w:type="dxa"/>
          <w:bottom w:w="28" w:type="dxa"/>
          <w:right w:w="28" w:type="dxa"/>
        </w:tblCellMar>
      </w:tblPr>
      <w:tblGrid>
        <w:gridCol w:w="1537"/>
        <w:gridCol w:w="1350"/>
        <w:gridCol w:w="135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22,239 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26,340 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22,884 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32,033 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 of reversals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(3,530)</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23,589 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26,545 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23,589 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26,545 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for credit losses, net of reversals represents the current period provision of expected credit losses and is included in “operating expenses-other” on the condensed consolidated statements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substantially all related to Financial Advisory fee receivables and other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5.    INVESTMENTS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investments consist of the following at June 30, 2026 and December 31, 2025:</w:t>
      </w:r>
    </w:p>
    <w:tbl>
      <w:tblPr>
        <w:tblW w:w="5064" w:type="dxa"/>
        <w:jc w:val="left"/>
        <w:tblInd w:w="0" w:type="dxa"/>
        <w:tblLayout w:type="fixed"/>
        <w:tblCellMar>
          <w:top w:w="28" w:type="dxa"/>
          <w:left w:w="28" w:type="dxa"/>
          <w:bottom w:w="28" w:type="dxa"/>
          <w:right w:w="28" w:type="dxa"/>
        </w:tblCellMar>
      </w:tblPr>
      <w:tblGrid>
        <w:gridCol w:w="865"/>
        <w:gridCol w:w="758"/>
        <w:gridCol w:w="777"/>
        <w:gridCol w:w="211"/>
        <w:gridCol w:w="826"/>
        <w:gridCol w:w="109"/>
        <w:gridCol w:w="109"/>
        <w:gridCol w:w="109"/>
        <w:gridCol w:w="109"/>
        <w:gridCol w:w="211"/>
        <w:gridCol w:w="826"/>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54"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Funds:</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(a)</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125,806 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(b)</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49,105 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funds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468,986 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548,445 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534,327 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607,094 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method investments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540,634 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625,846 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88" w:before="6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(a)Interests in alternative investment funds, debt funds and equity funds include investments (fair values shown below), including those held by LFI Consolidated Funds (see Note 20), held to satisfy the Company’s obligation upon vesting of previously granted LFI and other similar deferred compensation arrangements. LFI represent grants by the Company to eligible employees of interests in a number of Lazard-managed funds, subject to service-based vesting conditions (see Notes 7 and 13). </w:t>
      </w:r>
    </w:p>
    <w:tbl>
      <w:tblPr>
        <w:tblW w:w="9383" w:type="dxa"/>
        <w:jc w:val="left"/>
        <w:tblInd w:w="0" w:type="dxa"/>
        <w:tblLayout w:type="fixed"/>
        <w:tblCellMar>
          <w:top w:w="28" w:type="dxa"/>
          <w:left w:w="28" w:type="dxa"/>
          <w:bottom w:w="28" w:type="dxa"/>
          <w:right w:w="28" w:type="dxa"/>
        </w:tblCellMar>
      </w:tblPr>
      <w:tblGrid>
        <w:gridCol w:w="2435"/>
        <w:gridCol w:w="2137"/>
        <w:gridCol w:w="2147"/>
        <w:gridCol w:w="211"/>
        <w:gridCol w:w="826"/>
        <w:gridCol w:w="109"/>
        <w:gridCol w:w="109"/>
        <w:gridCol w:w="109"/>
        <w:gridCol w:w="109"/>
        <w:gridCol w:w="211"/>
        <w:gridCol w:w="826"/>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related to LFI and other similar deferred compensation arrangements: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Alternative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216,177 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285,021 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Unfunded commitments relating to investments: </w:t>
      </w:r>
    </w:p>
    <w:tbl>
      <w:tblPr>
        <w:tblW w:w="4262" w:type="dxa"/>
        <w:jc w:val="left"/>
        <w:tblInd w:w="0" w:type="dxa"/>
        <w:tblLayout w:type="fixed"/>
        <w:tblCellMar>
          <w:top w:w="28" w:type="dxa"/>
          <w:left w:w="28" w:type="dxa"/>
          <w:bottom w:w="28" w:type="dxa"/>
          <w:right w:w="28" w:type="dxa"/>
        </w:tblCellMar>
      </w:tblPr>
      <w:tblGrid>
        <w:gridCol w:w="635"/>
        <w:gridCol w:w="559"/>
        <w:gridCol w:w="561"/>
        <w:gridCol w:w="211"/>
        <w:gridCol w:w="721"/>
        <w:gridCol w:w="109"/>
        <w:gridCol w:w="109"/>
        <w:gridCol w:w="109"/>
        <w:gridCol w:w="109"/>
        <w:gridCol w:w="221"/>
        <w:gridCol w:w="757"/>
        <w:gridCol w:w="161"/>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35,297 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34,389 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Debt securities primarily consist of investments in government securities held within separately managed accounts in order to seed strategies in our Asset Management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Equity securities primarily consist of investments in marketable equity securities of large-, mid- and small-cap domestic, international and global companies held within separately managed accounts in order to seed strategies in our Asset Management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Alternative investment funds primarily consist of interests in various Lazard-managed hedge funds, funds of funds and mutual funds. Such amounts primarily consist of investments in funds in order to seed strategies in our Asset Management business, and amounts related to LFI discussed above.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Debt funds primarily consist of investments in debt securities in order to seed strategies in our Asset Management business and amounts related to LFI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Equity funds primarily consist of investments in equity securities in order to seed strategies in our Asset Management business, and amounts related to LFI discussed above.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Private equity investments are primarily comprised of investments in private equity funds. Such investments primarily include (i) Edgewater Growth Capital Partners III, L.P. (“EGCP III”), a fund primarily making equity and buyout investments in middle market companies, (ii) a seed investment in a fund that invests in sustainable private infrastructure opportunities, and (iii) an investment in a European tech-focused growth equity fund managed by our asset management business. In 2025, private equity investments consolidated but not owned by Lazard relate to the economic interests that are owned by the management team and other investors in Edgewater.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Equity method investments include (i) a retained investment in Edgewater, and (ii) until the second quarter of 2026, an interest in Elaia Partners, a venture capital asset management entity (“Elaia”). The carrying value included amounts related to intangible assets, which are amortized, and goodwill. See Note 9 for further information on the acquisition of an additional ownership stake in Elaia which resulted in a controlling financial interest.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 and six month periods ended June 30, 2026 and 2025, the Company reported in “revenue-other” on its condensed consolidated statements of operations net unrealized investment gains and losses pertaining to equity securities and trading debt securities still held as of the reporting date as follows:</w:t>
      </w:r>
    </w:p>
    <w:tbl>
      <w:tblPr>
        <w:tblW w:w="7919" w:type="dxa"/>
        <w:jc w:val="left"/>
        <w:tblInd w:w="0" w:type="dxa"/>
        <w:tblLayout w:type="fixed"/>
        <w:tblCellMar>
          <w:top w:w="28" w:type="dxa"/>
          <w:left w:w="28" w:type="dxa"/>
          <w:bottom w:w="28" w:type="dxa"/>
          <w:right w:w="28" w:type="dxa"/>
        </w:tblCellMar>
      </w:tblPr>
      <w:tblGrid>
        <w:gridCol w:w="989"/>
        <w:gridCol w:w="869"/>
        <w:gridCol w:w="87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investment gains</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51,340 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48,225 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27,491 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39,241 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has pledged investments with a carrying value of $33,770 and $48,966, respectively, primarily as collateral for its derivative contracts (see Note 7). Such pledged assets can be sold or repledged by the secured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6.    FAIR VALUE MEASUREMENTS</w:t>
      </w:r>
    </w:p>
    <w:p>
      <w:pPr>
        <w:pStyle w:val="TextBody"/>
        <w:bidi w:val="0"/>
        <w:spacing w:lineRule="auto" w:line="288" w:before="120" w:after="283"/>
        <w:ind w:left="0" w:right="0" w:firstLine="720"/>
        <w:jc w:val="both"/>
        <w:rPr/>
      </w:pPr>
      <w:r>
        <w:rPr>
          <w:rFonts w:ascii="Times New Roman;serif" w:hAnsi="Times New Roman;serif"/>
          <w:b/>
          <w:i/>
          <w:color w:val="000000"/>
          <w:sz w:val="20"/>
        </w:rPr>
        <w:t>Fair Value Hierarchy of Investments and Certain Other Assets and Liabilities</w:t>
      </w:r>
      <w:r>
        <w:rPr>
          <w:color w:val="000000"/>
        </w:rPr>
        <w:t>—</w:t>
      </w:r>
      <w:r>
        <w:rPr>
          <w:rFonts w:ascii="Times New Roman;serif" w:hAnsi="Times New Roman;serif"/>
          <w:b w:val="false"/>
          <w:color w:val="000000"/>
          <w:sz w:val="20"/>
        </w:rPr>
        <w:t>Lazard categorizes its investments and certain other assets and liabilities recorded at fair value into a three-level fair value hierarchy as follows:</w:t>
      </w:r>
    </w:p>
    <w:p>
      <w:pPr>
        <w:pStyle w:val="TextBody"/>
        <w:bidi w:val="0"/>
        <w:spacing w:lineRule="auto" w:line="288" w:before="120" w:after="283"/>
        <w:ind w:left="0" w:right="0" w:hanging="720"/>
        <w:jc w:val="both"/>
        <w:rPr/>
      </w:pPr>
      <w:r>
        <w:rPr>
          <w:rFonts w:ascii="Times New Roman;serif" w:hAnsi="Times New Roman;serif"/>
          <w:b w:val="false"/>
          <w:i/>
          <w:color w:val="000000"/>
          <w:sz w:val="20"/>
        </w:rPr>
        <w:t>Level 1.    </w:t>
      </w:r>
      <w:r>
        <w:rPr>
          <w:rFonts w:ascii="Times New Roman;serif" w:hAnsi="Times New Roman;serif"/>
          <w:b w:val="false"/>
          <w:color w:val="000000"/>
          <w:sz w:val="20"/>
        </w:rPr>
        <w:t>Assets and liabilities whose values are based on unadjusted quoted prices for identical assets or liabilities in an active market that Lazard has the ability to access.</w:t>
      </w:r>
    </w:p>
    <w:p>
      <w:pPr>
        <w:pStyle w:val="TextBody"/>
        <w:bidi w:val="0"/>
        <w:spacing w:lineRule="auto" w:line="288" w:before="120" w:after="283"/>
        <w:ind w:left="0" w:right="0" w:hanging="720"/>
        <w:jc w:val="both"/>
        <w:rPr/>
      </w:pPr>
      <w:r>
        <w:rPr>
          <w:rFonts w:ascii="Times New Roman;serif" w:hAnsi="Times New Roman;serif"/>
          <w:b w:val="false"/>
          <w:i/>
          <w:color w:val="000000"/>
          <w:sz w:val="20"/>
        </w:rPr>
        <w:t>Level 2.    </w:t>
      </w:r>
      <w:r>
        <w:rPr>
          <w:rFonts w:ascii="Times New Roman;serif" w:hAnsi="Times New Roman;serif"/>
          <w:b w:val="false"/>
          <w:color w:val="000000"/>
          <w:sz w:val="20"/>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pStyle w:val="TextBody"/>
        <w:bidi w:val="0"/>
        <w:spacing w:lineRule="auto" w:line="288" w:before="120" w:after="283"/>
        <w:ind w:left="0" w:right="0" w:hanging="720"/>
        <w:jc w:val="both"/>
        <w:rPr/>
      </w:pPr>
      <w:r>
        <w:rPr>
          <w:rFonts w:ascii="Times New Roman;serif" w:hAnsi="Times New Roman;serif"/>
          <w:b w:val="false"/>
          <w:i/>
          <w:color w:val="000000"/>
          <w:sz w:val="20"/>
        </w:rPr>
        <w:t>Level 3.    </w:t>
      </w:r>
      <w:r>
        <w:rPr>
          <w:rFonts w:ascii="Times New Roman;serif" w:hAnsi="Times New Roman;serif"/>
          <w:b w:val="false"/>
          <w:color w:val="000000"/>
          <w:sz w:val="20"/>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instruments for which there is little, if any, market activity. As a result, valuation inputs may involve significant management judgment or estimation.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instruments reported as cash and cash equivalents, deposits with banks and short-term investments, and restricted cash, is classified as Level 1 when the fair values are based on unadjusted quoted prices in active markets.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debt securities is classified as Level 1 when the fair values are based on unadjusted quoted prices in active markets, or Level 2 when based on one or more quoted prices in markets that are not active or for which all significant inputs are observable, either directly or indirectly.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equity securities is classified as Level 1 or Level 3 as follows: marketable equity securities are classified as Level 1 and are valued based on the last trade price on the primary exchange for that security as provided by external pricing services; equity interests in private companies are generally classified as Level 3.</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investments in alternative investment funds, debt funds and equity funds is classified as Level 1 when the fair values are based on the publicly reported closing price for the fund, or Level 2 when based on one or more quoted prices in markets that are not active or for which all significant inputs are observable, either directly or indirectly.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investments in certain private equity funds is classified as Level 3 when the acquisition price is considered the best measure of fair value.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securities sold, not yet purchased, is classified as Level 1 when the fair values are based on unadjusted quoted prices in active markets.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The fair value of the contingent consideration liability is classified as Level 3. The contingent consideration liability is initially recorded at fair value on the acquisition date and is included in “other liabilities” on the condensed consolidated statements of financial condition. The fair value of the contingent consideration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“operating expenses-other” in the condensed consolidated statements of operations.</w:t>
      </w:r>
      <w:r>
        <w:rPr>
          <w:color w:val="000000"/>
        </w:rPr>
        <w:t xml:space="preserve"> </w:t>
      </w:r>
      <w:r>
        <w:rPr>
          <w:rFonts w:ascii="Times New Roman;serif" w:hAnsi="Times New Roman;serif"/>
          <w:b w:val="false"/>
          <w:color w:val="000000"/>
          <w:sz w:val="20"/>
        </w:rPr>
        <w:t>Our business acquisitions may involve the potential payment of contingent consideration upon the achievement of certain performance thresholds.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derivatives classified as Level 2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pStyle w:val="TextBody"/>
        <w:bidi w:val="0"/>
        <w:spacing w:lineRule="auto" w:line="288" w:before="240" w:after="283"/>
        <w:ind w:left="0" w:right="0" w:firstLine="720"/>
        <w:jc w:val="both"/>
        <w:rPr/>
      </w:pPr>
      <w:r>
        <w:rPr>
          <w:rFonts w:ascii="Times New Roman;serif" w:hAnsi="Times New Roman;serif"/>
          <w:b/>
          <w:i/>
          <w:color w:val="000000"/>
          <w:sz w:val="20"/>
        </w:rPr>
        <w:t>Investments Measured at Net Asset Value (“NAV”)</w:t>
      </w:r>
      <w:r>
        <w:rPr>
          <w:color w:val="000000"/>
        </w:rPr>
        <w:t>—</w:t>
      </w:r>
      <w:r>
        <w:rPr>
          <w:rFonts w:ascii="Times New Roman;serif" w:hAnsi="Times New Roman;serif"/>
          <w:b w:val="false"/>
          <w:color w:val="000000"/>
          <w:sz w:val="20"/>
        </w:rPr>
        <w:t>As a practical expedient, the Company uses NAV or its equivalent to measure the fair value of 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as of June 30, 2026 and December 31, 2025, the classification of (i) investments and certain other assets and liabilities measured at fair value on a recurring basis within the fair value hierarchy and (ii) investments measured at NAV or its equivalent as a practical expedient:</w:t>
      </w:r>
    </w:p>
    <w:tbl>
      <w:tblPr>
        <w:tblW w:w="9632" w:type="dxa"/>
        <w:jc w:val="left"/>
        <w:tblInd w:w="0" w:type="dxa"/>
        <w:tblLayout w:type="fixed"/>
        <w:tblCellMar>
          <w:top w:w="28" w:type="dxa"/>
          <w:left w:w="28" w:type="dxa"/>
          <w:bottom w:w="28" w:type="dxa"/>
          <w:right w:w="28" w:type="dxa"/>
        </w:tblCellMar>
      </w:tblPr>
      <w:tblGrid>
        <w:gridCol w:w="1087"/>
        <w:gridCol w:w="960"/>
        <w:gridCol w:w="967"/>
        <w:gridCol w:w="211"/>
        <w:gridCol w:w="826"/>
        <w:gridCol w:w="109"/>
        <w:gridCol w:w="109"/>
        <w:gridCol w:w="109"/>
        <w:gridCol w:w="109"/>
        <w:gridCol w:w="211"/>
        <w:gridCol w:w="826"/>
        <w:gridCol w:w="109"/>
        <w:gridCol w:w="109"/>
        <w:gridCol w:w="109"/>
        <w:gridCol w:w="109"/>
        <w:gridCol w:w="211"/>
        <w:gridCol w:w="466"/>
        <w:gridCol w:w="109"/>
        <w:gridCol w:w="109"/>
        <w:gridCol w:w="109"/>
        <w:gridCol w:w="109"/>
        <w:gridCol w:w="211"/>
        <w:gridCol w:w="721"/>
        <w:gridCol w:w="109"/>
        <w:gridCol w:w="109"/>
        <w:gridCol w:w="109"/>
        <w:gridCol w:w="109"/>
        <w:gridCol w:w="211"/>
        <w:gridCol w:w="82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8"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NAV</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Deposits with banks and short-term </w:t>
              <w:br/>
              <w:t>   investments (a)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Funds:</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79,428 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23,273 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442,190 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48,346 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69,627 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561,103 </w:t>
            </w:r>
          </w:p>
        </w:tc>
        <w:tc>
          <w:tcPr>
            <w:tcW w:w="154"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sold, not yet purchased</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09"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140,708 </w:t>
            </w:r>
          </w:p>
        </w:tc>
        <w:tc>
          <w:tcPr>
            <w:tcW w:w="109"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145,038 </w:t>
            </w:r>
          </w:p>
        </w:tc>
        <w:tc>
          <w:tcPr>
            <w:tcW w:w="154"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tbl>
      <w:tblPr>
        <w:tblW w:w="9782" w:type="dxa"/>
        <w:jc w:val="center"/>
        <w:tblInd w:w="0" w:type="dxa"/>
        <w:tblLayout w:type="fixed"/>
        <w:tblCellMar>
          <w:top w:w="28" w:type="dxa"/>
          <w:left w:w="28" w:type="dxa"/>
          <w:bottom w:w="28" w:type="dxa"/>
          <w:right w:w="28" w:type="dxa"/>
        </w:tblCellMar>
      </w:tblPr>
      <w:tblGrid>
        <w:gridCol w:w="1087"/>
        <w:gridCol w:w="960"/>
        <w:gridCol w:w="967"/>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82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8"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NAV</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Deposits with banks and short-term </w:t>
              <w:br/>
              <w:t>   investments (a)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Funds:</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116,464 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125,806 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49,105 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526,508 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10,640 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94,354 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632,467 </w:t>
            </w:r>
          </w:p>
        </w:tc>
        <w:tc>
          <w:tcPr>
            <w:tcW w:w="154"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sold, not yet purchased</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218,939 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218,939 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218,939 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224,673 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(a)Level 1 represents U.S. Treasury securities. </w:t>
      </w:r>
    </w:p>
    <w:p>
      <w:pPr>
        <w:pStyle w:val="TextBody"/>
        <w:bidi w:val="0"/>
        <w:spacing w:lineRule="auto" w:line="288" w:before="240" w:after="283"/>
        <w:ind w:left="0" w:right="0" w:firstLine="416"/>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summary of changes in fair value of the Company’s Level 3 assets and liabilities for the three month and six month periods ended June 30, 2026 and 2025:</w:t>
      </w:r>
    </w:p>
    <w:tbl>
      <w:tblPr>
        <w:tblW w:w="9082" w:type="dxa"/>
        <w:jc w:val="center"/>
        <w:tblInd w:w="0" w:type="dxa"/>
        <w:tblLayout w:type="fixed"/>
        <w:tblCellMar>
          <w:top w:w="28" w:type="dxa"/>
          <w:left w:w="28" w:type="dxa"/>
          <w:bottom w:w="28" w:type="dxa"/>
          <w:right w:w="28" w:type="dxa"/>
        </w:tblCellMar>
      </w:tblPr>
      <w:tblGrid>
        <w:gridCol w:w="633"/>
        <w:gridCol w:w="559"/>
        <w:gridCol w:w="562"/>
        <w:gridCol w:w="221"/>
        <w:gridCol w:w="489"/>
        <w:gridCol w:w="116"/>
        <w:gridCol w:w="109"/>
        <w:gridCol w:w="109"/>
        <w:gridCol w:w="109"/>
        <w:gridCol w:w="366"/>
        <w:gridCol w:w="627"/>
        <w:gridCol w:w="191"/>
        <w:gridCol w:w="109"/>
        <w:gridCol w:w="109"/>
        <w:gridCol w:w="109"/>
        <w:gridCol w:w="303"/>
        <w:gridCol w:w="411"/>
        <w:gridCol w:w="157"/>
        <w:gridCol w:w="109"/>
        <w:gridCol w:w="109"/>
        <w:gridCol w:w="109"/>
        <w:gridCol w:w="295"/>
        <w:gridCol w:w="526"/>
        <w:gridCol w:w="154"/>
        <w:gridCol w:w="109"/>
        <w:gridCol w:w="109"/>
        <w:gridCol w:w="109"/>
        <w:gridCol w:w="304"/>
        <w:gridCol w:w="543"/>
        <w:gridCol w:w="159"/>
        <w:gridCol w:w="109"/>
        <w:gridCol w:w="109"/>
        <w:gridCol w:w="109"/>
        <w:gridCol w:w="211"/>
        <w:gridCol w:w="466"/>
        <w:gridCol w:w="154"/>
      </w:tblGrid>
      <w:tr>
        <w:trPr/>
        <w:tc>
          <w:tcPr>
            <w:tcW w:w="63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8"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Beginning</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w:t>
              <w:br/>
              <w:t>Gains/Losses</w:t>
              <w:br/>
              <w:t>Included In</w:t>
              <w:b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Purchases/</w:t>
              <w:br/>
              <w:t>Issuances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Sales/</w:t>
              <w:br/>
              <w:t xml:space="preserve">Settlements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Ending</w:t>
              <w:br/>
              <w:t>Balance</w:t>
            </w:r>
          </w:p>
        </w:tc>
      </w:tr>
      <w:tr>
        <w:trPr/>
        <w:tc>
          <w:tcPr>
            <w:tcW w:w="17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8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22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3 assets</w:t>
            </w:r>
          </w:p>
        </w:tc>
        <w:tc>
          <w:tcPr>
            <w:tcW w:w="2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tbl>
      <w:tblPr>
        <w:tblW w:w="9679" w:type="dxa"/>
        <w:jc w:val="left"/>
        <w:tblInd w:w="0" w:type="dxa"/>
        <w:tblLayout w:type="fixed"/>
        <w:tblCellMar>
          <w:top w:w="28" w:type="dxa"/>
          <w:left w:w="28" w:type="dxa"/>
          <w:bottom w:w="28" w:type="dxa"/>
          <w:right w:w="28" w:type="dxa"/>
        </w:tblCellMar>
      </w:tblPr>
      <w:tblGrid>
        <w:gridCol w:w="796"/>
        <w:gridCol w:w="703"/>
        <w:gridCol w:w="706"/>
        <w:gridCol w:w="211"/>
        <w:gridCol w:w="616"/>
        <w:gridCol w:w="109"/>
        <w:gridCol w:w="109"/>
        <w:gridCol w:w="109"/>
        <w:gridCol w:w="109"/>
        <w:gridCol w:w="366"/>
        <w:gridCol w:w="627"/>
        <w:gridCol w:w="191"/>
        <w:gridCol w:w="109"/>
        <w:gridCol w:w="109"/>
        <w:gridCol w:w="109"/>
        <w:gridCol w:w="303"/>
        <w:gridCol w:w="411"/>
        <w:gridCol w:w="157"/>
        <w:gridCol w:w="109"/>
        <w:gridCol w:w="109"/>
        <w:gridCol w:w="109"/>
        <w:gridCol w:w="211"/>
        <w:gridCol w:w="691"/>
        <w:gridCol w:w="109"/>
        <w:gridCol w:w="109"/>
        <w:gridCol w:w="109"/>
        <w:gridCol w:w="109"/>
        <w:gridCol w:w="304"/>
        <w:gridCol w:w="543"/>
        <w:gridCol w:w="159"/>
        <w:gridCol w:w="109"/>
        <w:gridCol w:w="109"/>
        <w:gridCol w:w="109"/>
        <w:gridCol w:w="211"/>
        <w:gridCol w:w="466"/>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Beginning</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w:t>
              <w:br/>
              <w:t>Gains/Losses</w:t>
              <w:br/>
              <w:t>Included In</w:t>
              <w:b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Purchases/</w:t>
              <w:br/>
              <w:t>Issuances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Sales/</w:t>
              <w:br/>
              <w:t>Settlements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Ending</w:t>
              <w:br/>
              <w:t>Balance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3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br/>
              <w:t>   liability (a)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3 liabilities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9749" w:type="dxa"/>
        <w:jc w:val="left"/>
        <w:tblInd w:w="0" w:type="dxa"/>
        <w:tblLayout w:type="fixed"/>
        <w:tblCellMar>
          <w:top w:w="28" w:type="dxa"/>
          <w:left w:w="28" w:type="dxa"/>
          <w:bottom w:w="28" w:type="dxa"/>
          <w:right w:w="28" w:type="dxa"/>
        </w:tblCellMar>
      </w:tblPr>
      <w:tblGrid>
        <w:gridCol w:w="796"/>
        <w:gridCol w:w="703"/>
        <w:gridCol w:w="706"/>
        <w:gridCol w:w="211"/>
        <w:gridCol w:w="616"/>
        <w:gridCol w:w="109"/>
        <w:gridCol w:w="109"/>
        <w:gridCol w:w="109"/>
        <w:gridCol w:w="109"/>
        <w:gridCol w:w="366"/>
        <w:gridCol w:w="627"/>
        <w:gridCol w:w="191"/>
        <w:gridCol w:w="109"/>
        <w:gridCol w:w="109"/>
        <w:gridCol w:w="109"/>
        <w:gridCol w:w="303"/>
        <w:gridCol w:w="411"/>
        <w:gridCol w:w="157"/>
        <w:gridCol w:w="109"/>
        <w:gridCol w:w="109"/>
        <w:gridCol w:w="109"/>
        <w:gridCol w:w="324"/>
        <w:gridCol w:w="439"/>
        <w:gridCol w:w="168"/>
        <w:gridCol w:w="109"/>
        <w:gridCol w:w="109"/>
        <w:gridCol w:w="109"/>
        <w:gridCol w:w="311"/>
        <w:gridCol w:w="533"/>
        <w:gridCol w:w="162"/>
        <w:gridCol w:w="109"/>
        <w:gridCol w:w="109"/>
        <w:gridCol w:w="109"/>
        <w:gridCol w:w="211"/>
        <w:gridCol w:w="616"/>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Beginning</w:t>
              <w:br/>
              <w:t>Balance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w:t>
              <w:br/>
              <w:t>Gains/Losses</w:t>
              <w:br/>
              <w:t>Included In</w:t>
              <w:br/>
              <w:t xml:space="preserve">Earnings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Purchases/</w:t>
              <w:br/>
              <w:t>Issuances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Sales/</w:t>
              <w:br/>
              <w:t>Settlements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Ending</w:t>
              <w:br/>
              <w:t>Balance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3 assets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9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br/>
              <w:t xml:space="preserve">   liability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3 liabilities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29" w:type="dxa"/>
        <w:jc w:val="left"/>
        <w:tblInd w:w="0" w:type="dxa"/>
        <w:tblLayout w:type="fixed"/>
        <w:tblCellMar>
          <w:top w:w="28" w:type="dxa"/>
          <w:left w:w="28" w:type="dxa"/>
          <w:bottom w:w="28" w:type="dxa"/>
          <w:right w:w="28" w:type="dxa"/>
        </w:tblCellMar>
      </w:tblPr>
      <w:tblGrid>
        <w:gridCol w:w="796"/>
        <w:gridCol w:w="703"/>
        <w:gridCol w:w="706"/>
        <w:gridCol w:w="211"/>
        <w:gridCol w:w="616"/>
        <w:gridCol w:w="109"/>
        <w:gridCol w:w="109"/>
        <w:gridCol w:w="109"/>
        <w:gridCol w:w="109"/>
        <w:gridCol w:w="366"/>
        <w:gridCol w:w="627"/>
        <w:gridCol w:w="191"/>
        <w:gridCol w:w="109"/>
        <w:gridCol w:w="109"/>
        <w:gridCol w:w="109"/>
        <w:gridCol w:w="303"/>
        <w:gridCol w:w="411"/>
        <w:gridCol w:w="157"/>
        <w:gridCol w:w="109"/>
        <w:gridCol w:w="109"/>
        <w:gridCol w:w="109"/>
        <w:gridCol w:w="211"/>
        <w:gridCol w:w="691"/>
        <w:gridCol w:w="109"/>
        <w:gridCol w:w="109"/>
        <w:gridCol w:w="109"/>
        <w:gridCol w:w="109"/>
        <w:gridCol w:w="311"/>
        <w:gridCol w:w="533"/>
        <w:gridCol w:w="162"/>
        <w:gridCol w:w="109"/>
        <w:gridCol w:w="109"/>
        <w:gridCol w:w="109"/>
        <w:gridCol w:w="211"/>
        <w:gridCol w:w="616"/>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Beginning</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w:t>
              <w:br/>
              <w:t>Gains/Losses</w:t>
              <w:br/>
              <w:t>Included In</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Purchases/</w:t>
              <w:br/>
              <w:t>Issuances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Sales/</w:t>
              <w:br/>
              <w:t>Settlements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Ending</w:t>
              <w:br/>
              <w:t>Balance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3 assets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9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br/>
              <w:t>   liability (a)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3 liabilities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6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(a)Settlements for the six month periods ended June 30, 2026 and 2025 represent aggregate cash and noncash settlement of contingent consideration after the acquisition date. </w:t>
      </w:r>
    </w:p>
    <w:p>
      <w:pPr>
        <w:pStyle w:val="TextBody"/>
        <w:bidi w:val="0"/>
        <w:spacing w:before="120" w:after="283"/>
        <w:jc w:val="left"/>
        <w:rPr/>
      </w:pPr>
      <w:r>
        <w:rPr/>
      </w:r>
    </w:p>
    <w:p>
      <w:pPr>
        <w:pStyle w:val="TextBody"/>
        <w:bidi w:val="0"/>
        <w:spacing w:lineRule="auto" w:line="288" w:before="0" w:after="0"/>
        <w:ind w:left="0" w:right="0" w:firstLine="416"/>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at June 30, 2026 and December 31, 2025, certain investments that are valued using NAV or its equivalent as a practical expedient in determining fair value:</w:t>
      </w:r>
    </w:p>
    <w:tbl>
      <w:tblPr>
        <w:tblW w:w="8319" w:type="dxa"/>
        <w:jc w:val="center"/>
        <w:tblInd w:w="0" w:type="dxa"/>
        <w:tblLayout w:type="fixed"/>
        <w:tblCellMar>
          <w:top w:w="28" w:type="dxa"/>
          <w:left w:w="28" w:type="dxa"/>
          <w:bottom w:w="28" w:type="dxa"/>
          <w:right w:w="28" w:type="dxa"/>
        </w:tblCellMar>
      </w:tblPr>
      <w:tblGrid>
        <w:gridCol w:w="917"/>
        <w:gridCol w:w="807"/>
        <w:gridCol w:w="810"/>
        <w:gridCol w:w="211"/>
        <w:gridCol w:w="721"/>
        <w:gridCol w:w="109"/>
        <w:gridCol w:w="109"/>
        <w:gridCol w:w="109"/>
        <w:gridCol w:w="109"/>
        <w:gridCol w:w="325"/>
        <w:gridCol w:w="325"/>
        <w:gridCol w:w="326"/>
        <w:gridCol w:w="109"/>
        <w:gridCol w:w="109"/>
        <w:gridCol w:w="109"/>
        <w:gridCol w:w="109"/>
        <w:gridCol w:w="109"/>
        <w:gridCol w:w="109"/>
        <w:gridCol w:w="325"/>
        <w:gridCol w:w="325"/>
        <w:gridCol w:w="326"/>
        <w:gridCol w:w="204"/>
        <w:gridCol w:w="204"/>
        <w:gridCol w:w="204"/>
        <w:gridCol w:w="351"/>
        <w:gridCol w:w="351"/>
        <w:gridCol w:w="497"/>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Investments Redeemable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NAV</w:t>
              <w:br/>
              <w:t>Not</w:t>
              <w:br/>
              <w:t>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Redemption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Frequency</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Redemption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Notice Period</w:t>
            </w:r>
          </w:p>
        </w:tc>
      </w:tr>
      <w:tr>
        <w:trPr/>
        <w:tc>
          <w:tcPr>
            <w:tcW w:w="25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 funds:</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Hedge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30-60 days</w:t>
            </w:r>
          </w:p>
        </w:tc>
      </w:tr>
      <w:tr>
        <w:trPr/>
        <w:tc>
          <w:tcPr>
            <w:tcW w:w="25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6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&lt;30-90 days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&lt;30 -30 days</w:t>
            </w:r>
          </w:p>
        </w:tc>
      </w:tr>
      <w:tr>
        <w:trPr/>
        <w:tc>
          <w:tcPr>
            <w:tcW w:w="25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funds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(d)</w:t>
            </w:r>
          </w:p>
        </w:tc>
        <w:tc>
          <w:tcPr>
            <w:tcW w:w="6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&lt;30-30 days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growth</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(a)monthly (100%)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(b)daily (100%)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(c)daily (100%)</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(d)daily (99%) and monthly (1%)</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(e)Distributions from each fund will be received as the underlying investments of the funds are liquidated.</w:t>
      </w:r>
    </w:p>
    <w:tbl>
      <w:tblPr>
        <w:tblW w:w="8274" w:type="dxa"/>
        <w:jc w:val="center"/>
        <w:tblInd w:w="0" w:type="dxa"/>
        <w:tblLayout w:type="fixed"/>
        <w:tblCellMar>
          <w:top w:w="28" w:type="dxa"/>
          <w:left w:w="28" w:type="dxa"/>
          <w:bottom w:w="28" w:type="dxa"/>
          <w:right w:w="28" w:type="dxa"/>
        </w:tblCellMar>
      </w:tblPr>
      <w:tblGrid>
        <w:gridCol w:w="917"/>
        <w:gridCol w:w="807"/>
        <w:gridCol w:w="810"/>
        <w:gridCol w:w="211"/>
        <w:gridCol w:w="721"/>
        <w:gridCol w:w="109"/>
        <w:gridCol w:w="109"/>
        <w:gridCol w:w="109"/>
        <w:gridCol w:w="109"/>
        <w:gridCol w:w="325"/>
        <w:gridCol w:w="325"/>
        <w:gridCol w:w="326"/>
        <w:gridCol w:w="109"/>
        <w:gridCol w:w="109"/>
        <w:gridCol w:w="109"/>
        <w:gridCol w:w="109"/>
        <w:gridCol w:w="109"/>
        <w:gridCol w:w="109"/>
        <w:gridCol w:w="325"/>
        <w:gridCol w:w="325"/>
        <w:gridCol w:w="326"/>
        <w:gridCol w:w="204"/>
        <w:gridCol w:w="204"/>
        <w:gridCol w:w="204"/>
        <w:gridCol w:w="338"/>
        <w:gridCol w:w="338"/>
        <w:gridCol w:w="478"/>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Investments Redeemable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NAV</w:t>
              <w:br/>
              <w:t>Not</w:t>
              <w:br/>
              <w:t>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Redemption</w:t>
              <w:br/>
              <w:t>Frequency</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Redemption</w:t>
              <w:br/>
              <w:t>Notice Period</w:t>
            </w:r>
          </w:p>
        </w:tc>
      </w:tr>
      <w:tr>
        <w:trPr/>
        <w:tc>
          <w:tcPr>
            <w:tcW w:w="25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 funds:</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Hedge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30-60 days</w:t>
            </w:r>
          </w:p>
        </w:tc>
      </w:tr>
      <w:tr>
        <w:trPr/>
        <w:tc>
          <w:tcPr>
            <w:tcW w:w="25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6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&lt;30-90 days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&lt;30-30 days</w:t>
            </w:r>
          </w:p>
        </w:tc>
      </w:tr>
      <w:tr>
        <w:trPr/>
        <w:tc>
          <w:tcPr>
            <w:tcW w:w="25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funds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(d)</w:t>
            </w:r>
          </w:p>
        </w:tc>
        <w:tc>
          <w:tcPr>
            <w:tcW w:w="6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&lt;30-30 days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growth</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06"/>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(a)monthly (100%)</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(b)daily (100%)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(c)daily (100%)</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(d)monthly (100%)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(e)Distributions from each fund will be received as the underlying investments of the funds are liquidated.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7.    DERIVATIVES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present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June 30, 2026 and December 31, 2025. Notional amounts provide an indication of the volume of the Company's derivative activity.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Derivative assets and liabilities, as well as the related cash collateral from the same counterparty, have been netted on the condensed consolidated statements of financial condition where the Company has a right to set off under an enforceable master netting agreement.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cash collateral received and transferred that is presented on a net basis with derivative assets and liabilities, the Company receives and transfers additional securities and cash collateral. These amounts mitigate counterparty credit risk associated with the Company’s derivative instruments, but are not eligible for net presentation on the condensed consolidated statements of financial condition.</w:t>
      </w:r>
    </w:p>
    <w:tbl>
      <w:tblPr>
        <w:tblW w:w="10205" w:type="dxa"/>
        <w:jc w:val="center"/>
        <w:tblInd w:w="0" w:type="dxa"/>
        <w:tblLayout w:type="fixed"/>
        <w:tblCellMar>
          <w:top w:w="28" w:type="dxa"/>
          <w:left w:w="28" w:type="dxa"/>
          <w:bottom w:w="28" w:type="dxa"/>
          <w:right w:w="28" w:type="dxa"/>
        </w:tblCellMar>
      </w:tblPr>
      <w:tblGrid>
        <w:gridCol w:w="1739"/>
        <w:gridCol w:w="1529"/>
        <w:gridCol w:w="1535"/>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3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Notional</w:t>
            </w:r>
          </w:p>
        </w:tc>
      </w:tr>
      <w:tr>
        <w:trPr/>
        <w:tc>
          <w:tcPr>
            <w:tcW w:w="480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 exchange rate contracts</w:t>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433,742 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61,760 </w:t>
            </w:r>
          </w:p>
        </w:tc>
        <w:tc>
          <w:tcPr>
            <w:tcW w:w="156"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LFI and other similar deferred compensation arrangements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124,722 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derivatives</w:t>
            </w:r>
          </w:p>
        </w:tc>
        <w:tc>
          <w:tcPr>
            <w:tcW w:w="8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445,011 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150,912 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361,222 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Counterparty and cash collateral netting:</w:t>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 exchange rate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 and other</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(10,080)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derivatives in "other assets" and "other liabilities"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Collateral not netted on the condensed consolidated </w:t>
              <w:br/>
              <w:t>   statement of financial condition (a)</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(19,952)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120,756 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tbl>
      <w:tblPr>
        <w:tblW w:w="10177" w:type="dxa"/>
        <w:jc w:val="left"/>
        <w:tblInd w:w="0" w:type="dxa"/>
        <w:tblLayout w:type="fixed"/>
        <w:tblCellMar>
          <w:top w:w="28" w:type="dxa"/>
          <w:left w:w="28" w:type="dxa"/>
          <w:bottom w:w="28" w:type="dxa"/>
          <w:right w:w="28" w:type="dxa"/>
        </w:tblCellMar>
      </w:tblPr>
      <w:tblGrid>
        <w:gridCol w:w="1747"/>
        <w:gridCol w:w="1538"/>
        <w:gridCol w:w="1544"/>
        <w:gridCol w:w="237"/>
        <w:gridCol w:w="525"/>
        <w:gridCol w:w="12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747"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8"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Notional</w:t>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 exchange rate contracts</w:t>
            </w:r>
          </w:p>
        </w:tc>
        <w:tc>
          <w:tcPr>
            <w:tcW w:w="237"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22"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209,295 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316,290 </w:t>
            </w:r>
          </w:p>
        </w:tc>
        <w:tc>
          <w:tcPr>
            <w:tcW w:w="154"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 and other</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155,693 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LFI and other similar deferred compensation arrangements</w:t>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188,642 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159,677 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derivatives</w:t>
            </w:r>
          </w:p>
        </w:tc>
        <w:tc>
          <w:tcPr>
            <w:tcW w:w="7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2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219,812 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228,581 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631,660 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Counterparty and cash collateral netting:</w:t>
            </w:r>
          </w:p>
        </w:tc>
        <w:tc>
          <w:tcPr>
            <w:tcW w:w="8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 exchange rate contracts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 and other</w:t>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derivatives in "other assets" and "other liabilities"</w:t>
            </w:r>
          </w:p>
        </w:tc>
        <w:tc>
          <w:tcPr>
            <w:tcW w:w="7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2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218,939 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Collateral not netted on the condensed consolidated </w:t>
              <w:br/>
              <w:t>   statement of financial condition (a)</w:t>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(29,582)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2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189,357 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2"/>
        </w:rPr>
      </w:pPr>
      <w:r>
        <w:rPr>
          <w:rFonts w:ascii="Times New Roman;serif" w:hAnsi="Times New Roman;serif"/>
          <w:b w:val="false"/>
          <w:color w:val="000000"/>
          <w:sz w:val="12"/>
        </w:rPr>
        <w:t>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12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(a)Includes cash and/or securities collateral pledged that are subject to master netting arrangements but do not meet the criteria for netting on the condensed consolidated statements of financial condition under U.S. GAAP. For some counterparties, the amounts of securities and cash collateral pledged may exceed the derivative assets and derivative liabilities balances. Where this is the case, the amount of collateral offset within net derivatives is limited to the net derivative assets and net derivative liabilities balances with that counterparty.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gains (losses) with respect to derivative instruments (included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six month periods ended June 30, 2026 and 2025 were as follows:</w:t>
      </w:r>
    </w:p>
    <w:tbl>
      <w:tblPr>
        <w:tblW w:w="10205" w:type="dxa"/>
        <w:jc w:val="left"/>
        <w:tblInd w:w="0" w:type="dxa"/>
        <w:tblLayout w:type="fixed"/>
        <w:tblCellMar>
          <w:top w:w="28" w:type="dxa"/>
          <w:left w:w="28" w:type="dxa"/>
          <w:bottom w:w="28" w:type="dxa"/>
          <w:right w:w="28" w:type="dxa"/>
        </w:tblCellMar>
      </w:tblPr>
      <w:tblGrid>
        <w:gridCol w:w="1715"/>
        <w:gridCol w:w="1500"/>
        <w:gridCol w:w="1506"/>
        <w:gridCol w:w="211"/>
        <w:gridCol w:w="794"/>
        <w:gridCol w:w="109"/>
        <w:gridCol w:w="109"/>
        <w:gridCol w:w="109"/>
        <w:gridCol w:w="109"/>
        <w:gridCol w:w="211"/>
        <w:gridCol w:w="794"/>
        <w:gridCol w:w="109"/>
        <w:gridCol w:w="109"/>
        <w:gridCol w:w="109"/>
        <w:gridCol w:w="109"/>
        <w:gridCol w:w="211"/>
        <w:gridCol w:w="794"/>
        <w:gridCol w:w="109"/>
        <w:gridCol w:w="109"/>
        <w:gridCol w:w="109"/>
        <w:gridCol w:w="109"/>
        <w:gridCol w:w="211"/>
        <w:gridCol w:w="794"/>
        <w:gridCol w:w="156"/>
      </w:tblGrid>
      <w:tr>
        <w:trPr/>
        <w:tc>
          <w:tcPr>
            <w:tcW w:w="171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 exchange rate contracts</w:t>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(9,610)</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(15,009)</w:t>
            </w:r>
          </w:p>
        </w:tc>
        <w:tc>
          <w:tcPr>
            <w:tcW w:w="156"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LFI and other similar deferred compensation arrangements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 and other</w:t>
            </w:r>
          </w:p>
        </w:tc>
        <w:tc>
          <w:tcPr>
            <w:tcW w:w="100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(35,653)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(33,427)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(30,987)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(44,130)</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(54,760)</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(41,157)</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(61,748)</w:t>
            </w:r>
          </w:p>
        </w:tc>
        <w:tc>
          <w:tcPr>
            <w:tcW w:w="1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8.    PROPERTY,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property consisted of the following:</w:t>
      </w:r>
    </w:p>
    <w:tbl>
      <w:tblPr>
        <w:tblW w:w="8269" w:type="dxa"/>
        <w:jc w:val="left"/>
        <w:tblInd w:w="0" w:type="dxa"/>
        <w:tblLayout w:type="fixed"/>
        <w:tblCellMar>
          <w:top w:w="28" w:type="dxa"/>
          <w:left w:w="28" w:type="dxa"/>
          <w:bottom w:w="28" w:type="dxa"/>
          <w:right w:w="28" w:type="dxa"/>
        </w:tblCellMar>
      </w:tblPr>
      <w:tblGrid>
        <w:gridCol w:w="1533"/>
        <w:gridCol w:w="1347"/>
        <w:gridCol w:w="1364"/>
        <w:gridCol w:w="344"/>
        <w:gridCol w:w="344"/>
        <w:gridCol w:w="346"/>
        <w:gridCol w:w="109"/>
        <w:gridCol w:w="109"/>
        <w:gridCol w:w="109"/>
        <w:gridCol w:w="211"/>
        <w:gridCol w:w="826"/>
        <w:gridCol w:w="109"/>
        <w:gridCol w:w="109"/>
        <w:gridCol w:w="109"/>
        <w:gridCol w:w="109"/>
        <w:gridCol w:w="211"/>
        <w:gridCol w:w="826"/>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Depreciable</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Buildings </w:t>
            </w:r>
          </w:p>
        </w:tc>
        <w:tc>
          <w:tcPr>
            <w:tcW w:w="1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443,999 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454,240 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 Accumulated depreciation and amortization </w:t>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9.    GOODWILL AND OTHER INTANGIBLE ASSETS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goodwill and other intangible assets at June 30, 2026 and December 31, 2025 are presented below.</w:t>
      </w:r>
    </w:p>
    <w:tbl>
      <w:tblPr>
        <w:tblW w:w="8027" w:type="dxa"/>
        <w:jc w:val="left"/>
        <w:tblInd w:w="0" w:type="dxa"/>
        <w:tblLayout w:type="fixed"/>
        <w:tblCellMar>
          <w:top w:w="28" w:type="dxa"/>
          <w:left w:w="28" w:type="dxa"/>
          <w:bottom w:w="28" w:type="dxa"/>
          <w:right w:w="28" w:type="dxa"/>
        </w:tblCellMar>
      </w:tblPr>
      <w:tblGrid>
        <w:gridCol w:w="1813"/>
        <w:gridCol w:w="1594"/>
        <w:gridCol w:w="1603"/>
        <w:gridCol w:w="211"/>
        <w:gridCol w:w="826"/>
        <w:gridCol w:w="109"/>
        <w:gridCol w:w="109"/>
        <w:gridCol w:w="109"/>
        <w:gridCol w:w="109"/>
        <w:gridCol w:w="273"/>
        <w:gridCol w:w="1072"/>
        <w:gridCol w:w="199"/>
      </w:tblGrid>
      <w:tr>
        <w:trPr/>
        <w:tc>
          <w:tcPr>
            <w:tcW w:w="181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395,262 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of accumulated amortization)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447,556 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395,262 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carrying amount of goodwill for the six month periods ended June 30, 2026 and 2025 are as follows: </w:t>
      </w:r>
    </w:p>
    <w:tbl>
      <w:tblPr>
        <w:tblW w:w="10205" w:type="dxa"/>
        <w:jc w:val="left"/>
        <w:tblInd w:w="0" w:type="dxa"/>
        <w:tblLayout w:type="fixed"/>
        <w:tblCellMar>
          <w:top w:w="28" w:type="dxa"/>
          <w:left w:w="28" w:type="dxa"/>
          <w:bottom w:w="28" w:type="dxa"/>
          <w:right w:w="28" w:type="dxa"/>
        </w:tblCellMar>
      </w:tblPr>
      <w:tblGrid>
        <w:gridCol w:w="834"/>
        <w:gridCol w:w="449"/>
        <w:gridCol w:w="338"/>
        <w:gridCol w:w="216"/>
        <w:gridCol w:w="847"/>
        <w:gridCol w:w="111"/>
        <w:gridCol w:w="109"/>
        <w:gridCol w:w="109"/>
        <w:gridCol w:w="109"/>
        <w:gridCol w:w="216"/>
        <w:gridCol w:w="846"/>
        <w:gridCol w:w="111"/>
        <w:gridCol w:w="109"/>
        <w:gridCol w:w="109"/>
        <w:gridCol w:w="109"/>
        <w:gridCol w:w="211"/>
        <w:gridCol w:w="826"/>
        <w:gridCol w:w="109"/>
        <w:gridCol w:w="109"/>
        <w:gridCol w:w="109"/>
        <w:gridCol w:w="109"/>
        <w:gridCol w:w="216"/>
        <w:gridCol w:w="847"/>
        <w:gridCol w:w="111"/>
        <w:gridCol w:w="109"/>
        <w:gridCol w:w="109"/>
        <w:gridCol w:w="109"/>
        <w:gridCol w:w="220"/>
        <w:gridCol w:w="751"/>
        <w:gridCol w:w="114"/>
        <w:gridCol w:w="109"/>
        <w:gridCol w:w="109"/>
        <w:gridCol w:w="109"/>
        <w:gridCol w:w="211"/>
        <w:gridCol w:w="826"/>
        <w:gridCol w:w="160"/>
      </w:tblGrid>
      <w:tr>
        <w:trPr/>
        <w:tc>
          <w:tcPr>
            <w:tcW w:w="83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 Advisory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 Advisory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313,992 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81,270 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312,305 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81,270 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393,575 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and consolidation of business (a)</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 and deconsolidation of business (b)</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313,551 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121,381 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434,932 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313,955 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81,270 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395,225 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Company exercised its option to purchase an additional ownership stake in Elaia, in which the Company had previously held an equity method investment. As a result, the Company obtained a controlling financial interest in Elaia on June 30, 2026, which has been consolidated within its condensed consolidated financial statements as of the acquisition date. This transaction resulted in the Company recognizing goodwill of $40,470 and other intangible assets of $12,624 (primarily management agreements) at closing. These intangible assets will be amortized over their estimated useful lives between 1 and 10 years.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(b)See Note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10.    SENIOR DEBT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Lazard Group Senior Notes are comprised of the following as of June 30, 2026 and December 31, 2025: </w:t>
      </w:r>
    </w:p>
    <w:tbl>
      <w:tblPr>
        <w:tblW w:w="13829" w:type="dxa"/>
        <w:jc w:val="left"/>
        <w:tblInd w:w="0" w:type="dxa"/>
        <w:tblLayout w:type="fixed"/>
        <w:tblCellMar>
          <w:top w:w="28" w:type="dxa"/>
          <w:left w:w="28" w:type="dxa"/>
          <w:bottom w:w="28" w:type="dxa"/>
          <w:right w:w="28" w:type="dxa"/>
        </w:tblCellMar>
      </w:tblPr>
      <w:tblGrid>
        <w:gridCol w:w="185"/>
        <w:gridCol w:w="162"/>
        <w:gridCol w:w="164"/>
        <w:gridCol w:w="368"/>
        <w:gridCol w:w="368"/>
        <w:gridCol w:w="256"/>
        <w:gridCol w:w="109"/>
        <w:gridCol w:w="109"/>
        <w:gridCol w:w="109"/>
        <w:gridCol w:w="255"/>
        <w:gridCol w:w="255"/>
        <w:gridCol w:w="256"/>
        <w:gridCol w:w="109"/>
        <w:gridCol w:w="109"/>
        <w:gridCol w:w="109"/>
        <w:gridCol w:w="278"/>
        <w:gridCol w:w="278"/>
        <w:gridCol w:w="349"/>
        <w:gridCol w:w="109"/>
        <w:gridCol w:w="109"/>
        <w:gridCol w:w="109"/>
        <w:gridCol w:w="288"/>
        <w:gridCol w:w="178"/>
        <w:gridCol w:w="395"/>
        <w:gridCol w:w="109"/>
        <w:gridCol w:w="109"/>
        <w:gridCol w:w="109"/>
        <w:gridCol w:w="196"/>
        <w:gridCol w:w="871"/>
        <w:gridCol w:w="109"/>
        <w:gridCol w:w="109"/>
        <w:gridCol w:w="109"/>
        <w:gridCol w:w="109"/>
        <w:gridCol w:w="216"/>
        <w:gridCol w:w="713"/>
        <w:gridCol w:w="122"/>
        <w:gridCol w:w="109"/>
        <w:gridCol w:w="109"/>
        <w:gridCol w:w="109"/>
        <w:gridCol w:w="196"/>
        <w:gridCol w:w="871"/>
        <w:gridCol w:w="109"/>
        <w:gridCol w:w="109"/>
        <w:gridCol w:w="109"/>
        <w:gridCol w:w="109"/>
        <w:gridCol w:w="196"/>
        <w:gridCol w:w="871"/>
        <w:gridCol w:w="109"/>
        <w:gridCol w:w="109"/>
        <w:gridCol w:w="109"/>
        <w:gridCol w:w="109"/>
        <w:gridCol w:w="216"/>
        <w:gridCol w:w="713"/>
        <w:gridCol w:w="122"/>
        <w:gridCol w:w="109"/>
        <w:gridCol w:w="109"/>
        <w:gridCol w:w="109"/>
        <w:gridCol w:w="196"/>
        <w:gridCol w:w="871"/>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Outstanding as of</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Initial</w:t>
              <w:br/>
              <w:t>Principal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Annual </w:t>
              <w:br/>
              <w:t>Interest</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w:t>
              <w:br/>
              <w:t>Debt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w:t>
              <w:br/>
              <w:t>Debt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2028 Notes</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497,237 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2029 Notes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2031 Notes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3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2035 Notes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5.625 </w:t>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10,470 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1,689,530 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11,914 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1,688,086 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Lazard, Inc. has provided an unconditional and irrevocable guarantee for the repayment of all the senior notes in the table above. The guarantee covers both the principal and interest payments on the senior debt and will remain in effect until all the Lazard Group senior notes are repaid. As of June 30, 2026, the maximum future payments that Lazard, Inc. could be required to make under this guarantee is the same as the principal value in the table above plus accrued interest.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senior debt is unsecured and is carried at its principal amount outstanding, net of unamortized debt costs. At June 30, 2026 and December 31, 2025, the fair value of such senior debt was approximately $1,709,000 and $1,737,000, respectively. The fair value of the Company’s senior debt is based on market quotations. The Company’s senior debt would be categorized within Level 2 of the hierarchy of fair value measurements if carried at fair value.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Lazard Group LLC has a Second Amended and Restated Credit Agreement with a group of lenders for a five-year, $200,000 senior revolving credit facility expiring in June 2028 (the “Second Amended and Restated Credit Agreement”). Any borrowings under the Second Amended and Restated Credit Agreement generally will bear interest at adjusted term SOFR plus an applicable margin for specific interest periods determined based on Lazard Group LLC’s highest credit rating from an internationally recognized credit agency. In conjunction with the Lazard, Inc. guarantee of the Lazard Group LLC’s then outstanding senior notes, on December 23, 2024, the Company and Lazard Group LLC entered into the First Amendment to Second Amended and Restated Credit Agreement pursuant to which Lazard, Inc. provided an unconditional and irrevocable guarantee for the obligations of Lazard Group LLC under the Second Amended and Restated Credit Agreement.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approximately $210,000 in unused lines of credit available to it, including the credit facility provided under the Second Amended and Restated Credit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11.    COMMITMENTS AND CONTINGENCIES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signed a lease agreement for additional office facilities, with lease commencement anticipated in 2027. The lease term is approximately 10 years and has undiscounted future lease payments of approximately $100,000.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Notes 5 and 14 for information regarding commitments relating to investment capital funding commitments and obligations to fund our pension plans,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fulfillment of the commitments described herein should not have a material adverse effect on the Company’s condensed consolidated financial position or results of operations.</w:t>
      </w:r>
    </w:p>
    <w:p>
      <w:pPr>
        <w:pStyle w:val="TextBody"/>
        <w:bidi w:val="0"/>
        <w:spacing w:lineRule="auto" w:line="288" w:before="240" w:after="283"/>
        <w:ind w:left="0" w:right="0" w:firstLine="360"/>
        <w:jc w:val="both"/>
        <w:rPr/>
      </w:pPr>
      <w:r>
        <w:rPr>
          <w:rFonts w:ascii="Times New Roman;serif" w:hAnsi="Times New Roman;serif"/>
          <w:b/>
          <w:i/>
          <w:color w:val="000000"/>
          <w:sz w:val="20"/>
        </w:rPr>
        <w:t>Legal</w:t>
      </w:r>
      <w:r>
        <w:rPr>
          <w:color w:val="000000"/>
        </w:rPr>
        <w:t>—</w:t>
      </w:r>
      <w:r>
        <w:rPr>
          <w:rFonts w:ascii="Times New Roman;serif" w:hAnsi="Times New Roman;serif"/>
          <w:b w:val="false"/>
          <w:color w:val="000000"/>
          <w:sz w:val="20"/>
        </w:rPr>
        <w:t>The Company is involved from time to time in judicial, governmental, regulatory and arbitration proceedings and inquiries concerning matters arising in connection with the conduct of our businesses, including contractual and employment matters. The Company reviews such matters on a case-by-case basis and establishes any required accrual if a loss is probable and the amount of such loss can be reasonably estimated. The Company may experience significant variation in its revenue and earnings on a quarterly basis. Accordingly, the results of any pending matter or matters could be significant when compared to the Company’s earnings in any particular quarter. The Company believes, however, based on currently available information, that the results of any pending matters, in the aggregate, will not have a material effect on its business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12.    STOCKHOLDERS’ EQUITY AND REDEEMABLE NONCONTROLLING INTERESTS</w:t>
      </w:r>
    </w:p>
    <w:p>
      <w:pPr>
        <w:pStyle w:val="TextBody"/>
        <w:bidi w:val="0"/>
        <w:spacing w:lineRule="auto" w:line="288" w:before="120" w:after="283"/>
        <w:ind w:left="0" w:right="0" w:firstLine="720"/>
        <w:jc w:val="both"/>
        <w:rPr/>
      </w:pPr>
      <w:r>
        <w:rPr>
          <w:rFonts w:ascii="Times New Roman;serif" w:hAnsi="Times New Roman;serif"/>
          <w:b/>
          <w:i/>
          <w:color w:val="000000"/>
          <w:sz w:val="20"/>
        </w:rPr>
        <w:t>Share Repurchase Program</w:t>
      </w:r>
      <w:r>
        <w:rPr>
          <w:color w:val="000000"/>
        </w:rPr>
        <w:t>—</w:t>
      </w:r>
      <w:r>
        <w:rPr>
          <w:rFonts w:ascii="Times New Roman;serif" w:hAnsi="Times New Roman;serif"/>
          <w:b w:val="false"/>
          <w:color w:val="000000"/>
          <w:sz w:val="20"/>
        </w:rPr>
        <w:t>The Board of Directors of Lazard authorized the repurchase of Lazard, Inc. common stock (“common stock”) as set forth in the table below as of June 30, 2026:</w:t>
      </w:r>
    </w:p>
    <w:tbl>
      <w:tblPr>
        <w:tblW w:w="4127" w:type="dxa"/>
        <w:jc w:val="left"/>
        <w:tblInd w:w="0" w:type="dxa"/>
        <w:tblLayout w:type="fixed"/>
        <w:tblCellMar>
          <w:top w:w="28" w:type="dxa"/>
          <w:left w:w="28" w:type="dxa"/>
          <w:bottom w:w="28" w:type="dxa"/>
          <w:right w:w="28" w:type="dxa"/>
        </w:tblCellMar>
      </w:tblPr>
      <w:tblGrid>
        <w:gridCol w:w="335"/>
        <w:gridCol w:w="294"/>
        <w:gridCol w:w="301"/>
        <w:gridCol w:w="211"/>
        <w:gridCol w:w="826"/>
        <w:gridCol w:w="109"/>
        <w:gridCol w:w="109"/>
        <w:gridCol w:w="109"/>
        <w:gridCol w:w="109"/>
        <w:gridCol w:w="502"/>
        <w:gridCol w:w="502"/>
        <w:gridCol w:w="720"/>
      </w:tblGrid>
      <w:tr>
        <w:trPr/>
        <w:tc>
          <w:tcPr>
            <w:tcW w:w="3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Date</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Repurchase</w:t>
              <w:br/>
              <w:t>Authorization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Expiration</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2024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 2026</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purchases under the share repurchase program over time are used to offset dilution from the shares that have been or will be issued under Lazard’s 2018 Incentive Compensation Plan, as amended (the “2018 Plan”). Pursuant to the share repurchase program, purchases have been made in the open market or through privately negotiated transactions, including those with employees. The rate at which the Company purchases shares in connection with the share repurchase program may vary from period to period due to a variety of factors. Purchases with respect to such program are set forth in the table below:</w:t>
      </w:r>
    </w:p>
    <w:tbl>
      <w:tblPr>
        <w:tblW w:w="4338" w:type="dxa"/>
        <w:jc w:val="left"/>
        <w:tblInd w:w="0" w:type="dxa"/>
        <w:tblLayout w:type="fixed"/>
        <w:tblCellMar>
          <w:top w:w="28" w:type="dxa"/>
          <w:left w:w="28" w:type="dxa"/>
          <w:bottom w:w="28" w:type="dxa"/>
          <w:right w:w="28" w:type="dxa"/>
        </w:tblCellMar>
      </w:tblPr>
      <w:tblGrid>
        <w:gridCol w:w="759"/>
        <w:gridCol w:w="667"/>
        <w:gridCol w:w="673"/>
        <w:gridCol w:w="309"/>
        <w:gridCol w:w="309"/>
        <w:gridCol w:w="313"/>
        <w:gridCol w:w="109"/>
        <w:gridCol w:w="109"/>
        <w:gridCol w:w="109"/>
        <w:gridCol w:w="211"/>
        <w:gridCol w:w="616"/>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Six Months Ended June 30:</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Price Per</w:t>
              <w:br/>
              <w:t>Share</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(a)</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(a)Shares were immediately cancelled by the Company. There was no impact on total stockholders' equity as a result of the share cancellation.</w:t>
      </w:r>
    </w:p>
    <w:p>
      <w:pPr>
        <w:pStyle w:val="TextBody"/>
        <w:bidi w:val="0"/>
        <w:spacing w:lineRule="auto" w:line="288" w:before="240" w:after="283"/>
        <w:ind w:left="0" w:right="0" w:firstLine="720"/>
        <w:jc w:val="both"/>
        <w:rPr/>
      </w:pPr>
      <w:r>
        <w:rPr>
          <w:rFonts w:ascii="Times New Roman;serif" w:hAnsi="Times New Roman;serif"/>
          <w:b w:val="false"/>
          <w:color w:val="000000"/>
          <w:sz w:val="20"/>
        </w:rPr>
        <w:t>During the six month periods ended June 30, 2026 and 2025, certain of our executive officers received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common stock from certain of our executive officers equal in value to all or a portion of the estimated amount of such tax. In addition, during the six month period ended June 30, 2025, the Company purchased shares of common stock from certain of our executive officers. The aggregate value of all such purchases during the six month periods ended June 30, 2026 and 2025 was approximately $1,700 and $11,800, respectively. Such shares of common stock are reported at cost,</w:t>
      </w:r>
      <w:r>
        <w:rPr>
          <w:color w:val="000000"/>
        </w:rPr>
        <w:t xml:space="preserve"> </w:t>
      </w:r>
      <w:r>
        <w:rPr>
          <w:rFonts w:ascii="Times New Roman;serif" w:hAnsi="Times New Roman;serif"/>
          <w:b w:val="false"/>
          <w:color w:val="000000"/>
          <w:sz w:val="20"/>
        </w:rPr>
        <w:t xml:space="preserve">and are either included in “common stock held in treasury” on the accompanying condensed consolidated statements of financial condition or were immediately canceled by the Company.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 total of $57,295 of share repurchase authorization remained available under Lazard, Inc.’s share repurchase program, which will expire on December 31,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22, 2026, the Board of Directors authorized additional share repurchases of $200,000, which expire as of December 31, 2028, bringing the total outstanding share repurchase authorization to approximately $257,000.</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 period ended June 30, 2026, Lazard, Inc. had in place trading plans under Rule 10b5-1 of the Securities Exchange Act of 1934, as amended (the “Exchange Act”), pursuant to which it effected stock repurchases in the open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240" w:after="283"/>
        <w:ind w:left="0" w:right="0" w:firstLine="720"/>
        <w:jc w:val="both"/>
        <w:rPr/>
      </w:pPr>
      <w:r>
        <w:rPr>
          <w:rFonts w:ascii="Times New Roman;serif" w:hAnsi="Times New Roman;serif"/>
          <w:b/>
          <w:i/>
          <w:color w:val="000000"/>
          <w:sz w:val="20"/>
        </w:rPr>
        <w:t>Accumulated Other Comprehensive Income (Loss) (“AOCI”), Net of Tax</w:t>
      </w:r>
      <w:r>
        <w:rPr>
          <w:color w:val="000000"/>
        </w:rPr>
        <w:t>—</w:t>
      </w:r>
      <w:r>
        <w:rPr>
          <w:rFonts w:ascii="Times New Roman;serif" w:hAnsi="Times New Roman;serif"/>
          <w:b w:val="false"/>
          <w:color w:val="000000"/>
          <w:sz w:val="20"/>
        </w:rPr>
        <w:t>The tables below reflect the balances of each component of AOCI at June 30, 2026 and 2025 and activity during the three month and six month periods then ended:</w:t>
      </w:r>
    </w:p>
    <w:tbl>
      <w:tblPr>
        <w:tblW w:w="10205" w:type="dxa"/>
        <w:jc w:val="left"/>
        <w:tblInd w:w="0" w:type="dxa"/>
        <w:tblLayout w:type="fixed"/>
        <w:tblCellMar>
          <w:top w:w="28" w:type="dxa"/>
          <w:left w:w="28" w:type="dxa"/>
          <w:bottom w:w="28" w:type="dxa"/>
          <w:right w:w="28" w:type="dxa"/>
        </w:tblCellMar>
      </w:tblPr>
      <w:tblGrid>
        <w:gridCol w:w="1188"/>
        <w:gridCol w:w="945"/>
        <w:gridCol w:w="790"/>
        <w:gridCol w:w="211"/>
        <w:gridCol w:w="861"/>
        <w:gridCol w:w="109"/>
        <w:gridCol w:w="109"/>
        <w:gridCol w:w="109"/>
        <w:gridCol w:w="109"/>
        <w:gridCol w:w="211"/>
        <w:gridCol w:w="861"/>
        <w:gridCol w:w="109"/>
        <w:gridCol w:w="109"/>
        <w:gridCol w:w="109"/>
        <w:gridCol w:w="109"/>
        <w:gridCol w:w="211"/>
        <w:gridCol w:w="861"/>
        <w:gridCol w:w="109"/>
        <w:gridCol w:w="109"/>
        <w:gridCol w:w="109"/>
        <w:gridCol w:w="109"/>
        <w:gridCol w:w="428"/>
        <w:gridCol w:w="550"/>
        <w:gridCol w:w="223"/>
        <w:gridCol w:w="109"/>
        <w:gridCol w:w="109"/>
        <w:gridCol w:w="109"/>
        <w:gridCol w:w="211"/>
        <w:gridCol w:w="861"/>
        <w:gridCol w:w="158"/>
      </w:tblGrid>
      <w:tr>
        <w:trPr/>
        <w:tc>
          <w:tcPr>
            <w:tcW w:w="118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Employee</w:t>
              <w:br/>
              <w:t>Benefit</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br/>
              <w:t>Attributable to</w:t>
              <w:b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Lazard</w:t>
              <w:br/>
              <w:t>AOCI</w:t>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April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(276,680)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(276,678)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Activity:</w:t>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 of tax</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items reclassified to earnings, net of tax</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(116,495)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(162,254)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(278,749)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38"/>
        <w:gridCol w:w="880"/>
        <w:gridCol w:w="806"/>
        <w:gridCol w:w="211"/>
        <w:gridCol w:w="861"/>
        <w:gridCol w:w="109"/>
        <w:gridCol w:w="109"/>
        <w:gridCol w:w="109"/>
        <w:gridCol w:w="109"/>
        <w:gridCol w:w="211"/>
        <w:gridCol w:w="861"/>
        <w:gridCol w:w="109"/>
        <w:gridCol w:w="109"/>
        <w:gridCol w:w="109"/>
        <w:gridCol w:w="109"/>
        <w:gridCol w:w="211"/>
        <w:gridCol w:w="861"/>
        <w:gridCol w:w="109"/>
        <w:gridCol w:w="109"/>
        <w:gridCol w:w="109"/>
        <w:gridCol w:w="109"/>
        <w:gridCol w:w="439"/>
        <w:gridCol w:w="533"/>
        <w:gridCol w:w="229"/>
        <w:gridCol w:w="109"/>
        <w:gridCol w:w="109"/>
        <w:gridCol w:w="109"/>
        <w:gridCol w:w="211"/>
        <w:gridCol w:w="861"/>
        <w:gridCol w:w="157"/>
      </w:tblGrid>
      <w:tr>
        <w:trPr/>
        <w:tc>
          <w:tcPr>
            <w:tcW w:w="123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Employee</w:t>
              <w:br/>
              <w:t>Benefit</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br/>
              <w:t>Attributable to</w:t>
              <w:b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br/>
              <w:t>Lazard</w:t>
              <w:br/>
              <w:t>AOCI</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January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(271,509)</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Activity:</w:t>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 of tax</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(10,497)</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items reclassified to earnings, net of tax</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(7,244)</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(116,495)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(162,254)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(278,749)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tbl>
      <w:tblPr>
        <w:tblW w:w="10205" w:type="dxa"/>
        <w:jc w:val="left"/>
        <w:tblInd w:w="0" w:type="dxa"/>
        <w:tblLayout w:type="fixed"/>
        <w:tblCellMar>
          <w:top w:w="28" w:type="dxa"/>
          <w:left w:w="28" w:type="dxa"/>
          <w:bottom w:w="28" w:type="dxa"/>
          <w:right w:w="28" w:type="dxa"/>
        </w:tblCellMar>
      </w:tblPr>
      <w:tblGrid>
        <w:gridCol w:w="1172"/>
        <w:gridCol w:w="919"/>
        <w:gridCol w:w="811"/>
        <w:gridCol w:w="211"/>
        <w:gridCol w:w="866"/>
        <w:gridCol w:w="109"/>
        <w:gridCol w:w="109"/>
        <w:gridCol w:w="109"/>
        <w:gridCol w:w="109"/>
        <w:gridCol w:w="211"/>
        <w:gridCol w:w="866"/>
        <w:gridCol w:w="109"/>
        <w:gridCol w:w="109"/>
        <w:gridCol w:w="109"/>
        <w:gridCol w:w="109"/>
        <w:gridCol w:w="211"/>
        <w:gridCol w:w="866"/>
        <w:gridCol w:w="109"/>
        <w:gridCol w:w="109"/>
        <w:gridCol w:w="109"/>
        <w:gridCol w:w="109"/>
        <w:gridCol w:w="364"/>
        <w:gridCol w:w="648"/>
        <w:gridCol w:w="189"/>
        <w:gridCol w:w="109"/>
        <w:gridCol w:w="109"/>
        <w:gridCol w:w="109"/>
        <w:gridCol w:w="211"/>
        <w:gridCol w:w="866"/>
        <w:gridCol w:w="159"/>
      </w:tblGrid>
      <w:tr>
        <w:trPr/>
        <w:tc>
          <w:tcPr>
            <w:tcW w:w="117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Employee</w:t>
              <w:br/>
              <w:t>Benefit</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br/>
              <w:t>Attributable to</w:t>
              <w:b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Lazard</w:t>
              <w:br/>
              <w:t>AOCI</w:t>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April 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(306,802)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(306,766)</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Activity:</w:t>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35,798 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items reclassified to earnings, net of tax</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37,863 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(90,833)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(178,064)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(268,897)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(268,903)</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16"/>
        <w:gridCol w:w="862"/>
        <w:gridCol w:w="825"/>
        <w:gridCol w:w="211"/>
        <w:gridCol w:w="866"/>
        <w:gridCol w:w="109"/>
        <w:gridCol w:w="109"/>
        <w:gridCol w:w="109"/>
        <w:gridCol w:w="109"/>
        <w:gridCol w:w="211"/>
        <w:gridCol w:w="866"/>
        <w:gridCol w:w="109"/>
        <w:gridCol w:w="109"/>
        <w:gridCol w:w="109"/>
        <w:gridCol w:w="109"/>
        <w:gridCol w:w="211"/>
        <w:gridCol w:w="866"/>
        <w:gridCol w:w="109"/>
        <w:gridCol w:w="109"/>
        <w:gridCol w:w="109"/>
        <w:gridCol w:w="109"/>
        <w:gridCol w:w="364"/>
        <w:gridCol w:w="648"/>
        <w:gridCol w:w="189"/>
        <w:gridCol w:w="109"/>
        <w:gridCol w:w="109"/>
        <w:gridCol w:w="109"/>
        <w:gridCol w:w="211"/>
        <w:gridCol w:w="866"/>
        <w:gridCol w:w="158"/>
      </w:tblGrid>
      <w:tr>
        <w:trPr/>
        <w:tc>
          <w:tcPr>
            <w:tcW w:w="12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Employee</w:t>
              <w:br/>
              <w:t>Benefit</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br/>
              <w:t>Attributable to</w:t>
              <w:b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Lazard</w:t>
              <w:br/>
              <w:t>AOCI</w:t>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January 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(326,802)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(326,742)</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Activity:</w:t>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54,198 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items reclassified to earnings, net of tax</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57,839 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(90,833)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(178,064)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(268,897)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(268,903)</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reflects adjustments for items reclassified out of AOCI, by component, for the three month and six month periods ended June 30, 2026 and 2025:</w:t>
      </w:r>
    </w:p>
    <w:tbl>
      <w:tblPr>
        <w:tblW w:w="9044" w:type="dxa"/>
        <w:jc w:val="left"/>
        <w:tblInd w:w="0" w:type="dxa"/>
        <w:tblLayout w:type="fixed"/>
        <w:tblCellMar>
          <w:top w:w="28" w:type="dxa"/>
          <w:left w:w="28" w:type="dxa"/>
          <w:bottom w:w="28" w:type="dxa"/>
          <w:right w:w="28" w:type="dxa"/>
        </w:tblCellMar>
      </w:tblPr>
      <w:tblGrid>
        <w:gridCol w:w="1546"/>
        <w:gridCol w:w="1360"/>
        <w:gridCol w:w="136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relating to employee benefit plans (a)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 related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reclassifications, net of tax</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(a)Included in the computation of net periodic benefit cost (see Note 14). Such amounts are included in “operating expenses–other” on the condensed consolidated statements of operations.</w:t>
      </w:r>
    </w:p>
    <w:p>
      <w:pPr>
        <w:pStyle w:val="TextBody"/>
        <w:bidi w:val="0"/>
        <w:spacing w:lineRule="auto" w:line="288" w:before="240" w:after="283"/>
        <w:ind w:left="0" w:right="0" w:firstLine="720"/>
        <w:jc w:val="both"/>
        <w:rPr/>
      </w:pPr>
      <w:r>
        <w:rPr>
          <w:rFonts w:ascii="Times New Roman;serif" w:hAnsi="Times New Roman;serif"/>
          <w:b/>
          <w:i/>
          <w:color w:val="000000"/>
          <w:sz w:val="20"/>
        </w:rPr>
        <w:t>Noncontrolling Interests</w:t>
      </w:r>
      <w:r>
        <w:rPr>
          <w:color w:val="000000"/>
        </w:rPr>
        <w:t>—</w:t>
      </w:r>
      <w:r>
        <w:rPr>
          <w:rFonts w:ascii="Times New Roman;serif" w:hAnsi="Times New Roman;serif"/>
          <w:b w:val="false"/>
          <w:color w:val="000000"/>
          <w:sz w:val="20"/>
        </w:rPr>
        <w:t>Noncontrolling interests principally represent (i) profits interest participation rights (see Note 13) and (ii) up to February 13, 2026, interests held in Edgewater’s management vehicles that the Company was deemed to control, but did not own (see Note 1).</w:t>
      </w:r>
    </w:p>
    <w:p>
      <w:pPr>
        <w:pStyle w:val="TextBody"/>
        <w:bidi w:val="0"/>
        <w:spacing w:lineRule="auto" w:line="288" w:before="240" w:after="283"/>
        <w:ind w:left="0" w:right="0" w:firstLine="720"/>
        <w:jc w:val="both"/>
        <w:rPr/>
      </w:pPr>
      <w:r>
        <w:rPr>
          <w:rFonts w:ascii="Times New Roman;serif" w:hAnsi="Times New Roman;serif"/>
          <w:b/>
          <w:i/>
          <w:color w:val="000000"/>
          <w:sz w:val="20"/>
        </w:rPr>
        <w:t>Redeemable</w:t>
      </w:r>
      <w:r>
        <w:rPr>
          <w:color w:val="000000"/>
        </w:rPr>
        <w:t xml:space="preserve"> </w:t>
      </w:r>
      <w:r>
        <w:rPr>
          <w:rFonts w:ascii="Times New Roman;serif" w:hAnsi="Times New Roman;serif"/>
          <w:b/>
          <w:i/>
          <w:color w:val="000000"/>
          <w:sz w:val="20"/>
        </w:rPr>
        <w:t>Noncontrolling Interests</w:t>
      </w:r>
      <w:r>
        <w:rPr>
          <w:color w:val="000000"/>
        </w:rPr>
        <w:t>—</w:t>
      </w:r>
      <w:r>
        <w:rPr>
          <w:rFonts w:ascii="Times New Roman;serif" w:hAnsi="Times New Roman;serif"/>
          <w:b w:val="false"/>
          <w:color w:val="000000"/>
          <w:sz w:val="20"/>
        </w:rPr>
        <w:t xml:space="preserve">Redeemable noncontrolling interests represent consolidated VIE interests held by employees (vested LFI awards), which may be redeemed at any time at the option of the holder for cash, are recorded on the Company’s condensed consolidated statements of financial position at redemption value and classified as temporary equity. Changes in redemption value are recognized immediately as they occur and will adjust the carrying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of redeemable noncontrolling interests to equal the redemption value at the end of each reporting period (see Note 20). Beginning on June 30, 2026, redeemable noncontrolling interests also includes the portion of Elaia that the Company does not own (see Note 9).</w:t>
      </w:r>
    </w:p>
    <w:p>
      <w:pPr>
        <w:pStyle w:val="TextBody"/>
        <w:bidi w:val="0"/>
        <w:spacing w:lineRule="auto" w:line="288" w:before="240" w:after="283"/>
        <w:ind w:left="0" w:right="0" w:firstLine="720"/>
        <w:jc w:val="both"/>
        <w:rPr/>
      </w:pPr>
      <w:r>
        <w:rPr>
          <w:rFonts w:ascii="Times New Roman;serif" w:hAnsi="Times New Roman;serif"/>
          <w:b/>
          <w:i/>
          <w:color w:val="000000"/>
          <w:sz w:val="20"/>
        </w:rPr>
        <w:t>Dividends Declared, July 22, 2026</w:t>
      </w:r>
      <w:r>
        <w:rPr>
          <w:color w:val="000000"/>
        </w:rPr>
        <w:t>—</w:t>
      </w:r>
      <w:r>
        <w:rPr>
          <w:rFonts w:ascii="Times New Roman;serif" w:hAnsi="Times New Roman;serif"/>
          <w:b w:val="false"/>
          <w:color w:val="000000"/>
          <w:sz w:val="20"/>
        </w:rPr>
        <w:t>On July 22, 2026, the Board of Directors of Lazard declared a quarterly dividend of $0.50 per share on our common stock. The dividend is payable on August 14, 2026, to stockholders of record on August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 xml:space="preserve">13.    INCENTIVE PLANS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Share-Based Incentive Plan Awards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shares available for issuance under incentive compensation plans are from the 2018 Plan, which was amended on May 21, 2026 to increase the aggregate number of shares authorized for issuance by 25,000,000 shares. The aggregate number of shares authorized for issuance under the 2018 Plan is 95,000,000 shares. Such shares may be issued pursuant to the grant or exercise of stock options; stock appreciation rights; restricted stock units, restricted stock awards, and deferred stock units (collectively “RSUs”); profits interest participation rights (“PIPRs”); and other share-based awards.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Expense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reflects the expense with respect to share-based incentive plans, which is primarily recorded within “compensation and benefits” expense in the Company’s accompanying condensed consolidated statements of operations for the three month and six month periods ended June 30, 2026 and 2025:</w:t>
      </w:r>
    </w:p>
    <w:tbl>
      <w:tblPr>
        <w:tblW w:w="8175" w:type="dxa"/>
        <w:jc w:val="left"/>
        <w:tblInd w:w="0" w:type="dxa"/>
        <w:tblLayout w:type="fixed"/>
        <w:tblCellMar>
          <w:top w:w="28" w:type="dxa"/>
          <w:left w:w="28" w:type="dxa"/>
          <w:bottom w:w="28" w:type="dxa"/>
          <w:right w:w="28" w:type="dxa"/>
        </w:tblCellMar>
      </w:tblPr>
      <w:tblGrid>
        <w:gridCol w:w="929"/>
        <w:gridCol w:w="817"/>
        <w:gridCol w:w="81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incentive awards: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PIPRs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w:t>
              <w:br/>
              <w:t>    stock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233,278 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184,125 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Compensation and benefits expense relating to share-based awards with service and/or performance conditions is reversed if the awards are forfeited due to these conditions not being met. Compensation and benefits expense relating to share-based awards with market-based conditions is not reversed if these awards are forfeited based solely on failing to meet such market-based conditions.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periodically assesses forfeiture rates,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share-based incentive plans and awards are described below.</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RSUs generally require future service as a condition for vesting (unless the recipient is then eligible for retirement under the Company’s retirement policy or is a non-executive member of the Board of Directors) and convert into shares of common stock on a one-for-one basis after the stipulated vesting periods. RSUs granted in 2026 vest ratably over three years, which we expect will be the vesting period for all year-end compensation grants going forward. RSUs granted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120" w:after="283"/>
        <w:jc w:val="both"/>
        <w:rPr/>
      </w:pPr>
      <w:r>
        <w:rPr>
          <w:rFonts w:ascii="Times New Roman;serif" w:hAnsi="Times New Roman;serif"/>
          <w:b w:val="false"/>
          <w:color w:val="000000"/>
          <w:sz w:val="20"/>
        </w:rPr>
        <w:t>to 2026 vest generally, one-third after two years and the remaining two-thirds after the third year.</w:t>
      </w:r>
      <w:r>
        <w:rPr>
          <w:color w:val="000000"/>
        </w:rPr>
        <w:t xml:space="preserve"> </w:t>
      </w:r>
      <w:r>
        <w:rPr>
          <w:rFonts w:ascii="Times New Roman;serif" w:hAnsi="Times New Roman;serif"/>
          <w:b w:val="false"/>
          <w:color w:val="000000"/>
          <w:sz w:val="20"/>
        </w:rPr>
        <w:t>The grant date fair value of the RSUs, net of an estimated forfeiture rate, is expensed over the requisite service periods under the straight-line attribution method and is adjusted for actual forfeitures over such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RSUs generally include a dividend participation right during the applicable vesting period, which is payable in additional units. During the six month period ended June 30, 2026, dividend participation rights required the issuance of an aggregate 442,243 units of RSUs and the associated aggregate charge to “retained earnings” (with a corresponding credit to “additional paid-in-capital”) was $21,020.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RSUs that settled during the six month period ended June 30, 2026, the Company satisfied its minimum statutory tax withholding requirements in lieu of delivering 2,524,123 shares of common stock during such six month period. Accordingly, 3,511,507 shares of common stock held by the Company were delivered during the six month period ended June 30,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activity relating to RSUs during the six month period ended June 30, 2026:</w:t>
      </w:r>
    </w:p>
    <w:tbl>
      <w:tblPr>
        <w:tblW w:w="8258" w:type="dxa"/>
        <w:jc w:val="left"/>
        <w:tblInd w:w="0" w:type="dxa"/>
        <w:tblLayout w:type="fixed"/>
        <w:tblCellMar>
          <w:top w:w="28" w:type="dxa"/>
          <w:left w:w="28" w:type="dxa"/>
          <w:bottom w:w="28" w:type="dxa"/>
          <w:right w:w="28" w:type="dxa"/>
        </w:tblCellMar>
      </w:tblPr>
      <w:tblGrid>
        <w:gridCol w:w="2063"/>
        <w:gridCol w:w="1815"/>
        <w:gridCol w:w="1821"/>
        <w:gridCol w:w="540"/>
        <w:gridCol w:w="541"/>
        <w:gridCol w:w="161"/>
        <w:gridCol w:w="109"/>
        <w:gridCol w:w="109"/>
        <w:gridCol w:w="109"/>
        <w:gridCol w:w="213"/>
        <w:gridCol w:w="622"/>
        <w:gridCol w:w="155"/>
      </w:tblGrid>
      <w:tr>
        <w:trPr/>
        <w:tc>
          <w:tcPr>
            <w:tcW w:w="2063"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17,963,773 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Granted (including 442,243 RSUs relating to dividend participation)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8,484,681 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(537,626)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(6,035,630)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19,875,198 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RSUs granted in the six month period ended June 30, 2025 was $53.28.</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estimated unrecognized compensation expense related to RSUs was $515,575. The Company expects to expense such amounts over a weighted-average period of approximately 2.1 years subsequent to June 30, 2026.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PIPRs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PIPRs are equity incentive awards that, subject to certain vesting and other conditions described below, may be exchanged for shares of common stock pursuant to the 2018 Plan. They are a class of membership interests in Lazard Group that are intended to qualify as “profits interests” for U.S. federal income tax purposes and are recorded as noncontrolling interests within stockholders’ equity in the Company’s condensed consolidated statements of financial condition until they are exchanged into common stock, at which time there is a reclassification to additional paid-in-capital.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PIPRs, with the exception of Stock Price PIPRs (“SP-PIPRs”), as explained below, generally provide for vesting approximately three years following the grant date, so long as applicable vesting and other conditions have been satisfied. PIPRs are subject to continued employment and other conditions and restrictions and are forfeited if those conditions and restrictions are not fulfilled.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recipient generally realizes value from PIPRs only to the extent that applicable vesting and other conditions are satisfied, and an amount of economic appreciation in the assets of Lazard Group occurs as necessary to satisfy certain partnership tax rules (referred to as the “Minimum Value Condition”), otherwise the PIPRs will be forfeited. Upon satisfaction of such conditions, PIPRs that are in parity with the value of common stock will be exchanged on a one-for-one basis for shares of common stock. If forfeited based solely on failing to meet the Minimum Value Condition, or, if applicable, common stock price milestones as described below, the associated compensation expense would not be reversed.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PIPR awards are subject to service-based vesting conditions. In addition to PIPR awards with only service based vesting conditions (“Ordinary PIPRs”) granted to certain of our executive officers and a limited number of employees, the Company has granted the following types of PIPRs to certain of our executive officers, that are subject to additional vesting and market-based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Total Shareholder Return PIPRs (“TSR-PIPRs”) are subject to service-based vesting conditions and have a payout based on the Company’s relative three-year total shareholder return versus the S&amp;P 1500. The payout ranges between 0% and 150% and is capped at 100% if absolute TSR is negative.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SP-PIPRs, which are subject to service-based vesting conditions and common stock price milestones and are eligible to vest in three tranches.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SP-PIPRs are eligible to vest in three tranches (each, a “Tranche”) based on the achievement of service conditions and Tranche-specific common stock price milestones measured as of a specified anniversary of the original grant date, as described below. Their aggregate fair value at the original grant date, which, based on the estimated probability of achieving the common stock price milestones was approximately $33,900, is expensed over the requisite service periods.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Tranche, as described below, is subject to the executive’s continued employment through the applicable anniversary of the date of grant, or earlier in certain circumstances, and requires that the applicable common stock price milestone is sustained for any 30 consecutive day period prior to the anniversary of the date of grant of the applicable Tranche (the “Expiration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SP-PIPRs vest: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20% if, during the three years following the date of grant, the common stock price has appreciated 25% above the average trailing 30 consecutive day stock price preceding the date of grant (the “Grant Date Stock Price”);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40% if, during the five years following the date of grant, the common stock price has appreciated 50% above the Grant Date Stock Price;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40% if, during the seven years following the date of grant, the common stock price has appreciated 100% above the Grant Date Stock Price.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service conditions and common stock price milestones, as described above, are not achieved as of the Expiration Date, all SP-PIPRs in such Tranche will be forfeited.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activity relating to all PIPRs during the six month period ended June 30, 2026:</w:t>
      </w:r>
    </w:p>
    <w:tbl>
      <w:tblPr>
        <w:tblW w:w="7316" w:type="dxa"/>
        <w:jc w:val="left"/>
        <w:tblInd w:w="0" w:type="dxa"/>
        <w:tblLayout w:type="fixed"/>
        <w:tblCellMar>
          <w:top w:w="28" w:type="dxa"/>
          <w:left w:w="28" w:type="dxa"/>
          <w:bottom w:w="28" w:type="dxa"/>
          <w:right w:w="28" w:type="dxa"/>
        </w:tblCellMar>
      </w:tblPr>
      <w:tblGrid>
        <w:gridCol w:w="782"/>
        <w:gridCol w:w="688"/>
        <w:gridCol w:w="690"/>
        <w:gridCol w:w="524"/>
        <w:gridCol w:w="526"/>
        <w:gridCol w:w="161"/>
        <w:gridCol w:w="109"/>
        <w:gridCol w:w="109"/>
        <w:gridCol w:w="109"/>
        <w:gridCol w:w="213"/>
        <w:gridCol w:w="622"/>
        <w:gridCol w:w="110"/>
        <w:gridCol w:w="109"/>
        <w:gridCol w:w="109"/>
        <w:gridCol w:w="109"/>
        <w:gridCol w:w="309"/>
        <w:gridCol w:w="309"/>
        <w:gridCol w:w="313"/>
        <w:gridCol w:w="118"/>
        <w:gridCol w:w="118"/>
        <w:gridCol w:w="118"/>
        <w:gridCol w:w="228"/>
        <w:gridCol w:w="667"/>
        <w:gridCol w:w="166"/>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Ordinary PIPRs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TSR-PIPRs/ SP-PIPRs</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 xml:space="preserve">Fair Value </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2026</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4,084,294 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2,250,000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1,239,506 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95,380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(236,996)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(1,213,015)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121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4,110,785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2,108,384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values shown above represent the weighted average as of grant date. The weighted-average grant date fair value of ordinary PIPRs granted in the six month period ended June 30, 2025 was $44.93.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Compensation expense recognized for PIPRs is determined by multiplying the number of shares of common stock underlying such awards by the grant date fair value. As of June 30, 2026, the total estimated unrecognized compensation expense of all profits interest participation rights was $59,670 and the Company expects to expense such amount over a weighted-average period of approximately 1.9 years subsequent to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LFI and Other Similar Deferred Compensation Arrangements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LFI and other similar deferred compensation arrangements, granted to eligible employees, which generally require future service as a condition for vesting (which, for awards granted before 2026 and those granted in 2026, are generally similar to the respective vesting periods for RSUs), the Company records a prepaid compensation asset and a corresponding compensation liability on the grant date based upon the fair value of the award. The prepaid asset is amortized over the applicable requisite service periods under the straight-line attribution method and is charged to “compensation and benefits” expense within the Company’s condensed consolidated statements of operations. LFI and other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activity relating to LFI and other similar deferred compensation arrangements during the six month period ended June 30, 2026:</w:t>
      </w:r>
    </w:p>
    <w:tbl>
      <w:tblPr>
        <w:tblW w:w="6604" w:type="dxa"/>
        <w:jc w:val="left"/>
        <w:tblInd w:w="0" w:type="dxa"/>
        <w:tblLayout w:type="fixed"/>
        <w:tblCellMar>
          <w:top w:w="28" w:type="dxa"/>
          <w:left w:w="28" w:type="dxa"/>
          <w:bottom w:w="28" w:type="dxa"/>
          <w:right w:w="28" w:type="dxa"/>
        </w:tblCellMar>
      </w:tblPr>
      <w:tblGrid>
        <w:gridCol w:w="1428"/>
        <w:gridCol w:w="1256"/>
        <w:gridCol w:w="1261"/>
        <w:gridCol w:w="231"/>
        <w:gridCol w:w="790"/>
        <w:gridCol w:w="120"/>
        <w:gridCol w:w="109"/>
        <w:gridCol w:w="109"/>
        <w:gridCol w:w="109"/>
        <w:gridCol w:w="211"/>
        <w:gridCol w:w="826"/>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Prepaid</w:t>
              <w:br/>
              <w:t>Compensation</w:t>
              <w:b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Compensation</w:t>
              <w:br/>
              <w:t>Liability</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January 1, 2026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the impact of forfeitures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(33,938)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underlying investments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48,234 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amortization of the prepaid compensation asset will generally be recognized over a weighted average period of approximately 1.8 years subsequent to June 30,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impact of LFI and other similar deferred compensation arrangements on “compensation and benefits” expense within the accompanying condensed consolidated statements of operations for the three month and six month periods ended June 30, 2026 and 2025:</w:t>
      </w:r>
    </w:p>
    <w:tbl>
      <w:tblPr>
        <w:tblW w:w="9435" w:type="dxa"/>
        <w:jc w:val="left"/>
        <w:tblInd w:w="0" w:type="dxa"/>
        <w:tblLayout w:type="fixed"/>
        <w:tblCellMar>
          <w:top w:w="28" w:type="dxa"/>
          <w:left w:w="28" w:type="dxa"/>
          <w:bottom w:w="28" w:type="dxa"/>
          <w:right w:w="28" w:type="dxa"/>
        </w:tblCellMar>
      </w:tblPr>
      <w:tblGrid>
        <w:gridCol w:w="1538"/>
        <w:gridCol w:w="1350"/>
        <w:gridCol w:w="135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the impact of forfeitures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underlying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Cash Retention Awards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granted and paid cash retention awards that are subject to repayment in full in connection with a termination of employment for cause or resignation without good reason on or prior to the three-year service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these awards, the Company recorded a prepaid compensation asset on the grant date based upon the amount paid. The prepaid compensation asset is amortized over the requisite service period beginning on the grant date and is charged to “compensation and benefits” expense in the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for the three month and six month periods ended June 30, 2026 was $3,153 and $7,154, respectively and $4,079 and $7,772 for the three month and six month periods ended June 30, 2025, respectively. The remaining prepaid compensation asset was $10,061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14.    EMPLOYEE BENEFIT PLANS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expenses-other” for the other components of benefit costs on the condensed consolidated statements of operations.</w:t>
      </w:r>
    </w:p>
    <w:p>
      <w:pPr>
        <w:pStyle w:val="TextBody"/>
        <w:bidi w:val="0"/>
        <w:spacing w:lineRule="auto" w:line="288" w:before="240" w:after="283"/>
        <w:ind w:left="0" w:right="0" w:firstLine="720"/>
        <w:jc w:val="both"/>
        <w:rPr/>
      </w:pPr>
      <w:r>
        <w:rPr>
          <w:rFonts w:ascii="Times New Roman;serif" w:hAnsi="Times New Roman;serif"/>
          <w:b/>
          <w:i/>
          <w:color w:val="000000"/>
          <w:sz w:val="20"/>
        </w:rPr>
        <w:t>Employer Contributions to Pension Plans</w:t>
      </w:r>
      <w:r>
        <w:rPr>
          <w:color w:val="000000"/>
        </w:rPr>
        <w:t>—</w:t>
      </w:r>
      <w:r>
        <w:rPr>
          <w:rFonts w:ascii="Times New Roman;serif" w:hAnsi="Times New Roman;serif"/>
          <w:b w:val="false"/>
          <w:color w:val="000000"/>
          <w:sz w:val="20"/>
        </w:rPr>
        <w:t>The Company’s funding policy for its U.S. and non-U.S. pension plans is to fund when required or when applicable upon an agreement with the plans’ trustees. Management also evaluates from time to time whether to make voluntary contributions to the plans.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net periodic benefit cost related to the Company’s pension plans for the three month and six month periods ended June 30, 2026 and 2025:</w:t>
      </w:r>
    </w:p>
    <w:tbl>
      <w:tblPr>
        <w:tblW w:w="5908" w:type="dxa"/>
        <w:jc w:val="left"/>
        <w:tblInd w:w="0" w:type="dxa"/>
        <w:tblLayout w:type="fixed"/>
        <w:tblCellMar>
          <w:top w:w="28" w:type="dxa"/>
          <w:left w:w="28" w:type="dxa"/>
          <w:bottom w:w="28" w:type="dxa"/>
          <w:right w:w="28" w:type="dxa"/>
        </w:tblCellMar>
      </w:tblPr>
      <w:tblGrid>
        <w:gridCol w:w="1303"/>
        <w:gridCol w:w="1147"/>
        <w:gridCol w:w="1150"/>
        <w:gridCol w:w="217"/>
        <w:gridCol w:w="634"/>
        <w:gridCol w:w="112"/>
        <w:gridCol w:w="112"/>
        <w:gridCol w:w="112"/>
        <w:gridCol w:w="112"/>
        <w:gridCol w:w="217"/>
        <w:gridCol w:w="634"/>
        <w:gridCol w:w="158"/>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Pension Plans</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Net Periodic Benefit Cost:</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loss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844" w:type="dxa"/>
        <w:jc w:val="left"/>
        <w:tblInd w:w="0" w:type="dxa"/>
        <w:tblLayout w:type="fixed"/>
        <w:tblCellMar>
          <w:top w:w="28" w:type="dxa"/>
          <w:left w:w="28" w:type="dxa"/>
          <w:bottom w:w="28" w:type="dxa"/>
          <w:right w:w="28" w:type="dxa"/>
        </w:tblCellMar>
      </w:tblPr>
      <w:tblGrid>
        <w:gridCol w:w="1303"/>
        <w:gridCol w:w="1147"/>
        <w:gridCol w:w="1150"/>
        <w:gridCol w:w="211"/>
        <w:gridCol w:w="616"/>
        <w:gridCol w:w="109"/>
        <w:gridCol w:w="109"/>
        <w:gridCol w:w="109"/>
        <w:gridCol w:w="109"/>
        <w:gridCol w:w="211"/>
        <w:gridCol w:w="616"/>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Pension Plans</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Net Periodic Benefit Cost: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 xml:space="preserve">15.    INCOME TAXES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Lazard, Inc. is subject to U.S. federal income taxes on all its income and, through its subsidiaries, is also subject to state and local taxes on its income apportioned to various state and local jurisdictions. Lazard Group LLC operates principally through subsidiary corporations including those domiciled outside the U.S. that are subject to local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taxes in foreign jurisdictions. In addition, Lazard Group LLC is subject to Unincorporated Business Tax (“UBT”) attributable to its operations apportioned to New York City.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income tax provisions of $23,871 and $12,882 for the three month and six month periods ended June 30, 2026, respectively, and $31,764 and $24,410 for the three month and six month periods ended June 30, 2025, respectively, representing effective tax rates of 63.5%, 10.1%, 34.1%, and 16.5% respectively. The difference between the U.S. federal statutory rate of 21.0% and the effective tax rates reflected above principally relates to (i) the tax impact of differences in the value of share-based incentive compensation that vested in the first quarter and other discrete items, (ii) taxes payable to foreign jurisdictions that are not offset against U.S. income taxes, (iii) change in the U.S. federal valuation allowance affecting the provision for income taxes and (iv) U.S. state and local taxes, which are incremental to the U.S. federal statutory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16.    NET INCOME PER SHARE OF COMMON STOCK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utilize the “two-class” method of computing basic and diluted net income per share because the Company issued certain PIPRs which are treated as participating securities.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basic and diluted net income per share calculations using the “two-class” method for the three month and six month periods ended June 30, 2026 and 2025 are presented below:</w:t>
      </w:r>
    </w:p>
    <w:tbl>
      <w:tblPr>
        <w:tblW w:w="10205" w:type="dxa"/>
        <w:jc w:val="left"/>
        <w:tblInd w:w="0" w:type="dxa"/>
        <w:tblLayout w:type="fixed"/>
        <w:tblCellMar>
          <w:top w:w="28" w:type="dxa"/>
          <w:left w:w="28" w:type="dxa"/>
          <w:bottom w:w="28" w:type="dxa"/>
          <w:right w:w="28" w:type="dxa"/>
        </w:tblCellMar>
      </w:tblPr>
      <w:tblGrid>
        <w:gridCol w:w="1739"/>
        <w:gridCol w:w="1351"/>
        <w:gridCol w:w="1359"/>
        <w:gridCol w:w="301"/>
        <w:gridCol w:w="885"/>
        <w:gridCol w:w="109"/>
        <w:gridCol w:w="109"/>
        <w:gridCol w:w="109"/>
        <w:gridCol w:w="109"/>
        <w:gridCol w:w="231"/>
        <w:gridCol w:w="790"/>
        <w:gridCol w:w="120"/>
        <w:gridCol w:w="109"/>
        <w:gridCol w:w="109"/>
        <w:gridCol w:w="109"/>
        <w:gridCol w:w="211"/>
        <w:gridCol w:w="826"/>
        <w:gridCol w:w="109"/>
        <w:gridCol w:w="109"/>
        <w:gridCol w:w="109"/>
        <w:gridCol w:w="109"/>
        <w:gridCol w:w="211"/>
        <w:gridCol w:w="826"/>
        <w:gridCol w:w="156"/>
      </w:tblGrid>
      <w:tr>
        <w:trPr/>
        <w:tc>
          <w:tcPr>
            <w:tcW w:w="17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Lazard</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55,346 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115,721 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earnings attributable to participating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Lazard - basic</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54,442 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113,008 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earnings attributable to participating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Lazard - diluted</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54,442 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113,008 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outstanding</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98,340,850 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94,242,231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96,921,974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92,776,709</w:t>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issuable on a non-contingent basis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3,292,088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3,486,923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3,618,162</w:t>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outstanding - basic</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101,357,540 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97,534,319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100,408,897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96,394,871</w:t>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incremental shares of common stock issuable from share-based incentive compensation (a)</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7,377,314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6,655,766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8,475,322</w:t>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outstanding - diluted</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107,341,353 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104,911,633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107,064,663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104,870,193</w:t>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Lazard per share of common stock:</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0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2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aggregate weighted average number of incremental shares of common stock issuable from PIPRs for the three month and six month periods ended June 30, 2026 of 1,665,133 and 2,082,769, respectively, and for the three month and six month periods ended June 30, 2025 of 1,570,105 and 2,192,413, respectively, that could be potentially dilutive in future periods, have been excluded from the computation of diluted net income per share as the effect would be antidilutive in the respective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17.    RELATED PARTIES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Sponsored Funds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serves as an investment advisor for certain affiliated investment companies and fund entities and receives management fees and, for the alternative investment funds, performance-based incentive fees for providing such services. Asset management fees relating to such services were $190,949 and $379,232 for the three month and six month periods ended June 30, 2026, respectively, and $147,367 and $285,425 for the three month and six month periods June 30, 2025, respectively, and are included in “asset management fees” on the condensed consolidated statements of operations. Of such amounts, $36,241 and $86,262 remained as receivables at June 30, 2026 and December 31, 2025, respectively, and are included in “fees receivable” on the condensed consolidated statements of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Second Amended and Restated Tax Receivable Agreement, dated as of October 26, 2015 (the “TRA”), between Lazard and LTBP Trust, a Delaware statutory trust (the “Trust”), provides for the payment by our subsidiaries to the Trust of (i) approximately 45% of the amount of cash savings, if any, in U.S. federal, state and local income tax or franchise tax that we actually realize as a result of the increases in the tax basis of certain assets and of certain other tax benefits related to the TRA, and (ii) an amount that we currently expect will equal 85% of the cash tax savings that may arise from tax basis increases attributable to payments under the TRA. Our subsidiaries expect to benefit from the balance of cash savings, if any, in income tax that our subsidiaries realize from such tax basis increases. Any amount paid by our subsidiaries to the Trust will generally be distributed pro rata to the owners of the Trust, who include one of our executive officers.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the TRA, cash savings in income and franchise tax will be computed by comparing our subsidiaries’ actual income and franchise tax liability to the amount of such taxes that our subsidiaries would have been required to pay had there been no increase in the tax basis of certain assets of Lazard Group and had our subsidiaries not entered into the TRA. The term of the TRA will continue until approximately 2033 or, if earlier, until all relevant tax benefits have been utilized or expired.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 of the TRA liability is an undiscounted amount based upon current tax laws, the current structure of the Company and various assumptions regarding potential future operating profitability. The assumptions reflected in the estimate involve significant judgment, and as such, the actual amount and timing of payments under the TRA could differ materially from our estimates. Any changes in the amount of the estimated liability would be recorded as a non-compensation expense in the condensed consolidated statements of operations. Adjustments, if necessary, to the related deferred tax assets would be recorded through the “provision (benefit) for income taxes”.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cumulative liability relating to our obligations under the TRA as of June 30, 2026 and December 31, 2025 was $46,814 and $57,051, respectively, and is recorded in “other liabilities” on the condensed consolidated statements of financial condition.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12 for information regarding related party transactions pertaining to shares repurchased from certain of our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18.    REGULATORY AUTHORITIES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LFNY is a U.S. registered broker-dealer and is subject to the net capital requirements of Rule 15c3-1 under the Exchange Act. Under the basic method permitted by this rule, the minimum required net capital, as defined, is a specified fixed percentage (6 2/3%) of total aggregate indebtedness recorded in LFNY’s Financial and Operational Combined Uniform Single (“FOCUS”) report filed with the Financial Industry Regulatory Authority (“FINRA”), or $5, whichever is greater. In addition, the ratio of aggregate indebtedness (as defined) to net capital may not exceed 15:1. At June 30, 2026, LFNY’s regulatory net capital was $115,522, which exceeded the minimum requirement by $111,986. LFNY’s aggregate indebtedness to net capital ratio was 0.46:1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U.K. subsidiaries of the Company, including LCL, Lazard Fund Managers Limited and Lazard Asset Management Limited (collectively, the “U.K. Subsidiaries”) are regulated by the Financial Conduct Authority. At June 30, 2026, the aggregate regulatory net capital of the U.K. Subsidiaries was $111,932, which exceeded the minimum requirement by $35,985.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exercised through LFB and other subsidiaries of CFLF, primarily LFG, also are subject to regulation and supervision by the Autorité des Marchés Financiers. At March 31, 2026, the consolidated regulatory net capital of CFLF was $160,712, which exceeded the minimum requirement set for regulatory capital levels by $56,906. In addition, pursuant to the consolidated supervision rules in the European Union, LFB, in particular, as a French credit institution, is required to be supervised by a regulatory body, either in the U.S. or in the European Union. LFB and certain other non-Financial Advisory subsidiaries of the Company in the European Union (referred to herein, on a combined basis, as the “combined European regulated group”) is subject to consolidated supervision based on an agreement with the ACPR and under such rules is required to comply with minimum requirements for regulatory net capital. At March 31, 2026, the regulatory net capital of the combined European regulated group was $183,205, which exceeded the minimum requirement set for regulatory capital levels by $50,604. Additionally, the combined European regulated group, together with our Financial Advisory entities in the European Union, is required to perform an annual risk assessment and provide certain other information on a periodic basis.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other U.S. and non-U.S. subsidiaries are subject to various capital adequacy requirements promulgated by various regulatory and exchange authorities in the countries in which they operate. At June 30, 2026, for those subsidiaries with regulatory capital requirements, their aggregate net capital was $105,916, which exceeded the minimum required capital by $72,086.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each of these subsidiaries individually was in compliance with its regulatory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19.    SEGMENT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reportable segments offer different products and services and are managed separately, as different levels and types of expertise are required to effectively manage the segments’ transactions. Each segment is reviewed by the Chief Operating Decision Maker (the “CODM”) to determine the allocation of resources and to assess its performance. The Company’s reportable segments are Financial Advisory, Asset Management, and Corporate, which are described in Note 1.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CODM is the Company’s Chief Executive Officer. The CODM assesses the segments’ performance by each segment’s adjusted operating income (loss). Adjusted operating income (loss) is also used by the CODM to allocate compensation and non-compensation related resources to each segment.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provides selected financial information about the Company’s segments, including adjusted compensation and benefits expense and adjusted non-compensation expense (both of which are significant expense categories on which the CODM is regularly provided information), other segment items, and adjusted operating income (loss).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compensation and benefits expense and adjusted non-compensation expense include costs directly incurred by each segment, with certain adjustments. Adjusted non-compensation expense includes expenses for occupancy and equipment, marketing and business development, technology and information services, professional services, fund administration and outsourced services, and other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segment items include certain adjustments to calculate adjusted operating income (loss),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Noncontrolling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1"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Certain distribution, introducer and management fees paid to third parties and reimbursable deal costs;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Provision for credit losses;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fair value of investments held in connection with LFI and other similar deferred compensation arrangements;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Interest expense, excluding interest expense incurred by LFB;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Gain on sale and deconsolidation of Edgewater.</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Inter-segment revenues are not material for all periods presented.</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does not regularly receive asset information by segment and does not use segment asset information to assess performance or allocate resources.</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Segment revenue includes revenue from contracts with customers and other revenue.</w:t>
      </w:r>
    </w:p>
    <w:p>
      <w:pPr>
        <w:pStyle w:val="TextBody"/>
        <w:bidi w:val="0"/>
        <w:spacing w:before="240" w:after="283"/>
        <w:ind w:left="0" w:right="0" w:firstLine="720"/>
        <w:jc w:val="left"/>
        <w:rPr/>
      </w:pPr>
      <w:r>
        <w:rPr/>
      </w:r>
    </w:p>
    <w:tbl>
      <w:tblPr>
        <w:tblW w:w="9788" w:type="dxa"/>
        <w:jc w:val="left"/>
        <w:tblInd w:w="0" w:type="dxa"/>
        <w:tblLayout w:type="fixed"/>
        <w:tblCellMar>
          <w:top w:w="28" w:type="dxa"/>
          <w:left w:w="28" w:type="dxa"/>
          <w:bottom w:w="28" w:type="dxa"/>
          <w:right w:w="28" w:type="dxa"/>
        </w:tblCellMar>
      </w:tblPr>
      <w:tblGrid>
        <w:gridCol w:w="1231"/>
        <w:gridCol w:w="1082"/>
        <w:gridCol w:w="1092"/>
        <w:gridCol w:w="279"/>
        <w:gridCol w:w="1050"/>
        <w:gridCol w:w="155"/>
        <w:gridCol w:w="109"/>
        <w:gridCol w:w="109"/>
        <w:gridCol w:w="109"/>
        <w:gridCol w:w="275"/>
        <w:gridCol w:w="1039"/>
        <w:gridCol w:w="155"/>
        <w:gridCol w:w="109"/>
        <w:gridCol w:w="109"/>
        <w:gridCol w:w="109"/>
        <w:gridCol w:w="196"/>
        <w:gridCol w:w="721"/>
        <w:gridCol w:w="109"/>
        <w:gridCol w:w="109"/>
        <w:gridCol w:w="109"/>
        <w:gridCol w:w="109"/>
        <w:gridCol w:w="196"/>
        <w:gridCol w:w="736"/>
        <w:gridCol w:w="491"/>
      </w:tblGrid>
      <w:tr>
        <w:trPr/>
        <w:tc>
          <w:tcPr>
            <w:tcW w:w="123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21"/>
            <w:tcBorders/>
            <w:tcMar>
              <w:top w:w="0" w:type="dxa"/>
              <w:left w:w="0" w:type="dxa"/>
              <w:bottom w:w="0" w:type="dxa"/>
              <w:right w:w="0" w:type="dxa"/>
            </w:tcMar>
            <w:vAlign w:val="center"/>
          </w:tcPr>
          <w:p>
            <w:pPr>
              <w:pStyle w:val="TableContents"/>
              <w:bidi w:val="0"/>
              <w:spacing w:lineRule="auto" w:line="288" w:before="0" w:after="283"/>
              <w:ind w:left="0" w:right="0" w:firstLine="90"/>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 Advisory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 U.S. GAAP Basis</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450,167 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351,031 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807,669 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Compensation and Benefits Expense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312,735 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185,287 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549,571 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Non-compensation Expense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171,720 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(21,203)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(Loss)</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73,443 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74,425 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(82,693)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65,175 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Disclosures:</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Interest income (included in net revenue) </w:t>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Depreciation and amortization of property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(included in adjusted non-compensation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expense)</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43" w:type="dxa"/>
        <w:jc w:val="left"/>
        <w:tblInd w:w="0" w:type="dxa"/>
        <w:tblLayout w:type="fixed"/>
        <w:tblCellMar>
          <w:top w:w="28" w:type="dxa"/>
          <w:left w:w="28" w:type="dxa"/>
          <w:bottom w:w="28" w:type="dxa"/>
          <w:right w:w="28" w:type="dxa"/>
        </w:tblCellMar>
      </w:tblPr>
      <w:tblGrid>
        <w:gridCol w:w="1231"/>
        <w:gridCol w:w="1082"/>
        <w:gridCol w:w="1092"/>
        <w:gridCol w:w="279"/>
        <w:gridCol w:w="1050"/>
        <w:gridCol w:w="155"/>
        <w:gridCol w:w="109"/>
        <w:gridCol w:w="109"/>
        <w:gridCol w:w="109"/>
        <w:gridCol w:w="275"/>
        <w:gridCol w:w="1039"/>
        <w:gridCol w:w="155"/>
        <w:gridCol w:w="109"/>
        <w:gridCol w:w="109"/>
        <w:gridCol w:w="109"/>
        <w:gridCol w:w="196"/>
        <w:gridCol w:w="811"/>
        <w:gridCol w:w="109"/>
        <w:gridCol w:w="109"/>
        <w:gridCol w:w="109"/>
        <w:gridCol w:w="109"/>
        <w:gridCol w:w="196"/>
        <w:gridCol w:w="871"/>
        <w:gridCol w:w="221"/>
      </w:tblGrid>
      <w:tr>
        <w:trPr/>
        <w:tc>
          <w:tcPr>
            <w:tcW w:w="123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21"/>
            <w:tcBorders/>
            <w:tcMar>
              <w:top w:w="0" w:type="dxa"/>
              <w:left w:w="0" w:type="dxa"/>
              <w:bottom w:w="0" w:type="dxa"/>
              <w:right w:w="0" w:type="dxa"/>
            </w:tcMar>
            <w:vAlign w:val="center"/>
          </w:tcPr>
          <w:p>
            <w:pPr>
              <w:pStyle w:val="TableContents"/>
              <w:bidi w:val="0"/>
              <w:spacing w:lineRule="auto" w:line="288" w:before="0" w:after="283"/>
              <w:ind w:left="0" w:right="0" w:firstLine="90"/>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 Advisory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(Loss) - U.S. GAAP Basis</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809,735 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760,794 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1,564,251 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Compensation and Benefits Expense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582,682 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345,679 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1,020,155 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Non-compensation Expense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110,226 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135,399 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320,395 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(104,802)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(Loss)</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108,580 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159,068 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(148,749)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118,899 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Disclosures:</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Interest income (included in net revenue)</w:t>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15,063 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Depreciation and amortization of property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(included in adjusted non-compensation</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expense)</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15,169 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2"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tbl>
      <w:tblPr>
        <w:tblW w:w="9518" w:type="dxa"/>
        <w:jc w:val="left"/>
        <w:tblInd w:w="0" w:type="dxa"/>
        <w:tblLayout w:type="fixed"/>
        <w:tblCellMar>
          <w:top w:w="28" w:type="dxa"/>
          <w:left w:w="28" w:type="dxa"/>
          <w:bottom w:w="28" w:type="dxa"/>
          <w:right w:w="28" w:type="dxa"/>
        </w:tblCellMar>
      </w:tblPr>
      <w:tblGrid>
        <w:gridCol w:w="1231"/>
        <w:gridCol w:w="1082"/>
        <w:gridCol w:w="1092"/>
        <w:gridCol w:w="279"/>
        <w:gridCol w:w="1050"/>
        <w:gridCol w:w="155"/>
        <w:gridCol w:w="109"/>
        <w:gridCol w:w="109"/>
        <w:gridCol w:w="109"/>
        <w:gridCol w:w="275"/>
        <w:gridCol w:w="1039"/>
        <w:gridCol w:w="155"/>
        <w:gridCol w:w="109"/>
        <w:gridCol w:w="109"/>
        <w:gridCol w:w="109"/>
        <w:gridCol w:w="196"/>
        <w:gridCol w:w="721"/>
        <w:gridCol w:w="109"/>
        <w:gridCol w:w="109"/>
        <w:gridCol w:w="109"/>
        <w:gridCol w:w="109"/>
        <w:gridCol w:w="196"/>
        <w:gridCol w:w="736"/>
        <w:gridCol w:w="221"/>
      </w:tblGrid>
      <w:tr>
        <w:trPr/>
        <w:tc>
          <w:tcPr>
            <w:tcW w:w="123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 Advisory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 U.S. GAAP Basis</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497,306 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292,478 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795,997 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Compensation and Benefits Expense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317,036 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139,655 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504,263 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Non-compensation Expense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157,371 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(26,131)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(Loss)</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121,897 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65,239 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108,232 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Disclosures:</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Interest income (included in net revenue)</w:t>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9,207 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Depreciation and amortization of property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(included in adjusted non-compensation</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expense)</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43" w:type="dxa"/>
        <w:jc w:val="left"/>
        <w:tblInd w:w="0" w:type="dxa"/>
        <w:tblLayout w:type="fixed"/>
        <w:tblCellMar>
          <w:top w:w="28" w:type="dxa"/>
          <w:left w:w="28" w:type="dxa"/>
          <w:bottom w:w="28" w:type="dxa"/>
          <w:right w:w="28" w:type="dxa"/>
        </w:tblCellMar>
      </w:tblPr>
      <w:tblGrid>
        <w:gridCol w:w="1231"/>
        <w:gridCol w:w="1082"/>
        <w:gridCol w:w="1092"/>
        <w:gridCol w:w="279"/>
        <w:gridCol w:w="1050"/>
        <w:gridCol w:w="155"/>
        <w:gridCol w:w="109"/>
        <w:gridCol w:w="109"/>
        <w:gridCol w:w="109"/>
        <w:gridCol w:w="275"/>
        <w:gridCol w:w="1039"/>
        <w:gridCol w:w="155"/>
        <w:gridCol w:w="109"/>
        <w:gridCol w:w="109"/>
        <w:gridCol w:w="109"/>
        <w:gridCol w:w="196"/>
        <w:gridCol w:w="811"/>
        <w:gridCol w:w="109"/>
        <w:gridCol w:w="109"/>
        <w:gridCol w:w="109"/>
        <w:gridCol w:w="109"/>
        <w:gridCol w:w="196"/>
        <w:gridCol w:w="871"/>
        <w:gridCol w:w="221"/>
      </w:tblGrid>
      <w:tr>
        <w:trPr/>
        <w:tc>
          <w:tcPr>
            <w:tcW w:w="123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 Advisory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(Loss) - U.S. GAAP Basis</w:t>
            </w:r>
          </w:p>
        </w:tc>
        <w:tc>
          <w:tcPr>
            <w:tcW w:w="27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864,665 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580,578 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1,444,048 </w:t>
            </w:r>
          </w:p>
        </w:tc>
        <w:tc>
          <w:tcPr>
            <w:tcW w:w="22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Compensation and Benefits Expense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557,004 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925,549 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Non-compensation Expense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122,808 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305,253 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(30,997)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(Loss)</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198,911 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127,695 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182,249 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Disclosures:</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Interest income (included in net revenue)</w:t>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20,869 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Depreciation and amortization of property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(included in adjusted non-compensation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expense) </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provides a reconciliation of the Company's consolidated adjusted operating income to the Company’s consolidated U.S. GAAP operating income.</w:t>
      </w:r>
    </w:p>
    <w:tbl>
      <w:tblPr>
        <w:tblW w:w="9405" w:type="dxa"/>
        <w:jc w:val="left"/>
        <w:tblInd w:w="0" w:type="dxa"/>
        <w:tblLayout w:type="fixed"/>
        <w:tblCellMar>
          <w:top w:w="28" w:type="dxa"/>
          <w:left w:w="28" w:type="dxa"/>
          <w:bottom w:w="28" w:type="dxa"/>
          <w:right w:w="28" w:type="dxa"/>
        </w:tblCellMar>
      </w:tblPr>
      <w:tblGrid>
        <w:gridCol w:w="1560"/>
        <w:gridCol w:w="1371"/>
        <w:gridCol w:w="1374"/>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182,249 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related to noncontrolling </w:t>
              <w:br/>
              <w:t>   interests and similar arrangements (a)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and deconsolidation of Edgewater (c)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Expenses associated with senior management transition</w:t>
            </w:r>
            <w:r>
              <w:rPr>
                <w:color w:val="000000"/>
              </w:rPr>
              <w:t xml:space="preserve"> </w:t>
            </w:r>
            <w:r>
              <w:rPr>
                <w:rFonts w:ascii="Times New Roman;serif" w:hAnsi="Times New Roman;serif"/>
                <w:b w:val="false"/>
                <w:color w:val="000000"/>
                <w:sz w:val="18"/>
              </w:rPr>
              <w:t>(d)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Expenses related to the pending acquisition of Campbell </w:t>
              <w:br/>
              <w:t>   Lutyens (e)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 U.S. GAAP Basis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93,081 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147,716 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7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3"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LAZARD,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(dollars in thousands, except for per share data, unless otherwise noted)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(a)Revenue and expenses related to the consolidation of noncontrolling interests and similar arrangements are excluded because the Company has no economic interest in such amounts.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(b)Interest expense (excluding interest expense incurred by LFB) is added back in determining adjusted net revenue because such expense relates to corporate financing activities and is not considered to be a cost directly related to the revenue of our business.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(c)Represents a non-cash gain on the sale and deconsolidation of the Edgewater management vehicles.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(d)Represents expenses associated with the departure of certain executive officers.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(e)Represents expenses related to the pending acquisition of Campbell Lutyens (see Note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20.    CONSOLIDATED VIEs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LFI Consolidated Funds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consolidated VIEs as of June 30, 2026 and December 31, 2025 include certain funds (“LFI Consolidated Funds”) that were established for the benefit of employees participating in the Company’s existing LFI deferred compensation arrangement. Lazard invests in these funds and is the investment manager and is therefore deemed to have both the power to direct the most significant activities of the funds and the right to receive benefits (or the obligation to absorb losses) that could potentially be significant to these funds. The assets of LFI Consolidated Funds, except as it relates to $11,321 and $36,527 of LFI owned by Lazard Group as of June 30, 2026 and December 31, 2025, respectively, can only be used to settle the obligations of LFI Consolidated Funds.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consolidated VIE assets and liabilities for LFI Consolidated Funds as reflected in the condensed consolidated statements of financial condition consist of the following at June 30, 2026 and December 31, 2025.</w:t>
      </w:r>
    </w:p>
    <w:tbl>
      <w:tblPr>
        <w:tblW w:w="5740" w:type="dxa"/>
        <w:jc w:val="left"/>
        <w:tblInd w:w="0" w:type="dxa"/>
        <w:tblLayout w:type="fixed"/>
        <w:tblCellMar>
          <w:top w:w="28" w:type="dxa"/>
          <w:left w:w="28" w:type="dxa"/>
          <w:bottom w:w="28" w:type="dxa"/>
          <w:right w:w="28" w:type="dxa"/>
        </w:tblCellMar>
      </w:tblPr>
      <w:tblGrid>
        <w:gridCol w:w="992"/>
        <w:gridCol w:w="873"/>
        <w:gridCol w:w="880"/>
        <w:gridCol w:w="228"/>
        <w:gridCol w:w="779"/>
        <w:gridCol w:w="117"/>
        <w:gridCol w:w="109"/>
        <w:gridCol w:w="109"/>
        <w:gridCol w:w="109"/>
        <w:gridCol w:w="273"/>
        <w:gridCol w:w="1072"/>
        <w:gridCol w:w="199"/>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Customers and other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89,677 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115,652 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123" w:type="dxa"/>
        <w:jc w:val="left"/>
        <w:tblInd w:w="0" w:type="dxa"/>
        <w:tblLayout w:type="fixed"/>
        <w:tblCellMar>
          <w:top w:w="28" w:type="dxa"/>
          <w:left w:w="28" w:type="dxa"/>
          <w:bottom w:w="28" w:type="dxa"/>
          <w:right w:w="28" w:type="dxa"/>
        </w:tblCellMar>
      </w:tblPr>
      <w:tblGrid>
        <w:gridCol w:w="1152"/>
        <w:gridCol w:w="1011"/>
        <w:gridCol w:w="1016"/>
        <w:gridCol w:w="211"/>
        <w:gridCol w:w="466"/>
        <w:gridCol w:w="109"/>
        <w:gridCol w:w="109"/>
        <w:gridCol w:w="109"/>
        <w:gridCol w:w="109"/>
        <w:gridCol w:w="211"/>
        <w:gridCol w:w="466"/>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customer payables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4"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Lazard’s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2025 (the “Form 10-K”). All references to “2026,” “2025,” “second quarter,” “first half” or “the period” refer to, as the context requires, the three month and six month periods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Forward-Looking Statements and Certain Factors that May Affect Our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has included in Parts I and II of this Form 10-Q, including in its MD&amp;A, statements that are forward-looking statements. In some cases, forward-looking statements can be identified by the use of forward-looking terminology such as “may,” “might,” “will,” “should,” “could,” “would,” “expect,” “plan,” “anticipate,” “believe,” “estimate,” “predict,” “potential,” “target,” “goal,” “pipeline,”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forward-looking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adverse general economic conditions or adverse conditions in global or regional financial markets;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changes in international trade policies and practices, including the implementation of tariffs, proposed further tariffs, and responses from other jurisdictions, the risk of potential government shutdowns, and the economic impacts, volatility and uncertainty resulting therefrom;</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 decline in our revenues, for example due to a decline in overall M&amp;A activity, our share of the M&amp;A market or our assets under management (“AUM”);</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losses caused by financial or other problems experienced by third parties;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losses due to unidentified or unanticipated risks;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 lack of liquidity, i.e., ready access to funds, for use in our businesses;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competitive pressure on our businesses and on our ability to retain and attract employees at current compensation levels; and</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 xml:space="preserve">changes in relevant tax laws, regulations or treaties or an adverse interpretation of those items.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there can be no assurance that the forward-looking statements included in this Form 10-Q will prove to be accurate or correct. Although we believe the statements reflected in the forward-looking statements are reasonable, we cannot guarantee future results, level of activity, performance, achievements or events.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include, but are not limited to, statements about:</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financial objectives, including the ratios of adjusted compensation and benefits expense to adjusted net revenue;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ability to deploy surplus cash through dividends, share repurchases and debt retirements;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5"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ability to offset stockholder dilution through share repurchases;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possible or assumed future results of operations and operating cash flows;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strategies and investment policies;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financing plans and the availability of short-term borrowing;</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competitive position;</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future acquisitions or other strategic transactions, the pending acquisition of Campbell Lutyens Holdings Limited (“Campbell Lutyens”) (including the consideration to be paid, the expected timing of consummation and the anticipated benefits to the transaction);</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potential growth opportunities available to our businesses;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potential impact of investments in our technology infrastructure and data science capabilities;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recruitment and retention of our managing directors and employees;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potential levels of expense, including adjusted compensation and benefits expense, and adjusted non-compensation expense;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potential operating performance, achievements, productivity improvements, efficiency and cost reduction efforts;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likelihood of success and impact of litigation;</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expected tax rates, including effective tax rates;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changes in interest and tax rates;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potential impact of AI and related third-party technologies on our business, operations, compliance and reputation;</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availability of certain tax benefits, including certain potential deductions;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potential impact of certain events or circumstances on our financial statements and operations;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changes in foreign currency exchange rates;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changes in international trade policies and practices, including the implementation of tariffs, proposed further tariffs, and responses from other jurisdictions, the risk of potential government shutdowns, and the economic impacts, volatility and uncertainty resulting therefrom;</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expected timing and levels of funding of awarded institutional mandates;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pipeline in M&amp;A, restructuring and other financial advisory transactions;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expectations with respect to the economy, the securities markets, the market for mergers, acquisitions, restructuring, private credit and other financial advisory activity, the market for asset management activity and other macroeconomic, regional and industry trends;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effects of competition on our business; and</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impact of new or future legislation and regulation, including tax laws and regulations, on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providing timely and accurate information to the investing public, consistent with our legal and regulatory obligations. To that end, Lazard and its operating companies use their websites and other social media sites to convey information about their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and Lazard Frères Gestion SAS (“LFG”). Investors can link to Lazard, Inc., Lazard Group and their operating company websites through http://www.lazard.com. Our websites and social media sites and the information contained therein or connected thereto shall not be deemed to be incorporated into this Form 10-Q.</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the Company entered into a Sale and Purchase Agreement (the “Purchase Agreement”) pursuant to which the Company agreed to acquire all of the issued share capital of Campbell Lutyens, a global private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6"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markets advisor focused on fund placement, secondary advisory, and GP capital advisory services. The aggregate consideration for the transaction consists of (i) initial closing consideration of $460 million based on the Company’s stock price at announcement, and subject to adjustments for cash, debt and working capital as of closing; (ii) deferred consideration of $115 million payable on the second anniversary of closing; and (iii) earn-out consideration of up to $85 million based on the achievement of defined performance criteria over a multi-year period and subject to continuing employment by certain selling shareholders. Both initial and deferred consideration include portions that are subject to additional lock-up arrangements. The aggregate consideration is payable in a combination of the Company’s common stock, cash, and loan notes, subject to the terms of the Purchase Agreement, including limitations on share issuance.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transaction is expected to close in the second half of 2026, subject to regulatory approvals and other customary closing conditions. Under certain circumstances, if the Purchase Agreement is terminated, the Company may be required to pay Campbell Lutyens a termination fee of $50 million.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Business Summary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Founded in 1848, Lazard is a global financial advisory and asset management firm, with operations in North and South America, Europe, the Middle East, Asia, and Australia. Lazard provides advice on mergers and acquisitions, capital markets and capital solutions, restructuring and liability management, geopolitics, and other strategic matters, as well as asset management and investment solutions to institutions, corporations, governments, partnerships, family offices, and high net worth individuals. We aim to deliver independent, differentiated advice and solutions grounded in contextual alpha—the broad insight and judgment needed to navigate macroeconomic, geopolitical, and other factors that we believe help leaders see beyond what the world sees today.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mission is to provide trusted, independent financial advice and investment solutions to our clients, backed by the intellectual capital of our firm. During our more than 175-year history, we have built a global network of relationships with key decision makers in business, government and investing institutions. This network is both a competitive strength and a powerful resource for Lazard and our clients. As a firm that competes on the quality of our advice, we have two fundamental assets: our people and our reputation.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cyclical businesses across multiple geographies, industries and asset classes. In recent years, we have deepened our sector expertise, enhanced our specialized insights in geopolitical advisory, and increased connectivity to private capital in our financial advisory business. In addition, we have invested in our global investment and distribution platform in our asset management business to further drive performance. Business and government leaders and global investors seek trusted advisors, and we believe that our business model as an independent advisor will continue to create opportunities for us to attract new clients and key personnel.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sources of revenue are derived from activities in the following business segments: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Financial Advisory, which offers corporate, partnership, institutional, government, sovereign and individual clients across the globe a wide array of financial advisory services including M&amp;A advisory, strategic capital solutions, shareholder advisory, sovereign advisory, geopolitical advisory, restructuring and liability management, capital raising and placement, and other strategic matters; and</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Asset Management, which offers a broad range of global investment solutions and investment and wealth management services in equity and fixed income strategies, asset allocation strategies, alternative investments and private equity funds to corporations, public funds, sovereign entities, endowments and foundations, labor funds, financial intermediaries and private wealth clients.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also invest our own capital from time to time to seed our Asset Management strategies. In addition, we record selected other activities in our Corporate segment, including cash management, certain investments, deferred tax assets, outstanding indebtedness and certain contingent obligations.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“Business Segments” below for discussion of the adjusted operating results of our Financial Advisory, Asset Management and Corporate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Business Environment and Outlook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Economic and global financial market conditions can materially affect our financial performance. As described above, our principal sources of revenue are derived from activities in our Financial Advisory and Asset Management business segments. Our Financial Advisory revenues are primarily dependent on the successful completion of merger,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7"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acquisition, sale, restructuring, capital raising or similar transactions, and our Asset Management revenues are primarily driven by the levels of AUM. Weak or uncertain global economic and financial market conditions can create a challenging environment for M&amp;A and capital-raising activity and may also pressure our Asset Management business. However, these conditions may generate increased opportunities for our restructuring business. Additionally, heightened equity market volatility can create compelling investment opportunities for Asset Management.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a competitive, global environment. Geopolitical uncertainty, developments in international trade policies and practices, along with shifting domestic governmental priorities, have increased uncertainty relative to prior years. We believe our broad set of capabilities, diversified business model, and the competitive advantage provided by Lazard’s contextual alpha—our ability to incorporate geopolitical, regulatory, and macroeconomic insight into our advice—position us well to meet evolving client needs across varying economic environments. Unpredictability and the potential for related impacts, however, could create or exacerbate market volatility, contribute to weakened economic and business conditions, and reduce our clients’ ability to finalize decision-making or execute on investment priorities.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Overall, we continue to focus on the development of our business, including the generation of revenue growth, earnings growth and shareholder returns, the evaluation of potential growth opportunities, the investment in new technology to support the development of existing and new business opportunities, the evaluation of other strategic alternatives, the prudent management of our costs and expenses, the efficient use of our assets and the return of capital to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8"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industry-wide market data with respect to our Financial Advisory and Asset Management businesses is included below.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Financial Advisory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global M&amp;A and restructuring industry statistics for completed and announced M&amp;A transactions and completed restructuring transactions. </w:t>
      </w:r>
    </w:p>
    <w:tbl>
      <w:tblPr>
        <w:tblW w:w="10205" w:type="dxa"/>
        <w:jc w:val="left"/>
        <w:tblInd w:w="0" w:type="dxa"/>
        <w:tblLayout w:type="fixed"/>
        <w:tblCellMar>
          <w:top w:w="28" w:type="dxa"/>
          <w:left w:w="28" w:type="dxa"/>
          <w:bottom w:w="28" w:type="dxa"/>
          <w:right w:w="28" w:type="dxa"/>
        </w:tblCellMar>
      </w:tblPr>
      <w:tblGrid>
        <w:gridCol w:w="1006"/>
        <w:gridCol w:w="882"/>
        <w:gridCol w:w="885"/>
        <w:gridCol w:w="211"/>
        <w:gridCol w:w="616"/>
        <w:gridCol w:w="109"/>
        <w:gridCol w:w="109"/>
        <w:gridCol w:w="109"/>
        <w:gridCol w:w="109"/>
        <w:gridCol w:w="211"/>
        <w:gridCol w:w="616"/>
        <w:gridCol w:w="109"/>
        <w:gridCol w:w="109"/>
        <w:gridCol w:w="109"/>
        <w:gridCol w:w="109"/>
        <w:gridCol w:w="222"/>
        <w:gridCol w:w="220"/>
        <w:gridCol w:w="555"/>
        <w:gridCol w:w="109"/>
        <w:gridCol w:w="109"/>
        <w:gridCol w:w="109"/>
        <w:gridCol w:w="211"/>
        <w:gridCol w:w="616"/>
        <w:gridCol w:w="109"/>
        <w:gridCol w:w="109"/>
        <w:gridCol w:w="109"/>
        <w:gridCol w:w="109"/>
        <w:gridCol w:w="211"/>
        <w:gridCol w:w="616"/>
        <w:gridCol w:w="109"/>
        <w:gridCol w:w="109"/>
        <w:gridCol w:w="109"/>
        <w:gridCol w:w="109"/>
        <w:gridCol w:w="217"/>
        <w:gridCol w:w="216"/>
        <w:gridCol w:w="623"/>
      </w:tblGrid>
      <w:tr>
        <w:trPr/>
        <w:tc>
          <w:tcPr>
            <w:tcW w:w="100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br/>
              <w:t>Incr / (Decr)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br/>
              <w:t>Incr / (Decr)</w:t>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billions)</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Completed M&amp;A Transactions: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deals: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Deals Greater than $500 million: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Announced M&amp;A Transactions: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deals: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Deals Greater than $500 million: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Completed Restructuring </w:t>
              <w:br/>
              <w:t>   Transactions: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deals: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Source: Dealogic as of July 2,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Another measure of global restructuring activity is the number of corporate defaults, which decreased during the first half of 2026 as compared to the first half of 2025. The number of defaulting issuers was 64 in the first half of 2026, according to Moody’s Investors Service, Inc., as compared to 68 in the first half of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revenue trends in Financial Advisory are generally correlated to the level of completed industry-wide M&amp;A transactions and restructuring transactions occurring subsequent to corporate debt defaults.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greater or lesser relative market share, or regarding the relative number of our advisory engagements with respect to larger-sized transactions, and where we are involved in non-public or sovereign advisory assignments.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9"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Asset Management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percentage change in major equity market indices at June 30, 2026, as compared to such indices at December 31, 2025 and at June 30, 2025 is shown in the table below:</w:t>
      </w:r>
    </w:p>
    <w:tbl>
      <w:tblPr>
        <w:tblW w:w="6891" w:type="dxa"/>
        <w:jc w:val="left"/>
        <w:tblInd w:w="0" w:type="dxa"/>
        <w:tblLayout w:type="fixed"/>
        <w:tblCellMar>
          <w:top w:w="28" w:type="dxa"/>
          <w:left w:w="28" w:type="dxa"/>
          <w:bottom w:w="28" w:type="dxa"/>
          <w:right w:w="28" w:type="dxa"/>
        </w:tblCellMar>
      </w:tblPr>
      <w:tblGrid>
        <w:gridCol w:w="747"/>
        <w:gridCol w:w="659"/>
        <w:gridCol w:w="663"/>
        <w:gridCol w:w="280"/>
        <w:gridCol w:w="280"/>
        <w:gridCol w:w="699"/>
        <w:gridCol w:w="149"/>
        <w:gridCol w:w="149"/>
        <w:gridCol w:w="149"/>
        <w:gridCol w:w="334"/>
        <w:gridCol w:w="334"/>
        <w:gridCol w:w="832"/>
        <w:gridCol w:w="149"/>
        <w:gridCol w:w="149"/>
        <w:gridCol w:w="149"/>
        <w:gridCol w:w="238"/>
        <w:gridCol w:w="238"/>
        <w:gridCol w:w="693"/>
      </w:tblGrid>
      <w:tr>
        <w:trPr/>
        <w:tc>
          <w:tcPr>
            <w:tcW w:w="74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Percentage Changes June 30, 2026 vs. </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MSCI World Index</w:t>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 Stoxx</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MSCI Emerging Market</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Financial Statement Overview</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Net Revenue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Lazard’s Financial Advisory net revenue historically has been earned from advice and other services provided in M&amp;A transactions. The amount of the fee earned can vary depending upon the type, size and complexity of the transaction Lazard is advising on. M&amp;A fees can be earned as a retainer, working fee, announcement fee, milestone fee, opinion fee or transaction completion fee. Most fees are paid upon completion of a transaction, the timing of which can be impacted by delays due to securing financing, board approvals, regulatory approvals, shareholder votes, changing market conditions or other factors.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restructuring and liability management team advises on situations where our clients are financially distressed, providing advice on financial debt restructurings, liability management and M&amp;A. Bankruptcy proceedings may require court approval of our fees. We also advise on both public and private debt and structured equity transactions, while the private capital advisory team provides fundraising and secondary advisory services for private equity, private credit, real estate and real assets-focused investment firms. Additionally, Lazard earns fees from providing strategic advice to clients, which may include shareholder advisory, geopolitical advisory and other strategic advisory matters, with such fees not being dependent on the completion of a transaction.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Advisory businesses may be impacted by overall M&amp;A activity levels in the market, the level of corporate debt defaults and the environment for capital raising activities, among other factors.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Lazard’s Asset Management segment principally includes LAM, LFG, Lazard Frères Banque SA (“LFB”) and the Edgewater Funds (“Edgewater”). On February 13, 2026, the Company completed the sale of a controlling stake in the Edgewater management vehicles, resulting in the deconsolidation of the related entities.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for any reason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50"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performance, changes in prevailing interest rates and financial market performance. Moreover, it is possible that awarded institutional mandates may not be funded in the amounts and at the times initially anticipated, or at all.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earns performance-based incentive fees on various investment products, including traditional products and alternative investment funds, such as hedge funds and private equity funds.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ultimately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further incentive fees can be earned.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Corporate segment net revenue consists primarily of interest and dividend income and interest expense, as well as gains and losses on investments held in connection with Lazard Fund Interests (“LFI”). In addition, in 2025, Corporate net revenue included investment gains and losses on the Company’s investments to seed strategies in our Asset Management business, net of hedging activities, which beginning in the first quarter of 2026 is reported in the Asset Management segment (comparable prior year information has not been recast because the impact was not material). Corporate net revenue can fluctuate due to changes in the fair value of debt and equity securities, as well as due to changes in interest rates and the levels of cash, investments and indebtedness, among other factors.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“adjusted net revenue”, a non-GAAP measure, for comparison of revenues between periods. For the reconciliations and calculations with respect to “adjusted net revenue” and related ratios to “adjusted net revenue,” see the table under “Consolidated Results of Operations” below.</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Lazard’s 2018 Incentive Compensation Plan, as amended (the “2018 Plan”) and (b) LFI and other similar deferred compensation arrangements, (iii) a provision for discretionary or guaranteed cash bonuses and profit pools and (iv) when applicable, severance payments and cash retention awards. Compensation expense in any given period is dependent on many factors, including general economic and market conditions, our actual and forecasted operating and financial performance, staffing levels (including investment in strategic senior hires), estimated forfeiture rates, competitive pay conditions and the nature and level of revenues earned, as well as the mix between current and deferred compensation. See Note 13 of Notes to Condensed Consolidated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we changed our accounting principle for recognizing compensation expense on certain incentive compensation awards to the straight-line attribution method, which we believe more appropriately reflects the pattern of service provided by the employee. See Note 1 of Notes to Condensed Consolidated Financial Statements. We also changed the vesting period for certain incentive compensation awards granted in the first quarter of 2026, such that they vest to employees ratably over three years. See Note 13 of Notes to Condensed Consolidated Financial Statements. We expect the combined effect of these two changes within compensation and benefits expense to be predominantly offsetting.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“adjusted compensation and benefits expense” and the ratio of “adjusted compensation and benefits expense” to “adjusted net revenue,” both non-GAAP measures, for comparison of compensation and benefits expense between periods. For the reconciliations and calculations with respect to “adjusted compensation and benefits expense” and related ratios to “adjusted net revenue,” see the table under “Condensed Consolidated Results of Operations”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1"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Compensation and benefits expense is the largest component of our operating expenses. We seek to maintain discipline with respect to compensation, including the rate at which we award deferred compensation. We focus on a ratio of adjusted compensation and benefits expense to adjusted net revenue to manage costs, balancing a view of current conditions in the market for talent alongside our objective to drive long-term shareholder value. Our practice is to pay our employees competitively to foster retention and motivate performance and, in doing so, we look to the market for talent and other factors, which are typically correlated with industry revenues, but may vary year by year. At the same time, the amount of compensation we award in a particular year is, in part, deferred and amortized over the successive years. Increased competition for professionals, changes in the macroeconomic environment or the financial markets generally, lower adjusted net revenue resulting from, for example, a decrease in M&amp;A activity, our share of the M&amp;A market or our AUM levels, changes in the mix of revenues from our businesses, investments in our businesses or various other factors could prevent us from achieving our compensation objectives.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“adjusted non-compensation expense”, a non-GAAP measure, when presented in conjunction with measures prepared in accordance with accounting principles generally accepted in the United States of America (“U.S. GAAP”), provides a meaningful and useful basis for our investors to assess our operating results. For calculations with respect to “adjusted non-compensation expense”, see the table under “Consolidated Results of Operations” below.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Lazard, Inc. is subject to U.S. federal income taxes on all of its income and, through its subsidiaries, is also subject to state and local taxes on its income apportioned to various state and local jurisdictions. Lazard Group LLC operates principally through subsidiary corporations including through those domiciled outside the U.S. that are subject to local income taxes in foreign jurisdictions. In addition, Lazard Group LLC is subject to Unincorporated Business Tax attributable to its operations apportioned to New York City.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the Organization for Economic Cooperation and Development (the “OECD”) reached agreement among various countries, including the EU member states, to establish a 15% minimum tax on certain multinational companies, commonly called “Pillar Two”. We are continuing to monitor Pillar Two legislative developments and their impact on future periods.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“Critical Accounting Policies and Estimates—Income Taxes” below and Notes 15 and 17 of Notes to Condensed Consolidated Financial Statements for additional information regarding income taxes, our deferred tax assets and the tax receivable agreement obligation.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Net Income Attributable to Noncontrolling Interests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Noncontrolling interests primarily consist of (i) consolidated VIE interests held by employees, and (ii) up to February 13, 2026, amounts related to Edgewater’s management vehicles that the Company was deemed to control but not own. See Notes 12 and 20 of Notes to Condensed Consolidated Financial Statements for information regarding the Company’s noncontrolling interests and consolidated VIEs and Note 1 of Notes to Condensed Consolidated Financial Statements for information regarding the sale and deconsolidation of Edgewater.</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Lazard’s condensed consolidated financial statements are presented in U.S. Dollars. Many of our non-U.S. subsidiaries have a functional currency (i.e.,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2"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tbl>
      <w:tblPr>
        <w:tblW w:w="10008" w:type="dxa"/>
        <w:jc w:val="left"/>
        <w:tblInd w:w="0" w:type="dxa"/>
        <w:tblLayout w:type="fixed"/>
        <w:tblCellMar>
          <w:top w:w="28" w:type="dxa"/>
          <w:left w:w="28" w:type="dxa"/>
          <w:bottom w:w="28" w:type="dxa"/>
          <w:right w:w="28" w:type="dxa"/>
        </w:tblCellMar>
      </w:tblPr>
      <w:tblGrid>
        <w:gridCol w:w="1249"/>
        <w:gridCol w:w="1100"/>
        <w:gridCol w:w="1101"/>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976"/>
        <w:gridCol w:w="316"/>
      </w:tblGrid>
      <w:tr>
        <w:trPr/>
        <w:tc>
          <w:tcPr>
            <w:tcW w:w="124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Net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807,669 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795,997 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1,564,251 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1,444,048 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Operating Expenses:</w:t>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562,409 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1,054,303 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949,478 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702,916 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1,437,074 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1,296,332 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Operating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37,603 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93,081 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147,716 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Net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61,317 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114,295 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123,306 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 xml:space="preserve">Less - Net Income Attributable to </w:t>
              <w:br/>
              <w:t>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Net Income Attributable to Lazard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55,346 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105,724 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115,721 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Operating Income, as a % of net revenue</w:t>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describe the components of adjusted net revenue, adjusted compensation and benefits expense, adjusted non-compensation expense, adjusted operating income and related key ratios, which are non-GAAP measures used by the Company to manage its business. We believe such non-GAAP measures in conjunction with U.S. GAAP measures provide a meaningful and useful basis for comparison between present, historical and future periods, as described above.</w:t>
      </w:r>
    </w:p>
    <w:tbl>
      <w:tblPr>
        <w:tblW w:w="10205" w:type="dxa"/>
        <w:jc w:val="left"/>
        <w:tblInd w:w="0" w:type="dxa"/>
        <w:tblLayout w:type="fixed"/>
        <w:tblCellMar>
          <w:top w:w="28" w:type="dxa"/>
          <w:left w:w="28" w:type="dxa"/>
          <w:bottom w:w="28" w:type="dxa"/>
          <w:right w:w="28" w:type="dxa"/>
        </w:tblCellMar>
      </w:tblPr>
      <w:tblGrid>
        <w:gridCol w:w="1725"/>
        <w:gridCol w:w="1280"/>
        <w:gridCol w:w="128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72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Lazard, Inc. Adjusted Net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 U.S. GAAP basis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1,444,048 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related to noncontrolling interests and similar arrangements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Gains related to LFI and other similar arrangements (b)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fees, reimbursable deal costs, provision for credit losses and other (c)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(39,298)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42,064 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and deconsolidation of Edgewater (e)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 (f)</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(30,997)</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revenue (g)</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786,466 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769,866 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1,459,449 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1,413,051 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(a)Revenue related to the consolidation of noncontrolling interests and similar arrangements are excluded from adjusted net revenue because the Company has no economic interest in such amounts.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(b)Represents changes in the fair value of investments held in connection with LFI and other similar deferred compensation arrangements, for which a corresponding equal amount is excluded from compensation and benefits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3"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(c)Represents certain distribution, introducer and management fees paid to third parties, reimbursable deal costs and provision for credit losses relating to fees and other receivables that are deemed uncollectible, for which an equal amount is excluded for purposes of determining adjusted non-compensation expense.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(d)Interest expense (excluding interest expense incurred by LFB) is added back in determining adjusted net revenue because such expense relates to corporate financing activities and is not considered to be a cost directly related to the revenue of our business.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(e)Represents a non-cash gain on the sale and deconsolidation of the Edgewater management vehicles.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(f)Total adjustments equal the “other segment items” in Note 19 of Notes to Condensed Consolidated Financial Statements.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(g)Adjusted net revenue is a non-GAAP measure.</w:t>
      </w:r>
    </w:p>
    <w:tbl>
      <w:tblPr>
        <w:tblW w:w="10205" w:type="dxa"/>
        <w:jc w:val="left"/>
        <w:tblInd w:w="0" w:type="dxa"/>
        <w:tblLayout w:type="fixed"/>
        <w:tblCellMar>
          <w:top w:w="28" w:type="dxa"/>
          <w:left w:w="28" w:type="dxa"/>
          <w:bottom w:w="28" w:type="dxa"/>
          <w:right w:w="28" w:type="dxa"/>
        </w:tblCellMar>
      </w:tblPr>
      <w:tblGrid>
        <w:gridCol w:w="1386"/>
        <w:gridCol w:w="1203"/>
        <w:gridCol w:w="1206"/>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826"/>
        <w:gridCol w:w="318"/>
      </w:tblGrid>
      <w:tr>
        <w:trPr/>
        <w:tc>
          <w:tcPr>
            <w:tcW w:w="138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Lazard, Inc. Adjusted Compensation and Benefits Expense:</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and benefits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562,409 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1,054,303 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949,478 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 expense related to noncontrolling interests and similar arrangements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(8,177)</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Charges pertaining to LFI and other similar arrangements (b)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(15,752)</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associated with senior management transition (c)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compensation and benefits expense (d)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549,571 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1,020,155 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925,549 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compensation and benefits expense, as a % </w:t>
              <w:br/>
              <w:t>   of adjusted net revenue (d)</w:t>
            </w:r>
          </w:p>
        </w:tc>
        <w:tc>
          <w:tcPr>
            <w:tcW w:w="10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31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(a)Expenses related to the consolidation of noncontrolling interests and similar arrangements are excluded because the Company has no economic interest in such amounts.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(b)Represents changes in the fair value of the compensation liability recorded in connection with LFI and other similar deferred incentive compensation awards, for which a corresponding equal amount is excluded from adjusted net revenue.</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(c)Represents expenses associated with the departure of certain executive officers.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(d)Adjusted compensation and benefits expense and adjusted compensation and benefits expense, as a percentage of adjusted net revenue are non-GAAP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4"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240" w:after="283"/>
        <w:jc w:val="both"/>
        <w:rPr/>
      </w:pPr>
      <w:r>
        <w:rPr/>
      </w:r>
    </w:p>
    <w:tbl>
      <w:tblPr>
        <w:tblW w:w="10205" w:type="dxa"/>
        <w:jc w:val="left"/>
        <w:tblInd w:w="0" w:type="dxa"/>
        <w:tblLayout w:type="fixed"/>
        <w:tblCellMar>
          <w:top w:w="28" w:type="dxa"/>
          <w:left w:w="28" w:type="dxa"/>
          <w:bottom w:w="28" w:type="dxa"/>
          <w:right w:w="28" w:type="dxa"/>
        </w:tblCellMar>
      </w:tblPr>
      <w:tblGrid>
        <w:gridCol w:w="1429"/>
        <w:gridCol w:w="1257"/>
        <w:gridCol w:w="125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42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Lazard, Inc. Adjusted Non-Compensation Expense:</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346,854 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expense related to noncontrolling interests and similar arrangements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fees, reimbursable deal costs, provision for credit losses and other (b)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(39,298)</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related to the pending acquisition of Campbell Lutyens (c)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non-compensation expense (d)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171,720 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157,371 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320,395 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305,253 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non-compensation expense, as a % of </w:t>
              <w:br/>
              <w:t>   adjusted net revenue (d)</w:t>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1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(a)Expenses related to the consolidation of noncontrolling interests and similar arrangements are excluded because the Company has no economic interest in such amounts.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(b)Represents certain distribution, introducer and management fees paid to third parties, reimbursable deal costs and provision for credit losses relating to fees and other receivables that are deemed uncollectible, for which an equal amount is included for purposes of determining adjusted net revenue.</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(c)Represents expenses related to the pending acquisition of Campbell Lutyens.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(d)Adjusted non-compensation expense and adjusted non-compensation expense, as a percentage of adjusted net revenue are non-GAAP measures.</w:t>
      </w:r>
    </w:p>
    <w:tbl>
      <w:tblPr>
        <w:tblW w:w="10205" w:type="dxa"/>
        <w:jc w:val="left"/>
        <w:tblInd w:w="0" w:type="dxa"/>
        <w:tblLayout w:type="fixed"/>
        <w:tblCellMar>
          <w:top w:w="28" w:type="dxa"/>
          <w:left w:w="28" w:type="dxa"/>
          <w:bottom w:w="28" w:type="dxa"/>
          <w:right w:w="28" w:type="dxa"/>
        </w:tblCellMar>
      </w:tblPr>
      <w:tblGrid>
        <w:gridCol w:w="1521"/>
        <w:gridCol w:w="1263"/>
        <w:gridCol w:w="1266"/>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52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Lazard, Inc. Adjusted Operating Income: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147,716 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related to noncontrolling</w:t>
              <w:br/>
              <w:t>    interests and similar arrangements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(7,583)</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42,064 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and deconsolidation of Edgewater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associated with senior management transition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Expenses related to the pending acquisition of </w:t>
              <w:br/>
              <w:t>   Campbell Lutyens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108,232 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182,249 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operating income, as a % of adjusted </w:t>
              <w:br/>
              <w:t>   net revenue (a)</w:t>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1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(a)Adjusted operating income and adjusted operating income, as a percentage of adjusted net revenue are non-GAAP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5"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Headcount information is set forth below:</w:t>
      </w:r>
    </w:p>
    <w:tbl>
      <w:tblPr>
        <w:tblW w:w="9157" w:type="dxa"/>
        <w:jc w:val="left"/>
        <w:tblInd w:w="0" w:type="dxa"/>
        <w:tblLayout w:type="fixed"/>
        <w:tblCellMar>
          <w:top w:w="28" w:type="dxa"/>
          <w:left w:w="28" w:type="dxa"/>
          <w:bottom w:w="28" w:type="dxa"/>
          <w:right w:w="28" w:type="dxa"/>
        </w:tblCellMar>
      </w:tblPr>
      <w:tblGrid>
        <w:gridCol w:w="1704"/>
        <w:gridCol w:w="1502"/>
        <w:gridCol w:w="1504"/>
        <w:gridCol w:w="374"/>
        <w:gridCol w:w="374"/>
        <w:gridCol w:w="376"/>
        <w:gridCol w:w="109"/>
        <w:gridCol w:w="109"/>
        <w:gridCol w:w="109"/>
        <w:gridCol w:w="499"/>
        <w:gridCol w:w="499"/>
        <w:gridCol w:w="501"/>
        <w:gridCol w:w="109"/>
        <w:gridCol w:w="109"/>
        <w:gridCol w:w="109"/>
        <w:gridCol w:w="342"/>
        <w:gridCol w:w="342"/>
        <w:gridCol w:w="486"/>
      </w:tblGrid>
      <w:tr>
        <w:trPr/>
        <w:tc>
          <w:tcPr>
            <w:tcW w:w="1704"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Headcount:</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Directors: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Advisory</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Managing Directors</w:t>
            </w:r>
          </w:p>
        </w:tc>
        <w:tc>
          <w:tcPr>
            <w:tcW w:w="11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Business Segment Professionals and Support Staff:</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Advisory</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2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Lazard, Inc. Operating Results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Three Months Ended June 30, 2026 versus June 30,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revenue increased $12 million, or 1%, with adjusted net revenue increasing $17 million, or 2%, as compared to the 2025 period. Investment banking and other advisory fees decreased $45 million, or 9%, as compared to the 2025 period. Asset management fees, including incentive fees, increased $59 million, or 22%, as compared to the 2025 period. In the aggregate, interest income, other revenue and interest expense decreased $3 million as compared to the 2025 period.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Compensation and benefits expense increased $43 million, or 8%, as compared to the 2025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compensation and benefits expense (which excludes certain items and which we believe allows for improved comparability between periods, as described above) was $550 million, an increase of $45 million, or 9%, as compared to $504 million in the 2025 period. The ratio of adjusted compensation and benefits expense to adjusted net revenue was 69.9% for the 2026 period, as compared to 65.5% for the 2025 period.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Non-compensation expense, which includes $9 million of expenses related to the pending acquisition of Campbell Lutyens, increased $24 million, or 13%, as compared to the 2025 period. Adjusted non-compensation expense increased $14 million, or 9%, as compared to the 2025 period. Such increases in non-compensation expense and adjusted non-compensation expense were primarily due to increased fund administration and outsourced services and marketing and business development expenses. The ratio of adjusted non-compensation expense to adjusted net revenue was 21.8% for the 2026 period, as compared to 20.4% for the 2025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income decreased $55 million, or 60%, as compared to the 2025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operating income decreased $43 million, or 40%, as compared to the 2025 period, and, as a percentage of adjusted net revenue, was 8.3% for the 2026 period, as compared to 14.1% in the 2025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reflects an effective tax rate of 63.5%, as compared to 34.1% for the 2025 period. The change in the effective tax rate compared to the 2025 period principally relates to changes in the geographic mix of earnings and certain elevated factors, including the effect of a current period catch-up adjustment from the tax benefit related to the vesting of share-based incentive compensation awards in the first quarter of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increased $3 million, or 49%, as compared to the 2025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6"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reported net income attributable to Lazard of $5 million, as compared to net income attributable to Lazard of $55 million in the 2025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Six Months Ended June 30, 2026 versus June 30,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revenue increased $120 million, or 8%, with adjusted net revenue increasing $46 million, or 3%, as compared to the 2025 period. Fee revenue from investment banking and other advisory activities decreased $48 million, or 6%, as compared to the 2025 period. Asset management fees, including incentive fees, increased $122 million, or 23%, as compared to the 2025 period. In the aggregate, interest income, other revenue and interest expense increased $46 million, as compared to the 2025 period primarily due to a non-cash gain of $76 million on the sale and deconsolidation of the Edgewater management vehicles in the 2026 period.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Compensation and benefits expense increased $105 million, or 11%, as compared to the 2025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compensation and benefits expense (which excludes certain items and which we believe allows for improved comparability between periods, as described above) was $1,020 million, an increase of $95 million, or 10%, as compared to $926 million in the 2025 period. The ratio of adjusted compensation and benefits expense to adjusted net revenue was 69.9% for the 2026 period, as compared to 65.5% for the 2025 period.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Non-compensation expense, which includes $11 million of expenses related to the pending acquisition of Campbell Lutyens, increased $36 million, or 10%, as compared to the 2025 period. Adjusted non-compensation expense increased $15 million, or 5%, as compared to the 2025 period. Such increases in non-compensation expense and adjusted non-compensation expense were primarily due to increased fund administration and outsourced services, technology and information services and marketing and business development expenses. The ratio of adjusted non-compensation expense to adjusted net revenue was 22.0% for the 2026 period, as compared to 21.6% for the 2025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income decreased $21 million, or 14%, as compared to the 2025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operating income decreased $63 million, or 35%, as compared to the 2025 period, and, as a percentage of adjusted net revenue, was 8.1% for the 2026 period, as compared to 12.9% in the 2025 period.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reflects an effective tax rate of 10.1%, as compared to 16.5% for the 2025 period. The change in the effective tax rate compared to the 2025 period principally relates to the impact of discrete tax benefits for share-based incentive compensation awards during the first quarter and changes in the geographic mix of earnings.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increased $1 million, or 13%, as compared to the 2025 period.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reported net income attributable to Lazard of $106 million, as compared to net income attributable to Lazard of $116 million in the 2025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additional discussion of the drivers of our adjusted operating results for the period, see “Business Segments”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net revenue, adjusted net revenue, adjusted compensation and benefits expense, adjusted non-compensation expense, and adjusted operating income (loss) for the Company’s segments: Financial Advisory, Asset Management and Corporate. Adjusted compensation and benefits expense and adjusted non-compensation expense include costs directly incurred by each segment, with certain adjustments.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net revenue, adjusted operating income (loss), and adjusted operating income as a percentage of adjusted net revenue, are non-GAAP measures in the tables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7"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Financial Advisory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adjusted operating results attributable to the Financial Advisory segment:</w:t>
      </w:r>
    </w:p>
    <w:tbl>
      <w:tblPr>
        <w:tblW w:w="10205" w:type="dxa"/>
        <w:jc w:val="left"/>
        <w:tblInd w:w="0" w:type="dxa"/>
        <w:tblLayout w:type="fixed"/>
        <w:tblCellMar>
          <w:top w:w="28" w:type="dxa"/>
          <w:left w:w="28" w:type="dxa"/>
          <w:bottom w:w="28" w:type="dxa"/>
          <w:right w:w="28" w:type="dxa"/>
        </w:tblCellMar>
      </w:tblPr>
      <w:tblGrid>
        <w:gridCol w:w="1615"/>
        <w:gridCol w:w="1163"/>
        <w:gridCol w:w="1167"/>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61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 U.S. GAAP basis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450,167 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497,306 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809,735 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864,665 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Reimbursable deal costs, provision for credit losses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(3,771)</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 (a)</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(4,848)</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(3,763)</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revenue (b)</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445,319 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491,359 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801,488 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860,902 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compensation and benefits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317,036 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582,682 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557,004 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non-compensation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104,987 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(b)</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73,443 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108,580 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198,911 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as a % of adjusted net revenue (b)</w:t>
            </w:r>
          </w:p>
        </w:tc>
        <w:tc>
          <w:tcPr>
            <w:tcW w:w="10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1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(a)Total adjustments equal the “other segment items” in Note 19 of Notes to Condensed Consolidated Financial Statements. See “Consolidated Results of Operations” above for further information on the adjustments.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(b)Adjusted net revenue, adjusted operating income, and adjusted operating income as a percentage of adjusted net revenue are non-GAAP measures.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Lazard fee and transaction statistics for the Financial Advisory segment are set forth below:</w:t>
      </w:r>
    </w:p>
    <w:tbl>
      <w:tblPr>
        <w:tblW w:w="8322" w:type="dxa"/>
        <w:jc w:val="left"/>
        <w:tblInd w:w="0" w:type="dxa"/>
        <w:tblLayout w:type="fixed"/>
        <w:tblCellMar>
          <w:top w:w="28" w:type="dxa"/>
          <w:left w:w="28" w:type="dxa"/>
          <w:bottom w:w="28" w:type="dxa"/>
          <w:right w:w="28" w:type="dxa"/>
        </w:tblCellMar>
      </w:tblPr>
      <w:tblGrid>
        <w:gridCol w:w="1551"/>
        <w:gridCol w:w="1364"/>
        <w:gridCol w:w="1375"/>
        <w:gridCol w:w="180"/>
        <w:gridCol w:w="181"/>
        <w:gridCol w:w="333"/>
        <w:gridCol w:w="134"/>
        <w:gridCol w:w="134"/>
        <w:gridCol w:w="134"/>
        <w:gridCol w:w="180"/>
        <w:gridCol w:w="181"/>
        <w:gridCol w:w="333"/>
        <w:gridCol w:w="109"/>
        <w:gridCol w:w="109"/>
        <w:gridCol w:w="109"/>
        <w:gridCol w:w="233"/>
        <w:gridCol w:w="233"/>
        <w:gridCol w:w="292"/>
        <w:gridCol w:w="117"/>
        <w:gridCol w:w="117"/>
        <w:gridCol w:w="117"/>
        <w:gridCol w:w="233"/>
        <w:gridCol w:w="233"/>
        <w:gridCol w:w="340"/>
      </w:tblGrid>
      <w:tr>
        <w:trPr/>
        <w:tc>
          <w:tcPr>
            <w:tcW w:w="155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Lazard Statistics:</w:t>
            </w:r>
          </w:p>
        </w:tc>
        <w:tc>
          <w:tcPr>
            <w:tcW w:w="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clients with fees greater than $1 million:</w:t>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Advisory</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Percentage of total Financial Advisory net revenue </w:t>
              <w:br/>
              <w:t>   from top 10 clients</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Number of M&amp;A transactions completed with </w:t>
              <w:br/>
              <w:t>   values greater than $500 million (a)</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(a)Source: Dealogic as of July 2,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8"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geographical distribution of Financial Advisory adjusted net revenue is set forth below in percentage terms and is based on the Lazard offices that generate Financial Advisory adjusted net revenue and therefore may not be reflective of the geography in which the clients are located.</w:t>
      </w:r>
    </w:p>
    <w:tbl>
      <w:tblPr>
        <w:tblW w:w="5321" w:type="dxa"/>
        <w:jc w:val="left"/>
        <w:tblInd w:w="0" w:type="dxa"/>
        <w:tblLayout w:type="fixed"/>
        <w:tblCellMar>
          <w:top w:w="28" w:type="dxa"/>
          <w:left w:w="28" w:type="dxa"/>
          <w:bottom w:w="28" w:type="dxa"/>
          <w:right w:w="28" w:type="dxa"/>
        </w:tblCellMar>
      </w:tblPr>
      <w:tblGrid>
        <w:gridCol w:w="390"/>
        <w:gridCol w:w="343"/>
        <w:gridCol w:w="346"/>
        <w:gridCol w:w="232"/>
        <w:gridCol w:w="234"/>
        <w:gridCol w:w="333"/>
        <w:gridCol w:w="134"/>
        <w:gridCol w:w="134"/>
        <w:gridCol w:w="134"/>
        <w:gridCol w:w="232"/>
        <w:gridCol w:w="234"/>
        <w:gridCol w:w="333"/>
        <w:gridCol w:w="109"/>
        <w:gridCol w:w="109"/>
        <w:gridCol w:w="109"/>
        <w:gridCol w:w="232"/>
        <w:gridCol w:w="234"/>
        <w:gridCol w:w="292"/>
        <w:gridCol w:w="117"/>
        <w:gridCol w:w="117"/>
        <w:gridCol w:w="117"/>
        <w:gridCol w:w="232"/>
        <w:gridCol w:w="234"/>
        <w:gridCol w:w="340"/>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managing directors and many of its professionals have significant experience, and many of them are able to use this experience to advise on a combination of M&amp;A, restructuring and other strategic advisory matters, depending on clients’ needs. This adaptability enables Lazard to more effectively deploy its professionals based on the often counter-cyclical nature of restructuring as compared to our M&amp;A business. While Lazard measures revenue by practice area, Lazard does not separately measure the costs or profitability of M&amp;A services as compared to restructuring or other services. Accordingly, Lazard measures performance in its Financial Advisory segment based on overall segment adjusted net revenue and adjusted operating income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Financial Advisory Results of Operations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Three Months Ended June 30, 2026 versus June 30,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Advisory net revenue decreased $47 million, or 9%, as compared to the 2025 period. Financial Advisory adjusted net revenue decreased $46 million, or 9%, as compared to the 2025 period. The decreases in Financial Advisory net revenue and adjusted net revenue reflected lower fees from M&amp;A transactions as compared to the 2025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compensation and benefits expense decreased $4 million, or 1%, as compared to the 2025 period, as increases related to our ongoing investment in strategic senior hires were more than offset by the effect of reduced revenues.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non-compensation expense increased $7 million, or 13%, as compared to the 2025 period primarily due to an increase in travel and entertainment.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operating income was $73 million, a decrease of $48 million, or 40%, as compared to adjusted operating income of $122 million in the 2025 period, and, as a percentage of adjusted net revenue, was 16.5%, as compared to 24.8% in the 2025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Six Months Ended June 30, 2026 versus June 30, 2025</w:t>
      </w:r>
    </w:p>
    <w:p>
      <w:pPr>
        <w:pStyle w:val="TextBody"/>
        <w:bidi w:val="0"/>
        <w:spacing w:lineRule="auto" w:line="288" w:before="120" w:after="283"/>
        <w:ind w:left="0" w:right="0" w:firstLine="720"/>
        <w:jc w:val="both"/>
        <w:rPr/>
      </w:pPr>
      <w:r>
        <w:rPr>
          <w:rFonts w:ascii="Times New Roman;serif" w:hAnsi="Times New Roman;serif"/>
          <w:b w:val="false"/>
          <w:color w:val="000000"/>
          <w:sz w:val="20"/>
        </w:rPr>
        <w:t>Financial Advisory net revenue decreased $55 million, or 6%, as compared to the 2025 period</w:t>
      </w:r>
      <w:r>
        <w:rPr>
          <w:rFonts w:ascii="Times New Roman;serif" w:hAnsi="Times New Roman;serif"/>
          <w:b w:val="false"/>
          <w:color w:val="000000"/>
          <w:sz w:val="24"/>
        </w:rPr>
        <w:t xml:space="preserve">. </w:t>
      </w:r>
      <w:r>
        <w:rPr>
          <w:rFonts w:ascii="Times New Roman;serif" w:hAnsi="Times New Roman;serif"/>
          <w:b w:val="false"/>
          <w:color w:val="000000"/>
          <w:sz w:val="20"/>
        </w:rPr>
        <w:t>Financial Advisory adjusted net revenue decreased $59 million, or 7%, as compared to the 2025 period. The decreases in Financial Advisory net revenue and adjusted net revenue reflected lower fees from M&amp;A transactions as compared to the 2025 period.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compensation and benefits expense increased $26 million, or 5%, as compared to the 2025 period, primarily driven by our ongoing investment in strategic senior hires.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non-compensation expense increased $5 million, or 5%, as compared to the 2025 period primarily due to an increase in travel and entertainment and recruitment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9"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operating income was $109 million, a decrease of $90 million, or 45%, as compared to adjusted operating income of $199 million in the 2025 period, and, as a percentage of adjusted net revenue, was 13.5%, as compared to 23.1% in the 2025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Asset Management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Assets Under Management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AUM primarily consists of debt and equity instruments, which have a value that is readily available based on either prices quoted on a recognized exchange or prices provided by external pricing services.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Prices of equity and debt securities and other instruments that comprise our AUM are provided by independent, third-party vendors. Such third-party vendors rely on prices provided by external pricing services which are obtained from recognized exchanges or markets, or, for certain fixed income securities, from evaluated bids or other similarly sourced prices.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Either directly, or through our third-party vendors, we perform a variety of regular due diligence procedures on our pricing service providers.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composition of AUM for the Asset Management segment (see Item 1, “Business—Principal Business Lines—Asset Management—Investment Strategies” in our Form 10-K): </w:t>
      </w:r>
    </w:p>
    <w:tbl>
      <w:tblPr>
        <w:tblW w:w="5403" w:type="dxa"/>
        <w:jc w:val="left"/>
        <w:tblInd w:w="0" w:type="dxa"/>
        <w:tblLayout w:type="fixed"/>
        <w:tblCellMar>
          <w:top w:w="28" w:type="dxa"/>
          <w:left w:w="28" w:type="dxa"/>
          <w:bottom w:w="28" w:type="dxa"/>
          <w:right w:w="28" w:type="dxa"/>
        </w:tblCellMar>
      </w:tblPr>
      <w:tblGrid>
        <w:gridCol w:w="772"/>
        <w:gridCol w:w="675"/>
        <w:gridCol w:w="683"/>
        <w:gridCol w:w="211"/>
        <w:gridCol w:w="826"/>
        <w:gridCol w:w="109"/>
        <w:gridCol w:w="109"/>
        <w:gridCol w:w="109"/>
        <w:gridCol w:w="109"/>
        <w:gridCol w:w="319"/>
        <w:gridCol w:w="1249"/>
        <w:gridCol w:w="232"/>
      </w:tblGrid>
      <w:tr>
        <w:trPr/>
        <w:tc>
          <w:tcPr>
            <w:tcW w:w="7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 (a)</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AUM by Asset Class: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Markets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41,146 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Global / 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117,746 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184,472 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Fixed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35,065 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Multi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Alternative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AUM</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254,300 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 2026, AUM asset classes have been expanded to include a multi asset classification. The comparable prior period information has been recast to reflect the current presentation.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AUM at June 30, 2026 was $285 billion, an increase of $31 billion, or 12%, as compared to total AUM of $254 billion at December 31, 2025 primarily due to market appreciation and net inflows and an increase attributable to acquiring a controlling interest in Elaia Partners, a venture capital asset management entity (“Elaia”), partially offset by foreign exchange depreciation and the sale and deconsolidation of the Edgewater management vehicles. Average AUM for the second quarter of 2026 increased 17% as compared to the three month period ended June 30, 2025, and average AUM for the first six months of 2026 increased 16% as compared to the six month period ended June 30,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approximately 46% of our AUM was managed on behalf of institutional clients, including corporations, labor unions, pension funds, insurance companies, Endowments and Foundations (E&amp;F)/Healthcare and also includes certain Family Office clients. As of June 30, 2026, approximately 45% of our AUM was managed on behalf of financial intermediary clients, including banks, mutual fund sponsors, sub-advisory relationships, broker-dealers, wealth platforms, registered investment advisors (RIAs), and other investors in pooled vehicles as compared to approximately 44% as of December 31, 2025. As of June 30, 2026, approximately 9% of our AUM was managed on behalf of individual client relationships, compared to approximately 10%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60"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AUM with foreign currency exposure represented approximately 68% of our total AUM as compared to 67% at December 31, 2025. AUM with foreign currency exposure generally declines in value with the strengthening of the U.S. Dollar and increases in value as the U.S. Dollar weakens, with all other factors held constant.</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changes in AUM by asset class for the three month and six month periods ended June 30, 2026 and 2025: </w:t>
      </w:r>
    </w:p>
    <w:tbl>
      <w:tblPr>
        <w:tblW w:w="11983" w:type="dxa"/>
        <w:jc w:val="left"/>
        <w:tblInd w:w="0" w:type="dxa"/>
        <w:tblLayout w:type="fixed"/>
        <w:tblCellMar>
          <w:top w:w="28" w:type="dxa"/>
          <w:left w:w="28" w:type="dxa"/>
          <w:bottom w:w="28" w:type="dxa"/>
          <w:right w:w="28" w:type="dxa"/>
        </w:tblCellMar>
      </w:tblPr>
      <w:tblGrid>
        <w:gridCol w:w="445"/>
        <w:gridCol w:w="390"/>
        <w:gridCol w:w="261"/>
        <w:gridCol w:w="211"/>
        <w:gridCol w:w="826"/>
        <w:gridCol w:w="109"/>
        <w:gridCol w:w="109"/>
        <w:gridCol w:w="109"/>
        <w:gridCol w:w="109"/>
        <w:gridCol w:w="211"/>
        <w:gridCol w:w="721"/>
        <w:gridCol w:w="109"/>
        <w:gridCol w:w="109"/>
        <w:gridCol w:w="109"/>
        <w:gridCol w:w="109"/>
        <w:gridCol w:w="211"/>
        <w:gridCol w:w="736"/>
        <w:gridCol w:w="109"/>
        <w:gridCol w:w="109"/>
        <w:gridCol w:w="109"/>
        <w:gridCol w:w="109"/>
        <w:gridCol w:w="211"/>
        <w:gridCol w:w="631"/>
        <w:gridCol w:w="109"/>
        <w:gridCol w:w="109"/>
        <w:gridCol w:w="109"/>
        <w:gridCol w:w="109"/>
        <w:gridCol w:w="230"/>
        <w:gridCol w:w="671"/>
        <w:gridCol w:w="120"/>
        <w:gridCol w:w="109"/>
        <w:gridCol w:w="109"/>
        <w:gridCol w:w="109"/>
        <w:gridCol w:w="222"/>
        <w:gridCol w:w="759"/>
        <w:gridCol w:w="115"/>
        <w:gridCol w:w="109"/>
        <w:gridCol w:w="109"/>
        <w:gridCol w:w="109"/>
        <w:gridCol w:w="243"/>
        <w:gridCol w:w="727"/>
        <w:gridCol w:w="126"/>
        <w:gridCol w:w="109"/>
        <w:gridCol w:w="109"/>
        <w:gridCol w:w="109"/>
        <w:gridCol w:w="211"/>
        <w:gridCol w:w="826"/>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w:t>
              <w:br/>
              <w:t>Beginning</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Inflows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Outflows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Flows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Acquisitions/Divestitures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Market Value</w:t>
              <w:br/>
              <w:t>Appreciation/</w:t>
              <w:b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Exchange</w:t>
              <w:br/>
              <w:t>Appreciation/</w:t>
              <w:b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w:t>
              <w:br/>
              <w:t>Ending</w:t>
              <w:br/>
              <w:t>Balance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259,187 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(a)Related to the acquisition of a controlling interest in and consolidation of Elaia.</w:t>
      </w:r>
    </w:p>
    <w:p>
      <w:pPr>
        <w:pStyle w:val="TextBody"/>
        <w:bidi w:val="0"/>
        <w:spacing w:lineRule="auto" w:line="288" w:before="18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net flows were primarily driven by the US Equity and Alternative Investments platforms.</w:t>
      </w:r>
    </w:p>
    <w:tbl>
      <w:tblPr>
        <w:tblW w:w="11968" w:type="dxa"/>
        <w:jc w:val="left"/>
        <w:tblInd w:w="0" w:type="dxa"/>
        <w:tblLayout w:type="fixed"/>
        <w:tblCellMar>
          <w:top w:w="28" w:type="dxa"/>
          <w:left w:w="28" w:type="dxa"/>
          <w:bottom w:w="28" w:type="dxa"/>
          <w:right w:w="28" w:type="dxa"/>
        </w:tblCellMar>
      </w:tblPr>
      <w:tblGrid>
        <w:gridCol w:w="445"/>
        <w:gridCol w:w="390"/>
        <w:gridCol w:w="261"/>
        <w:gridCol w:w="211"/>
        <w:gridCol w:w="826"/>
        <w:gridCol w:w="109"/>
        <w:gridCol w:w="109"/>
        <w:gridCol w:w="109"/>
        <w:gridCol w:w="109"/>
        <w:gridCol w:w="211"/>
        <w:gridCol w:w="721"/>
        <w:gridCol w:w="109"/>
        <w:gridCol w:w="109"/>
        <w:gridCol w:w="109"/>
        <w:gridCol w:w="109"/>
        <w:gridCol w:w="211"/>
        <w:gridCol w:w="736"/>
        <w:gridCol w:w="109"/>
        <w:gridCol w:w="109"/>
        <w:gridCol w:w="109"/>
        <w:gridCol w:w="109"/>
        <w:gridCol w:w="211"/>
        <w:gridCol w:w="616"/>
        <w:gridCol w:w="109"/>
        <w:gridCol w:w="109"/>
        <w:gridCol w:w="109"/>
        <w:gridCol w:w="109"/>
        <w:gridCol w:w="268"/>
        <w:gridCol w:w="613"/>
        <w:gridCol w:w="140"/>
        <w:gridCol w:w="109"/>
        <w:gridCol w:w="109"/>
        <w:gridCol w:w="109"/>
        <w:gridCol w:w="222"/>
        <w:gridCol w:w="759"/>
        <w:gridCol w:w="115"/>
        <w:gridCol w:w="109"/>
        <w:gridCol w:w="109"/>
        <w:gridCol w:w="109"/>
        <w:gridCol w:w="243"/>
        <w:gridCol w:w="727"/>
        <w:gridCol w:w="126"/>
        <w:gridCol w:w="109"/>
        <w:gridCol w:w="109"/>
        <w:gridCol w:w="109"/>
        <w:gridCol w:w="211"/>
        <w:gridCol w:w="826"/>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2" w:type="dxa"/>
            <w:gridSpan w:val="45"/>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Six Months Ended June 30, 2026 (a)</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w:t>
              <w:br/>
              <w:t>Beginning</w:t>
              <w:br/>
              <w:t>Balance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Inflows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Outflows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Flows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Acquisitions/Divestitures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Market Value</w:t>
              <w:br/>
              <w:t>Appreciation/</w:t>
              <w:br/>
              <w:t>(Depreciation)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Exchange</w:t>
              <w:br/>
              <w:t>Appreciation/</w:t>
              <w:br/>
              <w:t>(Depreciation)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AUM</w:t>
              <w:br/>
              <w:t>Ending</w:t>
              <w:br/>
              <w:t>Balance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2"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254,300 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27,465 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(4,047)</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 2026, AUM asset classes have been expanded to include a multi asset classification. The comparable prior period information has been recast to reflect the current presentation.</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(b)Related to the sale and deconsolidation of the Edgewater management vehicles and the acquisition of a controlling interest in and consolidation of Elaia.</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flows were primarily driven by the Global/International Equity and Alternative Investments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61"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240" w:after="283"/>
        <w:jc w:val="both"/>
        <w:rPr/>
      </w:pPr>
      <w:r>
        <w:rPr/>
      </w:r>
    </w:p>
    <w:tbl>
      <w:tblPr>
        <w:tblW w:w="11818" w:type="dxa"/>
        <w:jc w:val="left"/>
        <w:tblInd w:w="0" w:type="dxa"/>
        <w:tblLayout w:type="fixed"/>
        <w:tblCellMar>
          <w:top w:w="28" w:type="dxa"/>
          <w:left w:w="28" w:type="dxa"/>
          <w:bottom w:w="28" w:type="dxa"/>
          <w:right w:w="28" w:type="dxa"/>
        </w:tblCellMar>
      </w:tblPr>
      <w:tblGrid>
        <w:gridCol w:w="445"/>
        <w:gridCol w:w="390"/>
        <w:gridCol w:w="261"/>
        <w:gridCol w:w="211"/>
        <w:gridCol w:w="826"/>
        <w:gridCol w:w="109"/>
        <w:gridCol w:w="109"/>
        <w:gridCol w:w="109"/>
        <w:gridCol w:w="109"/>
        <w:gridCol w:w="211"/>
        <w:gridCol w:w="721"/>
        <w:gridCol w:w="109"/>
        <w:gridCol w:w="109"/>
        <w:gridCol w:w="109"/>
        <w:gridCol w:w="109"/>
        <w:gridCol w:w="211"/>
        <w:gridCol w:w="736"/>
        <w:gridCol w:w="109"/>
        <w:gridCol w:w="109"/>
        <w:gridCol w:w="109"/>
        <w:gridCol w:w="109"/>
        <w:gridCol w:w="211"/>
        <w:gridCol w:w="466"/>
        <w:gridCol w:w="109"/>
        <w:gridCol w:w="109"/>
        <w:gridCol w:w="109"/>
        <w:gridCol w:w="109"/>
        <w:gridCol w:w="355"/>
        <w:gridCol w:w="481"/>
        <w:gridCol w:w="185"/>
        <w:gridCol w:w="109"/>
        <w:gridCol w:w="109"/>
        <w:gridCol w:w="109"/>
        <w:gridCol w:w="222"/>
        <w:gridCol w:w="759"/>
        <w:gridCol w:w="115"/>
        <w:gridCol w:w="109"/>
        <w:gridCol w:w="109"/>
        <w:gridCol w:w="109"/>
        <w:gridCol w:w="247"/>
        <w:gridCol w:w="721"/>
        <w:gridCol w:w="128"/>
        <w:gridCol w:w="109"/>
        <w:gridCol w:w="109"/>
        <w:gridCol w:w="109"/>
        <w:gridCol w:w="211"/>
        <w:gridCol w:w="826"/>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2"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 (a)</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w:t>
              <w:br/>
              <w:t>Beginning</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Inflows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Outflows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Flows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Acquisitions/Divestitures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Market Value</w:t>
              <w:br/>
              <w:t>Appreciation/</w:t>
              <w:b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Exchange</w:t>
              <w:br/>
              <w:t>Appreciation/</w:t>
              <w:b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w:t>
              <w:br/>
              <w:t>Ending</w:t>
              <w:br/>
              <w:t>Balance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2"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11,886 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8,370 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248,360 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 2026, AUM asset classes have been expanded to include a multi asset classification. The comparable prior period information has been recast to reflect the current presentation.</w:t>
      </w:r>
    </w:p>
    <w:tbl>
      <w:tblPr>
        <w:tblW w:w="11983" w:type="dxa"/>
        <w:jc w:val="left"/>
        <w:tblInd w:w="0" w:type="dxa"/>
        <w:tblLayout w:type="fixed"/>
        <w:tblCellMar>
          <w:top w:w="28" w:type="dxa"/>
          <w:left w:w="28" w:type="dxa"/>
          <w:bottom w:w="28" w:type="dxa"/>
          <w:right w:w="28" w:type="dxa"/>
        </w:tblCellMar>
      </w:tblPr>
      <w:tblGrid>
        <w:gridCol w:w="445"/>
        <w:gridCol w:w="390"/>
        <w:gridCol w:w="261"/>
        <w:gridCol w:w="211"/>
        <w:gridCol w:w="826"/>
        <w:gridCol w:w="109"/>
        <w:gridCol w:w="109"/>
        <w:gridCol w:w="109"/>
        <w:gridCol w:w="109"/>
        <w:gridCol w:w="211"/>
        <w:gridCol w:w="721"/>
        <w:gridCol w:w="109"/>
        <w:gridCol w:w="109"/>
        <w:gridCol w:w="109"/>
        <w:gridCol w:w="109"/>
        <w:gridCol w:w="211"/>
        <w:gridCol w:w="736"/>
        <w:gridCol w:w="109"/>
        <w:gridCol w:w="109"/>
        <w:gridCol w:w="109"/>
        <w:gridCol w:w="109"/>
        <w:gridCol w:w="211"/>
        <w:gridCol w:w="631"/>
        <w:gridCol w:w="109"/>
        <w:gridCol w:w="109"/>
        <w:gridCol w:w="109"/>
        <w:gridCol w:w="109"/>
        <w:gridCol w:w="355"/>
        <w:gridCol w:w="481"/>
        <w:gridCol w:w="185"/>
        <w:gridCol w:w="109"/>
        <w:gridCol w:w="109"/>
        <w:gridCol w:w="109"/>
        <w:gridCol w:w="222"/>
        <w:gridCol w:w="759"/>
        <w:gridCol w:w="115"/>
        <w:gridCol w:w="109"/>
        <w:gridCol w:w="109"/>
        <w:gridCol w:w="109"/>
        <w:gridCol w:w="222"/>
        <w:gridCol w:w="759"/>
        <w:gridCol w:w="115"/>
        <w:gridCol w:w="109"/>
        <w:gridCol w:w="109"/>
        <w:gridCol w:w="109"/>
        <w:gridCol w:w="211"/>
        <w:gridCol w:w="826"/>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 (a)</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w:t>
              <w:br/>
              <w:t>Beginning</w:t>
              <w:br/>
              <w:t>Balance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Inflows </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Outflows </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Flows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Acquisitions/Divestitures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Market Value</w:t>
              <w:br/>
              <w:t>Appreciation/</w:t>
              <w:br/>
              <w:t>(Depreciation)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Exchange</w:t>
              <w:br/>
              <w:t>Appreciation/</w:t>
              <w:br/>
              <w:t>(Depreciation)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w:t>
              <w:br/>
              <w:t>Ending</w:t>
              <w:br/>
              <w:t>Balance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226,321 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12,310 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248,360 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 2026, AUM asset classes have been expanded to include a multi asset classification. The comparable prior period information has been recast to reflect the current presentation.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Average AUM for the three month and six month periods ended June 30, 2026 and 2025 for each significant asset class is set forth below. Average AUM generally represents the average of the monthly ending AUM balances for the period. </w:t>
      </w:r>
    </w:p>
    <w:tbl>
      <w:tblPr>
        <w:tblW w:w="8234" w:type="dxa"/>
        <w:jc w:val="left"/>
        <w:tblInd w:w="0" w:type="dxa"/>
        <w:tblLayout w:type="fixed"/>
        <w:tblCellMar>
          <w:top w:w="28" w:type="dxa"/>
          <w:left w:w="28" w:type="dxa"/>
          <w:bottom w:w="28" w:type="dxa"/>
          <w:right w:w="28" w:type="dxa"/>
        </w:tblCellMar>
      </w:tblPr>
      <w:tblGrid>
        <w:gridCol w:w="949"/>
        <w:gridCol w:w="836"/>
        <w:gridCol w:w="8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(a)</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Average AUM by Asset Class: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Average AUM</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279,116 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234,620 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 2026, AUM asset classes have been expanded to include a multi asset classification. The comparable prior period information has been recast to reflect the current presentation.</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62"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240" w:after="283"/>
        <w:jc w:val="both"/>
        <w:rPr/>
      </w:pPr>
      <w:r>
        <w:rPr/>
      </w:r>
    </w:p>
    <w:p>
      <w:pPr>
        <w:pStyle w:val="TextBody"/>
        <w:bidi w:val="0"/>
        <w:spacing w:before="0" w:after="12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adjusted operating results attributable to the Asset Management segment:</w:t>
      </w:r>
    </w:p>
    <w:tbl>
      <w:tblPr>
        <w:tblW w:w="10205" w:type="dxa"/>
        <w:jc w:val="left"/>
        <w:tblInd w:w="0" w:type="dxa"/>
        <w:tblLayout w:type="fixed"/>
        <w:tblCellMar>
          <w:top w:w="28" w:type="dxa"/>
          <w:left w:w="28" w:type="dxa"/>
          <w:bottom w:w="28" w:type="dxa"/>
          <w:right w:w="28" w:type="dxa"/>
        </w:tblCellMar>
      </w:tblPr>
      <w:tblGrid>
        <w:gridCol w:w="1657"/>
        <w:gridCol w:w="1118"/>
        <w:gridCol w:w="1122"/>
        <w:gridCol w:w="211"/>
        <w:gridCol w:w="826"/>
        <w:gridCol w:w="271"/>
        <w:gridCol w:w="109"/>
        <w:gridCol w:w="109"/>
        <w:gridCol w:w="109"/>
        <w:gridCol w:w="211"/>
        <w:gridCol w:w="826"/>
        <w:gridCol w:w="271"/>
        <w:gridCol w:w="109"/>
        <w:gridCol w:w="109"/>
        <w:gridCol w:w="109"/>
        <w:gridCol w:w="211"/>
        <w:gridCol w:w="874"/>
        <w:gridCol w:w="271"/>
        <w:gridCol w:w="109"/>
        <w:gridCol w:w="109"/>
        <w:gridCol w:w="109"/>
        <w:gridCol w:w="211"/>
        <w:gridCol w:w="826"/>
        <w:gridCol w:w="318"/>
      </w:tblGrid>
      <w:tr>
        <w:trPr/>
        <w:tc>
          <w:tcPr>
            <w:tcW w:w="16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 U.S. GAAP basis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351,031 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292,478 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760,794 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580,578 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related to noncontrolling interests and similar arrangements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(12,075)</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fees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(35,527)</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and deconsolidation of Edgewater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 (b)</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(120,648)</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(47,593)</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revenue (c)</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268,491 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640,146 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532,985 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compensation and benefits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345,679 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282,482 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non-compensation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122,808 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127,695 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as a % of adjusted net revenue (c)</w:t>
            </w:r>
          </w:p>
        </w:tc>
        <w:tc>
          <w:tcPr>
            <w:tcW w:w="10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1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(a)Represents a non-cash gain on the sale and deconsolidation of the Edgewater management vehicles.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(b)Total adjustments equal the “other segment items” in Note 19 of Notes to Condensed Consolidated Financial Statements. See “Consolidated Results of Operations” above for further information on the adjustments.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(c)Adjusted net revenue, adjusted operating income, and adjusted operating income as a percentage of adjusted net revenue are non-GAAP measures.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geographical distribution of Asset Management adjusted net revenue is set forth below in percentage terms, and is based on the Lazard offices that manage and distribute the respective AUM amounts. Such geographical distribution may not be reflective of the geography of the investment products or clients.</w:t>
      </w:r>
    </w:p>
    <w:tbl>
      <w:tblPr>
        <w:tblW w:w="5321" w:type="dxa"/>
        <w:jc w:val="left"/>
        <w:tblInd w:w="0" w:type="dxa"/>
        <w:tblLayout w:type="fixed"/>
        <w:tblCellMar>
          <w:top w:w="28" w:type="dxa"/>
          <w:left w:w="28" w:type="dxa"/>
          <w:bottom w:w="28" w:type="dxa"/>
          <w:right w:w="28" w:type="dxa"/>
        </w:tblCellMar>
      </w:tblPr>
      <w:tblGrid>
        <w:gridCol w:w="390"/>
        <w:gridCol w:w="343"/>
        <w:gridCol w:w="346"/>
        <w:gridCol w:w="232"/>
        <w:gridCol w:w="234"/>
        <w:gridCol w:w="333"/>
        <w:gridCol w:w="134"/>
        <w:gridCol w:w="134"/>
        <w:gridCol w:w="134"/>
        <w:gridCol w:w="232"/>
        <w:gridCol w:w="234"/>
        <w:gridCol w:w="333"/>
        <w:gridCol w:w="109"/>
        <w:gridCol w:w="109"/>
        <w:gridCol w:w="109"/>
        <w:gridCol w:w="232"/>
        <w:gridCol w:w="234"/>
        <w:gridCol w:w="292"/>
        <w:gridCol w:w="117"/>
        <w:gridCol w:w="117"/>
        <w:gridCol w:w="117"/>
        <w:gridCol w:w="232"/>
        <w:gridCol w:w="234"/>
        <w:gridCol w:w="340"/>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Asset Management Results of Operations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Three Months Ended June 30, 2026 versus June 30,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Asset Management net revenue increased $59 million, or 20%, as compared to the 2025 period. Asset Management adjusted net revenue increased $63 million, or 23%, as compared to the 2025 period. Management fees, on an adjusted basis, were $310 million, an increase of $58 million, or 23%, as compared to $252 million in the 2025 period primarily due to an increase in average AUM and product mix. Incentive fees, on an adjusted basis, were $5 million,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3"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increase of $1 million as compared to $4 million in the 2025 period. Other revenue, on an adjusted basis, was $16 million, an increase of $3 million as compared to $13 million in the 2025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compensation and benefits expense increased $46 million, or 33%, as compared to the 2025 period primarily driven by increased adjusted net revenue.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non-compensation expense increased $8 million, or 13%, as compared to the 2025 period primarily due to higher mutual fund servicing fees, which were largely driven by an increase in AUM.</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Asset Management adjusted operating income was $74 million, an increase of $9 million, or 14%, as compared to adjusted operating income of $65 million in the 2025 period, and, as a percentage of adjusted net revenue, was 22.5%, as compared to 24.3% in the 2025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Six Months Ended June 30, 2026 versus June 30,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Asset Management net revenue, which included a non-cash gain of $76 million on the sale and deconsolidation of the Edgewater management vehicles in the first quarter of 2026, increased $180 million, or 31%, as compared to the 2025 period. Asset Management adjusted net revenue increased $107 million, or 20%, as compared to the 2025 period. Management fees, on an adjusted basis, were $606 million, an increase of $116 million, or 24%, as compared to $490 million in the 2025 period primarily due to an increase in average AUM and product mix. Incentive fees, on an adjusted basis, were $17 million, an increase of $4 million as compared to $13 million in the 2025 period. Other revenue, on an adjusted basis, was $17 million, a decrease of $13 million as compared to $31 million in the 2025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compensation and benefits expense increased $63 million, or 22%, as compared to the 2025 period primarily driven by increased adjusted net revenue.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non-compensation expense increased $13 million, or 10%, as compared to the 2025 period primarily due to higher mutual fund servicing fees, which were largely driven by an increase in AUM, and investments in technology.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Asset Management adjusted operating income was $159 million, an increase of $31 million, or 25%, as compared to adjusted operating income of $128 million in the 2025 period, and, as a percentage of adjusted net revenue, was 24.8%, as compared to 24.0% in the 2025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Corporate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reported adjusted operating results attributable to the Corporate segment:</w:t>
      </w:r>
    </w:p>
    <w:tbl>
      <w:tblPr>
        <w:tblW w:w="9480" w:type="dxa"/>
        <w:jc w:val="left"/>
        <w:tblInd w:w="0" w:type="dxa"/>
        <w:tblLayout w:type="fixed"/>
        <w:tblCellMar>
          <w:top w:w="28" w:type="dxa"/>
          <w:left w:w="28" w:type="dxa"/>
          <w:bottom w:w="28" w:type="dxa"/>
          <w:right w:w="28" w:type="dxa"/>
        </w:tblCellMar>
      </w:tblPr>
      <w:tblGrid>
        <w:gridCol w:w="1366"/>
        <w:gridCol w:w="1205"/>
        <w:gridCol w:w="1209"/>
        <w:gridCol w:w="211"/>
        <w:gridCol w:w="796"/>
        <w:gridCol w:w="109"/>
        <w:gridCol w:w="109"/>
        <w:gridCol w:w="109"/>
        <w:gridCol w:w="109"/>
        <w:gridCol w:w="211"/>
        <w:gridCol w:w="796"/>
        <w:gridCol w:w="109"/>
        <w:gridCol w:w="109"/>
        <w:gridCol w:w="109"/>
        <w:gridCol w:w="109"/>
        <w:gridCol w:w="211"/>
        <w:gridCol w:w="901"/>
        <w:gridCol w:w="109"/>
        <w:gridCol w:w="109"/>
        <w:gridCol w:w="109"/>
        <w:gridCol w:w="109"/>
        <w:gridCol w:w="211"/>
        <w:gridCol w:w="901"/>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(loss) - U.S. GAAP basis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related to noncontrolling interests </w:t>
              <w:br/>
              <w:t>and similar arrangements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Gains related to LFI and other similar </w:t>
              <w:br/>
              <w:t>arrangements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 (a)</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revenue (b)</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compensation and benefits expense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non-compensation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loss (b)</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(78,904)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(148,749)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(144,357)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(a)Total adjustments equal the “other segment items” in Note 19 of Notes to Condensed Consolidated Financial Statements. See “Consolidated Results of Operations” above for further information on the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64"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(b)Adjusted net revenue and adjusted operating loss are non-GAAP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Corporate Results of Operations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Corporate’s quarterly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Three Months Ended June 30, 2026 versus June 30,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Corporate net revenue and Corporate adjusted net revenue were substantially the same as compared to the 2025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compensation and benefits expense, including centrally managed costs, increased $4 million, or 8%, as compared to the 2025 period.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non-compensation expense, including centrally managed costs, was substantially the same as compared to the 2025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Six Months Ended June 30, 2026 versus June 30,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net revenue decreased $5 million as compared to the 2025 period. Corporate adjusted net revenue decreased $1 million, or 7%, as compared to the 2025 period.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compensation and benefits expense, including centrally managed costs, increased $6 million, or 7%, as compared to the 2025 period.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non-compensation expense, including centrally managed costs, decreased $3 million, or 3%, as compared to the 2025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36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cash flows are influenced primarily by the timing of the receipt of Financial Advisory and Asset Management fees, the timing of distributions to shareholders, payments of incentive compensation to managing directors and employees and purchases of common stock. 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makes cash payments for a significant portion of its compensation with respect to the prior year’s results during the first three months of each calendar year. See the Condensed Consolidated Financial Statements—Consolidated Statements of Cash Flows for further detail.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65"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Summary of Cash Flows:</w:t>
      </w:r>
    </w:p>
    <w:tbl>
      <w:tblPr>
        <w:tblW w:w="9159" w:type="dxa"/>
        <w:jc w:val="left"/>
        <w:tblInd w:w="0" w:type="dxa"/>
        <w:tblLayout w:type="fixed"/>
        <w:tblCellMar>
          <w:top w:w="28" w:type="dxa"/>
          <w:left w:w="28" w:type="dxa"/>
          <w:bottom w:w="28" w:type="dxa"/>
          <w:right w:w="28" w:type="dxa"/>
        </w:tblCellMar>
      </w:tblPr>
      <w:tblGrid>
        <w:gridCol w:w="2501"/>
        <w:gridCol w:w="2203"/>
        <w:gridCol w:w="2211"/>
        <w:gridCol w:w="211"/>
        <w:gridCol w:w="616"/>
        <w:gridCol w:w="109"/>
        <w:gridCol w:w="109"/>
        <w:gridCol w:w="109"/>
        <w:gridCol w:w="109"/>
        <w:gridCol w:w="211"/>
        <w:gridCol w:w="616"/>
        <w:gridCol w:w="154"/>
      </w:tblGrid>
      <w:tr>
        <w:trPr/>
        <w:tc>
          <w:tcPr>
            <w:tcW w:w="2501"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Provided By (Used In):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 (c)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Decrease in Cash and Cash Equivalents and Restricted Cash</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and Restricted Cash (d):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(a)Consists primarily of amortization of deferred expenses and share-based incentive compensation, noncash lease expenses, depreciation and amortization of property, deferred tax benefit, and in 2026, a gain on the sale and deconsolidation of business.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(b)Includes net changes in operating assets and liabilities.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(c)Consists primarily of purchases of shares of common stock, tax withholdings related to the settlement of vested RSUs, common stock dividends, changes in customer deposits, and activity related to borrowings.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(d)Consists of cash and cash equivalents, deposits with banks and short-term investments and restricted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Sources and Uses of Liquidity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revenue, operating income and cash receipts fluctuate significantly between periods and could be affected by various risks and uncertainties. While cash flow from Asset Management activities is relatively stable, in the case of Financial Advisory, fee receipts are generally dependent upon the successful completion of client transactions, the occurrence and timing of which is not subject to Lazard’s control.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Liquidity is significantly impacted by cash payments for compensation, a significant portion of which are made during the first three months of the year. As a consequence, cash on hand generally declines in the beginning of the year and gradually builds over the remainder of the year. We also make payments during the year on behalf of certain managing directors for their estimated taxes, which serve to reduce their respective incentive compensation payments.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Liquidity is also affected by the level of LFB customer-related demand deposits, primarily from clients and funds managed by LFG. To the extent that such deposits rise or fall, and assuming unchanged asset allocation, this has a corresponding impact on liquidity held at LFB, with the majority of such amounts generally being recorded in “deposits with banks and short-term investments”. LFB is subject to, and in compliance with, regulatory liquidity coverage ratios and liquidity levels are monitored on a daily basis.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monitor our liquidity position, including cash levels, lease obligations, investments and related hedges, credit lines, commitments related to business acquisitions (see Recent Developments) and principal investments, interest and principal payments on debt, capital expenditures, dividend payments, purchases of shares of common stock, compensation and other matters relating to liquidity and compliance with regulatory net capital requirements. At June 30, 2026, Lazard had approximately $1,100 million of cash and cash equivalents, including approximately $553 million held at Lazard’s operations outside the U.S. Lazard provides for income taxes on substantially all of its foreign earnings and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66"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expect that no material amount of additional taxes would be recognized upon receipt of dividends or distributions of such earnings from our foreign operations.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remaining lease obligations were $42 million for 2026 (July 1 through December 31), $162 million from 2027 through 2028, $145 million from 2029 through 2030 and $206 million from 2031 through 2039. In addition, as discussed in Note 11 of Notes to Condensed Consolidated Financial Statements, we entered into a lease agreement for additional office facilities that have not yet commenced, with aggregate undiscounted future lease payments of approximately $100 million.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Lazard had approximately $210 million in unused lines of credit available to it, including a $200 million, five-year, senior revolving credit facility under the Second Amended and Restated Credit Agreement, among Lazard Group LLC, the banks from time to time party thereto and Citibank, N.A., as Administrative Agent (as amended from time to time, the “Second Amended and Restated Credit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Second Amended and Restated Credit Agreement may be accelerated upon customary events of default, including non-payment of principal or interest, breaches of covenants, cross-defaults to other material debt, a change in control and specified bankruptcy events. Borrowings under the Second Amended and Restated Credit Agreement generally will bear interest at adjusted term SOFR plus an applicable margin for specific interest periods determined based on Lazard Group’s highest credit rating from an internationally recognized credit agency.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Second Amended and Restated Credit Agreement includes financial covenants that require that Lazard Group LLC not permit (i) its Consolidated Leverage Ratio (as defined in the Second Amended and Restated Credit Agreement) for the 12-month period ending on the last day of any fiscal quarter to be greater than 3.25 to 1.00, provided that the Consolidated Leverage Ratio may be greater than 3.25 to 1.00 for four (consecutive or nonconsecutive) quarters so long as it is not greater than 3.50 to 1.00 on the last day of any such quarter, or (ii) its Consolidated Interest Coverage Ratio (as defined in the Second Amended and Restated Credit Agreement) for the 12-month period ending on the last day of any fiscal quarter to be less than 3.00 to 1.00. No amounts were outstanding under the Second Amended and Restated Credit Agreement as of June 30,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Second Amended and Restated Credit Agreement contains certain other covenants (none of which relate to financial condition), events of default and other customary provisions. At June 30, 2026, the Company was in compliance with all financial and nonfinancial provisions.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Lazard’s annual cash flow generated from operations historically has been sufficient to enable it to meet its annual obligations. We believe that the sources of liquidity described above should be sufficient for us to fund our current obligations for the next 12 months.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also Notes 11, 13, 14, 15, 17 and 18 of Notes to Condensed Consolidated Financial Statements regarding information in connection with commitments, incentive plans, employee benefit plans, income taxes, tax receivable agreement obligations and regulatory requirements,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67"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Senior Debt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our corporate indebtedness as of June 30, 2026 and December 31, 2025. The agreements with respect to this indebtedness are discussed in more detail in our condensed consolidated financial statements and related notes included elsewhere in this Form 10-Q and in our Form 10-K.</w:t>
      </w:r>
    </w:p>
    <w:tbl>
      <w:tblPr>
        <w:tblW w:w="10499" w:type="dxa"/>
        <w:jc w:val="left"/>
        <w:tblInd w:w="0" w:type="dxa"/>
        <w:tblLayout w:type="fixed"/>
        <w:tblCellMar>
          <w:top w:w="28" w:type="dxa"/>
          <w:left w:w="28" w:type="dxa"/>
          <w:bottom w:w="28" w:type="dxa"/>
          <w:right w:w="28" w:type="dxa"/>
        </w:tblCellMar>
      </w:tblPr>
      <w:tblGrid>
        <w:gridCol w:w="353"/>
        <w:gridCol w:w="195"/>
        <w:gridCol w:w="188"/>
        <w:gridCol w:w="109"/>
        <w:gridCol w:w="109"/>
        <w:gridCol w:w="109"/>
        <w:gridCol w:w="360"/>
        <w:gridCol w:w="256"/>
        <w:gridCol w:w="367"/>
        <w:gridCol w:w="109"/>
        <w:gridCol w:w="109"/>
        <w:gridCol w:w="109"/>
        <w:gridCol w:w="211"/>
        <w:gridCol w:w="766"/>
        <w:gridCol w:w="109"/>
        <w:gridCol w:w="109"/>
        <w:gridCol w:w="109"/>
        <w:gridCol w:w="109"/>
        <w:gridCol w:w="266"/>
        <w:gridCol w:w="646"/>
        <w:gridCol w:w="139"/>
        <w:gridCol w:w="109"/>
        <w:gridCol w:w="109"/>
        <w:gridCol w:w="109"/>
        <w:gridCol w:w="211"/>
        <w:gridCol w:w="766"/>
        <w:gridCol w:w="109"/>
        <w:gridCol w:w="109"/>
        <w:gridCol w:w="109"/>
        <w:gridCol w:w="109"/>
        <w:gridCol w:w="211"/>
        <w:gridCol w:w="766"/>
        <w:gridCol w:w="109"/>
        <w:gridCol w:w="109"/>
        <w:gridCol w:w="109"/>
        <w:gridCol w:w="109"/>
        <w:gridCol w:w="266"/>
        <w:gridCol w:w="646"/>
        <w:gridCol w:w="139"/>
        <w:gridCol w:w="109"/>
        <w:gridCol w:w="109"/>
        <w:gridCol w:w="109"/>
        <w:gridCol w:w="211"/>
        <w:gridCol w:w="766"/>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Outstanding as of </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Senior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Annual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w:t>
              <w:br/>
              <w:t>Debt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w:t>
              <w:br/>
              <w:t>Debt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Lazard Group 2028 </w:t>
              <w:br/>
              <w:t>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Lazard Group 2029</w:t>
              <w:br/>
              <w:t>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Lazard Group 2031 </w:t>
              <w:br/>
              <w:t>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Lazard Group 2035</w:t>
              <w:br/>
              <w:t>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indenture and supplemental indentures relating to Lazard Group LLC’s senior notes contain certain covenants (none of which relate to financial condition), events of default and other customary provisions. At June 30, 2026, the Company was in compliance with all of these provisions. We may, to the extent required and subject to restrictions contained in our financing arrangements, use other financing sources, which may cause us to be subject to additional restrictions or covenants.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Guarantor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Lazard, Inc. has provided an unconditional and irrevocable guarantee for the repayment of all the senior notes listed in the table above, and has amended the Second Amended and Restated Credit Agreement, to provide an unconditional and irrevocable guarantee for Lazard Group's obligations under the Second Amended and Restated Credit Agreement. See Note 10 of Notes to Condensed Consolidated Financial Statements for additional information regarding senior debt.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permitted under Rule 13-01 of Regulation S-X, Lazard, Inc. has excluded summarized financial information for Lazard Group because the combined assets, liabilities and results of operations of Lazard, Inc. and Lazard Group for the period were not materially different than the corresponding amounts in Lazard, Inc.’s condensed consolidated financial statements presented herein and management believes such summarized financial information would be repetitive and would not provide incremental value to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68"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Stockholders’ Equity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total stockholders’ equity was $905 million, as compared to $906 million at December 31, 2025, including $914 million and $869 million attributable to Lazard, Inc. on the respective dates. The net activity in stockholders’ equity during the six month period ended June 30, 2026 is reflected in the table below (in millions of dollars):</w:t>
      </w:r>
    </w:p>
    <w:p>
      <w:pPr>
        <w:pStyle w:val="TextBody"/>
        <w:bidi w:val="0"/>
        <w:spacing w:before="0" w:after="0"/>
        <w:ind w:left="0" w:right="0" w:firstLine="720"/>
        <w:jc w:val="both"/>
        <w:rPr/>
      </w:pPr>
      <w:r>
        <w:rPr/>
      </w:r>
    </w:p>
    <w:tbl>
      <w:tblPr>
        <w:tblW w:w="5286" w:type="dxa"/>
        <w:jc w:val="left"/>
        <w:tblInd w:w="0" w:type="dxa"/>
        <w:tblLayout w:type="fixed"/>
        <w:tblCellMar>
          <w:top w:w="28" w:type="dxa"/>
          <w:left w:w="28" w:type="dxa"/>
          <w:bottom w:w="28" w:type="dxa"/>
          <w:right w:w="28" w:type="dxa"/>
        </w:tblCellMar>
      </w:tblPr>
      <w:tblGrid>
        <w:gridCol w:w="1613"/>
        <w:gridCol w:w="1419"/>
        <w:gridCol w:w="1423"/>
        <w:gridCol w:w="211"/>
        <w:gridCol w:w="46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due to:</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share-based incentive compensation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share-based incentive compensation (b)</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dividends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 and deconsolidation of business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(a)Excludes net loss associated with redeemable noncontrolling interests of $9 million.</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tax withholding portion of share-based compensation is settled in cash, not shares.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the Consolidated Financial Statements—Condensed Consolidated Statements of Changes in Stockholders’ Equity and Redeemable Noncontrolling Interests for further detail.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of Directors of Lazard has issued a series of authorizations to repurchase common stock, which help offset the dilutive effect of our share-based incentive compensation plans. The Company aims to repurchase shares to offset dilution from the shares it expects to issue pursuant to such compensation plans in respect of year-end incentive compensation over time. The rate at which the Company purchases shares in connection with this annual objective may vary from period to period due to a variety of factors. Purchases with respect to such program are set forth in the table below:</w:t>
      </w:r>
    </w:p>
    <w:tbl>
      <w:tblPr>
        <w:tblW w:w="5113" w:type="dxa"/>
        <w:jc w:val="left"/>
        <w:tblInd w:w="0" w:type="dxa"/>
        <w:tblLayout w:type="fixed"/>
        <w:tblCellMar>
          <w:top w:w="28" w:type="dxa"/>
          <w:left w:w="28" w:type="dxa"/>
          <w:bottom w:w="28" w:type="dxa"/>
          <w:right w:w="28" w:type="dxa"/>
        </w:tblCellMar>
      </w:tblPr>
      <w:tblGrid>
        <w:gridCol w:w="759"/>
        <w:gridCol w:w="667"/>
        <w:gridCol w:w="673"/>
        <w:gridCol w:w="109"/>
        <w:gridCol w:w="109"/>
        <w:gridCol w:w="109"/>
        <w:gridCol w:w="459"/>
        <w:gridCol w:w="459"/>
        <w:gridCol w:w="461"/>
        <w:gridCol w:w="109"/>
        <w:gridCol w:w="109"/>
        <w:gridCol w:w="109"/>
        <w:gridCol w:w="211"/>
        <w:gridCol w:w="616"/>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Price Per</w:t>
              <w:br/>
              <w:t>Share</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859,849 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 total of $57 million of share repurchase authorization remained available under Lazard, Inc.’s share repurchase program which will expire on December 31, 2026.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22, 2026, the Board of Directors authorized additional share repurchases of $200 million, which expire as of December 31, 2028, bringing the total outstanding share repurchase authorization to approximately $257 million.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 period ended June 30, 2026, Lazard, Inc. had in place trading plans under Rule 10b5-1 of the Securities Exchange Act of 1934, as amended (the “Exchange Act”), pursuant to which it effected stock repurchases in the open market.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22, 2026, the Board of Directors of Lazard declared a quarterly dividend of $0.50 per share on our common stock. The dividend is payable on August 14, 2026 to stockholders of record on August 3,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Notes 12 and 13 of Notes to Condensed Consolidated Financial Statements for additional information regarding Lazard’s stockholders’ equity and incentive plans,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69"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Regulatory Capital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Lazard’s condensed consolidated financial statements, in conformity with U.S. GAAP,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the allowance for credit losses, compensation liabilities, income taxes (including the impact on the tax receivable agreement obligation),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Lazard’s critical accounting estimates and judgments used in the preparation of its condensed consolidated financial statements.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Lazard generates substantially all of its revenue from providing Financial Advisory and Asset Management services to clients. Lazard recognizes revenue in accordance with the criteria in Note 2 of Notes to Consolidated Financial Statements in our Form 10-K.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Assessment of these criteria requires the application of judgment in determining the timing and amount of revenue recognized, including the probability of collection of fees.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an allowance for credit losses to provide coverage for estimated losses from our receivables. We determine the adequacy of the allowance under the current expected credit losses (“CECL”) guidance by (i) applying a charge-off rate based on historical credit loss experience; (ii) estimating the probability of loss based on our analysis of the client’s creditworthiness resulting in specific reserves against exposures where we determine the receivables are uncollectible, which may include situations where a fee is in dispute or litigation has commenced; and (iii) performing qualitative assessments to monitor economic risks that may require additional adjustments.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involves judgment including the incorporation of historical loss experience and assessment of risk characteristics of our clients. The charge-off rate based on historical credit loss experience is an average annual rate estimated using the most recent two years of charge-off data. When assessing risk characteristics of individual clients, we considered the macroeconomic environment in the local market, our collection experience and recent communication with the client, as well as any potential future engagement with the client.</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Compensation Liabilities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Annual discretionary compensation represents a significant portion of our annual compensation and benefits expense. We allocate the estimated amount of such annual discretionary compensation to interim periods by segment in proportion to the amount of adjusted net revenue earned in such periods based on an estimated annual ratio of adjusted compensation and benefits expense to adjusted net revenue. See “Financial Statement Overview—Operating Expenses” for more information on our periodic compensation and benefits expense and Note 1 of Notes to Condensed Consolidated Financial Statements for additional information regarding the change in accounting principle in the first quarter of 2026 for recognizing compensation expense on certain incentive compensation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70" name="Frame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interim and annual provisions for income taxes, our deferred tax assets and liabilities, any valuation allowance recorded against our deferred tax assets and our unrecognized tax benefits.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a deferred tax asset if it is more likely than not (defined as a likelihood of greater than 50%) that a tax benefit will be accepted by the relevant taxing authority. The measurement of deferred tax assets and liabilities is based upon currently enacted tax rates in the applicable jurisdictions.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multiple possible sources of taxable income when assessing a valuation allowance against a deferred tax asset. See Note 2 of Notes to Consolidated Financial Statements in our Form 10-K for additional information on sources of taxable income, and the information considered when assessing whether a valuation allowance is required.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our tax-paying entities have individually experienced losses on a cumulative three year basis or have tax attributes that may expire unused. In addition, some of our tax-paying entities have recorded a valuation allowance on substantially all of their deferred tax assets due to the combined effect of operating losses in certain subsidiaries of these entities as well as foreign taxes that together limit their ability to eliminate residual U.S. tax liability. Taking into account all available information, we cannot determine that it is more likely than not that deferred tax assets held by these entities will be realized. Consequently, we have recorded valuation allowances on deferred tax assets held by these entities as of December 31,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discussion above regarding deferred tax assets and associated valuation allowances, as well as unrecognized tax benefit liability estimates, other factors affect our interim and annual provisions for income taxes, including changes in the geographic mix of our business, the level of our projected and actual annual pre-tax income, transfer pricing and intercompany transactions.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Item 1A, “Risk Factors” in our Form 10-K and Note 15 of Notes to Condensed Consolidated Financial Statements for additional information related to income taxes.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Second Amended and Restated Tax Receivable Agreement, dated as of October 26, 2015 (the “TRA”), between Lazard and LTBP Trust (the “Trust”) provides for payments by our subsidiaries to the owners of the Trust, who include one of our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71"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 of the TRA liability is an undiscounted amount based upon current tax laws and the structure of the Company and various assumptions regarding potential future operating profitability. The assumptions reflected in the estimate involve significant judgment, and as such, the actual amount and timing of payments under the TRA could differ materially from our estimates. See Note 17 of Notes to Condensed Consolidated Financial Statements for additional information regarding the TRA.</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Goodwill has an indefinite life and is tested for impairment annually, as of October 1, or more frequently if circumstances indicate impairment may have occurred. The Company performs a qualitative assessment about whether it is more likely than not that the fair value of a reporting unit is less than its carrying amount in lieu of actually calculating the fair value of the reporting unit. The qualitative assessment includes significant judgment on the business outlook assumptions of each reporting unit based on historical data, current economic conditions, stock performance and industry trends. If events indicate that it is more likely than not that the reporting unit’s fair value is less than its carrying value, the Company performs a quantitative assessment to determine the fair value of the reporting unit and compares it to its carrying values. If the carrying value of a reporting unit exceeds its fair value, the Company would recognize an impairment loss equal to the excess. The goodwill impairment tests indicated no reporting units were at risk of impairment. See Note 9 of Notes to Condensed Consolidated Financial Statements for additional information regarding goodwill.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Consolidation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entities in which Lazard has a controlling financial interest. Lazard determines whether it has a controlling financial interest in an entity by first evaluating whether the entity is a voting interest entity (“VOE”) or a variable interest entity (“VIE”) under U.S. GAAP.</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Lazard’s involvement with various entities that are VOEs or VIEs primarily arises from LFI investments, seed and other investments in our Asset Management business. Lazard consolidates these entities when it has a controlling financial interest.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impact of seed and LFI investment entities that require consolidation on the condensed consolidated financial statements, including any consolidation or deconsolidation of such entities, is not material to our financial statements. Our exposure to loss from entities in which we have made such investments is limited to the extent of our investment in, or investment commitment to, such entities.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Generally, when the Company initially invests to seed an investment entity, the Company is the majority owner of the entity. Our majority ownership in seed investment entities represents a controlling financial interest, except when we are the general partner in such entities and the third-party investors have the right to replace the general partner. To the extent material, we consolidate seed and LFI investment entities in which we own a controlling financial interest, and we would deconsolidate any such entity when we no longer have a controlling financial interest in such entity.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Seed investments held in entities in which the Company maintained a controlling financial interest were $146 million in twelve entities as of June 30, 2026, as compared to $183 million in thirteen entities as of December 31, 2025. LFI investments held in entities in which the Company maintained a controlling financial interest were $31 million in nine entities as of June 30, 2026, as compared to $63 million in nine entities as of December 31,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did not consolidate any seed investment entities or LFI investment entities, with the exception of the consolidation of certain LFI funds (see Note 20 of Notes to Condensed Consolidated Financial Statements). As such, seed investments and substantially all of LFI investments included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72" name="Frame7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0"/>
        </w:rPr>
        <w:t xml:space="preserve">investments” on the condensed consolidated statements of financial condition represented the Company’s economic interest in the seed and LFI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Management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consist primarily of debt and equity securities, and interests in alternative investment, debt, equity and private equity funds. These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also include those investments accounted for under the equity method of accounting. Any increases or decreases in the Company’s share of net income or losses pertaining to its equity method investments are reflected in earnings.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6 of Notes to Condensed Consolidated Financial Statements for additional information on the measurement of the fair value of investments.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Lazard is subject to market and other risks on investments held. As such, gains and losses on investment positions held, which arise from sales or changes in the fair value of the investments, are not predictable and can cause periodic fluctuations in net income.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Data relating to investments is set forth below:</w:t>
      </w:r>
    </w:p>
    <w:tbl>
      <w:tblPr>
        <w:tblW w:w="6361" w:type="dxa"/>
        <w:jc w:val="left"/>
        <w:tblInd w:w="0" w:type="dxa"/>
        <w:tblLayout w:type="fixed"/>
        <w:tblCellMar>
          <w:top w:w="28" w:type="dxa"/>
          <w:left w:w="28" w:type="dxa"/>
          <w:bottom w:w="28" w:type="dxa"/>
          <w:right w:w="28" w:type="dxa"/>
        </w:tblCellMar>
      </w:tblPr>
      <w:tblGrid>
        <w:gridCol w:w="1211"/>
        <w:gridCol w:w="1065"/>
        <w:gridCol w:w="1068"/>
        <w:gridCol w:w="211"/>
        <w:gridCol w:w="826"/>
        <w:gridCol w:w="109"/>
        <w:gridCol w:w="109"/>
        <w:gridCol w:w="109"/>
        <w:gridCol w:w="109"/>
        <w:gridCol w:w="273"/>
        <w:gridCol w:w="1072"/>
        <w:gridCol w:w="199"/>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Seed investments by asset class: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24,493 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29,856 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Private equity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seed investments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291,459 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 owned:</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Private equity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investments owned</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9,121 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300,580 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Private equity consolidated, not owned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LFI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540,634 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625,846 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605" cy="14605"/>
                <wp:effectExtent l="0" t="0" r="0" b="0"/>
                <wp:wrapNone/>
                <wp:docPr id="73" name="Frame7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(a)At June 30, 2026 and December 31, 2025, seed investments in directly owned equity securities were invested as follows:</w:t>
      </w:r>
    </w:p>
    <w:tbl>
      <w:tblPr>
        <w:tblW w:w="5005" w:type="dxa"/>
        <w:jc w:val="left"/>
        <w:tblInd w:w="0" w:type="dxa"/>
        <w:tblLayout w:type="fixed"/>
        <w:tblCellMar>
          <w:top w:w="28" w:type="dxa"/>
          <w:left w:w="28" w:type="dxa"/>
          <w:bottom w:w="28" w:type="dxa"/>
          <w:right w:w="28" w:type="dxa"/>
        </w:tblCellMar>
      </w:tblPr>
      <w:tblGrid>
        <w:gridCol w:w="727"/>
        <w:gridCol w:w="639"/>
        <w:gridCol w:w="643"/>
        <w:gridCol w:w="250"/>
        <w:gridCol w:w="250"/>
        <w:gridCol w:w="624"/>
        <w:gridCol w:w="109"/>
        <w:gridCol w:w="109"/>
        <w:gridCol w:w="109"/>
        <w:gridCol w:w="314"/>
        <w:gridCol w:w="314"/>
        <w:gridCol w:w="917"/>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invested in:</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Financials</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makes investments primarily to seed strategies in our Asset Management business or to reduce exposure arising from LFI and other similar deferred compensation arrangements. The Company manages its net economic exposure to market and other risks arising from seed investments and other investments owned. The Company does not hedge investments associated with LFI and other similar deferred compensation arrangements, or investments in funds owned entirely by the noncontrolling interest holders as there is no net economic exposure.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risk associated with investments held in connection with LFI and other similar deferred compensation arrangements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Risk sensitivities include the effects of economic hedging. For equity market price risk, investment portfolios and their corresponding hedges are beta-adjusted to the All-Country World equity index. Interest rate and credit spread risk and foreign exchange rate risk are hedged using relevant benchmark indices. Private equity risk is not hedged due to lack of proxy hedging instruments.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Equity Market Price Risk—At June 30, 2026 and December 31, 2025, the Company’s exposure to equity market price risk in its investment portfolio, which primarily relates to investments in equity securities, equity funds and hedge funds, was approximately $286 million and $259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$1.9 million and $1.0 million as of June 30, 2026 and December 31, 2025, respectively, in the carrying value of such investments, including the effect of the hedging transactions.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Rate and Credit Spread Risk—At June 30, 2026 and December 31, 2025, the Company’s exposure to interest rate and credit spread risk in its investment portfolio related to investments in debt securities or funds which invest primarily in debt securities was $19 million and $22 million, respectively. The Company hedges market exposure arising from a portion of our debt investment portfolios by entering into total return swaps. The Company estimates that a hypothetical 100 basis point adverse change in interest rates or credit spreads would result in a net decrease of approximately $0.5 million and $0.7 million as of June 30, 2026 and December 31, 2025, respectively, including the effect of the hedging transactions.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Exchange Rate Risk—At June 30, 2026 and December 31, 2025, the Company’s exposure to foreign exchange rate risk in its investment portfolio, which primarily relates to investments in foreign currency denominated equity and debt securities and private equity investments was $126 million and $114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net decrease of approximately $2.7 million and $2.0 million in the carrying value of such investments as of June 30, 2026 and December 31, 2025, respectively, including the effect of the hedging transactions.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Private Equity—The Company invests in private equity primarily as a part of its co-investment activities and in connection with certain legacy businesses. At June 30, 2026 and December 31, 2025, the Company’s exposure to changes in fair value of such investments was approximately $23 million and $28 million, respectively. The Company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74" name="Frame7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that a hypothetical 10% adverse change in fair value would result in a decrease of approximately $2.3 million and $2.8 million, respectively, in the carrying value of such investments as of June 30, 2026 and December 31,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risks associated with our investments, see Item 1A, “Risk Factors—Other Business Risks—Our results of operations may be affected by fluctuations in the fair value of positions held in our investment portfolios” in our Form 10-K.</w:t>
      </w:r>
    </w:p>
    <w:p>
      <w:pPr>
        <w:pStyle w:val="TextBody"/>
        <w:bidi w:val="0"/>
        <w:spacing w:lineRule="auto" w:line="288" w:before="36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Risks Related to Receivables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an allowance for credit losses to provide coverage for expected losses from our receivables. At June 30, 2026, total receivables amounted to $765 million, net of an allowance for credit losses of $24 million. As of that date, Financial Advisory and Asset Management fees, and customers and other receivables comprised 76% and 24% of total receivables, respectively. At December 31, 2025, total receivables amounted to $898 million, net of an allowance for credit losses of $23 million. As of that date, Financial Advisory and Asset Management fees, and customers and other receivables comprised 79% and 21% of total receivables, respectively. See also “Critical Accounting Policies and Estimates—Revenue Recognition” above and Note 4 of Notes to Condensed Consolidated Financial Statements for additional information regarding receivables.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LFG and LFB offer wealth management and banking services to high net worth individuals and families. At both June 30, 2026 and December 31, 2025, customers and other receivables included $142 million. Such LFB loans are fully collateralized and monitored for counterparty creditworthiness, with such collateral having a fair value in excess of the carrying amount of the loans. Therefore, there was no allowance for credit losses required at those dates related to such receivables. </w:t>
      </w:r>
    </w:p>
    <w:p>
      <w:pPr>
        <w:pStyle w:val="TextBody"/>
        <w:bidi w:val="0"/>
        <w:spacing w:lineRule="auto" w:line="288" w:before="3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Credit Concentrations</w:t>
      </w:r>
    </w:p>
    <w:p>
      <w:pPr>
        <w:pStyle w:val="TextBody"/>
        <w:bidi w:val="0"/>
        <w:spacing w:lineRule="auto" w:line="288" w:before="120" w:after="283"/>
        <w:ind w:left="0" w:right="0" w:firstLine="556"/>
        <w:jc w:val="both"/>
        <w:rPr>
          <w:rFonts w:ascii="Times New Roman;serif" w:hAnsi="Times New Roman;serif"/>
          <w:b w:val="false"/>
          <w:color w:val="000000"/>
          <w:sz w:val="20"/>
        </w:rPr>
      </w:pPr>
      <w:r>
        <w:rPr>
          <w:rFonts w:ascii="Times New Roman;serif" w:hAnsi="Times New Roman;serif"/>
          <w:b w:val="false"/>
          <w:color w:val="000000"/>
          <w:sz w:val="20"/>
        </w:rPr>
        <w:t>The Company monitors its exposures to individual counterparties and diversifies where appropriate to reduce the exposure to concentrations of credit.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Risks Related to Derivatives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investments that seed strategies in our Asset Management business. Derivative contracts are recorded at fair value. In entering into derivative agreements, the Company is subject to counterparty risk. Net derivative assets amounted to $2 million and $0.5 million at June 30, 2026 and December 31, 2025, respectively, and net derivative liabilities, excluding the derivative liability arising from the Company’s obligation pertaining to LFI and other similar deferred compensation arrangements, amounted to $20 million and $30 million at June 30, 2026 and December 31, 2025,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$121 million and $189 million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Cash and Cash Equivalents and Corporate Indebtedness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portion of the Company’s indebtedness has fixed interest rates, while its cash and cash equivalents typically bear interest at market interest rates. Based on account balances as of June 30, 2026, Lazard estimates that its annual operating income relating to cash and cash equivalents would increase by approximately $11 million in the event interest rates were to increase by 1% and decrease by approximately $11 million if rates were to decrease by 1%.</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cash and cash equivalents totaled approximately $1,100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(iii) overnight reverse repurchase agreements and (iv) in short-term certificates of deposit from such banks. Cash and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75" name="Frame7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equivalents are continuously monitored. On a regular basis, management reviews its investment profile as well as the credit profile of its list of depositor banks in order to adjust any deposit or investment thresholds as necessary.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Operational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Operational risk is inherent in all of our businesses and may, for example, manifest itself in the form of errors, breaches in the system of internal controls, employee misconduct, business interruptions, fraud, including fraud perpetrated by third parties, legal actions due to operating deficiencies, noncompliance or cyber attacks. The Company maintains a framework including policies and a system of internal controls designed to monitor and manage operational risk and provide management with timely and accurate information. Management within each of our operating subsidiaries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other losses that may significantly affect our financial objectives, personnel, property or our ability to continue to meet our responsibilities to our various stakeholder groups. See Item 1A, “Risk Factors” in our Form 10-K for more information regarding operational risk in our business and Item 1C, “Cybersecurity” in our Form 10-K for more information on the Company’s processes to identify, assess and manage cybersecurity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 Management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 are included under the caption “Management’s Discussion and Analysis of Financial Condition and Results of Operations—Risk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76" name="Frame7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involved from time to time in judicial, governmental, regulatory and arbitration proceedings and inquiries concerning matters arising in connection with the conduct of our businesses, including contractual and employment matters. The Company reviews such matters on a case-by-case basis and establishes any required accrual if a loss is probable and the amount of such loss can be reasonably estimated. The Company may experience significant variation in its revenue and earnings on a quarterly basis. Accordingly, the results of any pending matter or matters could be significant when compared to the Company’s earnings in any particular quarter. The Company believes, however, based on currently available information, that the results of any pending matters, in the aggregate, will not have a material effect on its business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from the risk factors previously disclosed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Issuer Repurchases of Equity Securities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Lazard’s purchases of its common stock on a monthly basis during the second quarter of 2026. Share repurchases are recorded on a trade date basis.</w:t>
      </w:r>
    </w:p>
    <w:tbl>
      <w:tblPr>
        <w:tblW w:w="8682" w:type="dxa"/>
        <w:jc w:val="left"/>
        <w:tblInd w:w="0" w:type="dxa"/>
        <w:tblLayout w:type="fixed"/>
        <w:tblCellMar>
          <w:top w:w="28" w:type="dxa"/>
          <w:left w:w="28" w:type="dxa"/>
          <w:bottom w:w="28" w:type="dxa"/>
          <w:right w:w="28" w:type="dxa"/>
        </w:tblCellMar>
      </w:tblPr>
      <w:tblGrid>
        <w:gridCol w:w="920"/>
        <w:gridCol w:w="809"/>
        <w:gridCol w:w="820"/>
        <w:gridCol w:w="109"/>
        <w:gridCol w:w="109"/>
        <w:gridCol w:w="109"/>
        <w:gridCol w:w="309"/>
        <w:gridCol w:w="309"/>
        <w:gridCol w:w="313"/>
        <w:gridCol w:w="109"/>
        <w:gridCol w:w="109"/>
        <w:gridCol w:w="109"/>
        <w:gridCol w:w="211"/>
        <w:gridCol w:w="616"/>
        <w:gridCol w:w="109"/>
        <w:gridCol w:w="109"/>
        <w:gridCol w:w="109"/>
        <w:gridCol w:w="109"/>
        <w:gridCol w:w="374"/>
        <w:gridCol w:w="374"/>
        <w:gridCol w:w="376"/>
        <w:gridCol w:w="109"/>
        <w:gridCol w:w="109"/>
        <w:gridCol w:w="109"/>
        <w:gridCol w:w="244"/>
        <w:gridCol w:w="713"/>
        <w:gridCol w:w="126"/>
        <w:gridCol w:w="220"/>
        <w:gridCol w:w="220"/>
        <w:gridCol w:w="311"/>
      </w:tblGrid>
      <w:tr>
        <w:trPr/>
        <w:tc>
          <w:tcPr>
            <w:tcW w:w="92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w:t>
              <w:br/>
              <w:t>as Part of</w:t>
              <w:br/>
              <w:t>Publicly</w:t>
              <w:br/>
              <w:t>Announced</w:t>
              <w:br/>
              <w:t>Plans or</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Approximate</w:t>
              <w:br/>
              <w:t>Dollar Value of</w:t>
              <w:br/>
              <w:t>Shares that May</w:t>
              <w:br/>
              <w:t>Yet Be Purchased</w:t>
              <w:br/>
              <w:t>Under the Plans or</w:t>
              <w:br/>
              <w:t>Programs</w:t>
            </w:r>
          </w:p>
        </w:tc>
      </w:tr>
      <w:tr>
        <w:trPr/>
        <w:tc>
          <w:tcPr>
            <w:tcW w:w="25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Program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Tax Withholding </w:t>
              <w:br/>
              <w:t>   Transactions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Program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Tax Withholding </w:t>
              <w:br/>
              <w:t>   Transactions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Program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Tax Withholding </w:t>
              <w:br/>
              <w:t>   Transactions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Program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Tax Withholding </w:t>
              <w:br/>
              <w:t>   Transactions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9085"/>
                <wp:effectExtent l="0" t="0" r="0" b="0"/>
                <wp:wrapNone/>
                <wp:docPr id="77" name="Frame7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Board of Directors of Lazard authorized the repurchase of common stock as set forth in the table below as of June 30, 2026.</w:t>
      </w:r>
    </w:p>
    <w:tbl>
      <w:tblPr>
        <w:tblW w:w="4567" w:type="dxa"/>
        <w:jc w:val="left"/>
        <w:tblInd w:w="0" w:type="dxa"/>
        <w:tblLayout w:type="fixed"/>
        <w:tblCellMar>
          <w:top w:w="28" w:type="dxa"/>
          <w:left w:w="28" w:type="dxa"/>
          <w:bottom w:w="28" w:type="dxa"/>
          <w:right w:w="28" w:type="dxa"/>
        </w:tblCellMar>
      </w:tblPr>
      <w:tblGrid>
        <w:gridCol w:w="335"/>
        <w:gridCol w:w="294"/>
        <w:gridCol w:w="301"/>
        <w:gridCol w:w="109"/>
        <w:gridCol w:w="109"/>
        <w:gridCol w:w="109"/>
        <w:gridCol w:w="232"/>
        <w:gridCol w:w="908"/>
        <w:gridCol w:w="119"/>
        <w:gridCol w:w="109"/>
        <w:gridCol w:w="109"/>
        <w:gridCol w:w="109"/>
        <w:gridCol w:w="502"/>
        <w:gridCol w:w="502"/>
        <w:gridCol w:w="720"/>
      </w:tblGrid>
      <w:tr>
        <w:trPr/>
        <w:tc>
          <w:tcPr>
            <w:tcW w:w="3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Repurchase</w:t>
              <w:br/>
              <w:t>Authorization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Expiration</w:t>
            </w:r>
          </w:p>
        </w:tc>
      </w:tr>
      <w:tr>
        <w:trPr/>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purchases under the share repurchase program over time are used to offset dilution from the shares that have been or will be issued under the 2018 Plan, as amended. Purchases under the share repurchase program may be made in the open market or through privately negotiated transactions, including those with employees. The rate at which the Company purchases shares in connection with the share repurchase program may vary from period to period due to a variety of factors. Amounts shown in this line item include repurchases of common stock and exclude the shares of common stock withheld by the Company to meet the minimum statutory tax withholding requirements as described below. As of June 30, 2026, a total of $57 million of share repurchase authorization remained available under Lazard, Inc.’s share repurchase program, which will expire on December 31, 2026. </w:t>
      </w:r>
    </w:p>
    <w:p>
      <w:pPr>
        <w:pStyle w:val="TextBody"/>
        <w:bidi w:val="0"/>
        <w:spacing w:lineRule="auto" w:line="288" w:before="240" w:after="283"/>
        <w:jc w:val="both"/>
        <w:rPr/>
      </w:pPr>
      <w:r>
        <w:rPr>
          <w:rFonts w:ascii="Times New Roman;serif" w:hAnsi="Times New Roman;serif"/>
          <w:b w:val="false"/>
          <w:color w:val="000000"/>
          <w:sz w:val="20"/>
        </w:rPr>
        <w:t>On July 22, 2026, the Board of Directors authorized additional share repurchases of $200 million,</w:t>
      </w:r>
      <w:r>
        <w:rPr>
          <w:color w:val="000000"/>
        </w:rPr>
        <w:t xml:space="preserve"> </w:t>
      </w:r>
      <w:r>
        <w:rPr>
          <w:rFonts w:ascii="Times New Roman;serif" w:hAnsi="Times New Roman;serif"/>
          <w:b w:val="false"/>
          <w:color w:val="000000"/>
          <w:sz w:val="20"/>
        </w:rPr>
        <w:t>which expire as of December 31, 2028, bringing the total outstanding share repurchase authorization to approximately $257 million.</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(2)Under the terms of the 2018 Plan, upon the settlement of RSUs, shares of common stock may be withheld by the Company to meet the minimum statutory tax withholding requirements. During the three month period ended June 30, 2026, the Company satisfied such obligations in lieu of issuing 83,395 shares of common stock upon the settlement of 235,365 of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certain directors and officers of the Company adopted a “Rule 10b5-1 trading arrangement,” as defined in Item 408(a) of Regulation S-K, as set forth in the table below:</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118"/>
        <w:gridCol w:w="846"/>
        <w:gridCol w:w="850"/>
        <w:gridCol w:w="205"/>
        <w:gridCol w:w="205"/>
        <w:gridCol w:w="206"/>
        <w:gridCol w:w="109"/>
        <w:gridCol w:w="109"/>
        <w:gridCol w:w="109"/>
        <w:gridCol w:w="246"/>
        <w:gridCol w:w="246"/>
        <w:gridCol w:w="252"/>
        <w:gridCol w:w="109"/>
        <w:gridCol w:w="109"/>
        <w:gridCol w:w="109"/>
        <w:gridCol w:w="279"/>
        <w:gridCol w:w="279"/>
        <w:gridCol w:w="241"/>
        <w:gridCol w:w="151"/>
        <w:gridCol w:w="151"/>
        <w:gridCol w:w="151"/>
        <w:gridCol w:w="375"/>
        <w:gridCol w:w="375"/>
        <w:gridCol w:w="396"/>
        <w:gridCol w:w="109"/>
        <w:gridCol w:w="109"/>
        <w:gridCol w:w="109"/>
        <w:gridCol w:w="412"/>
        <w:gridCol w:w="383"/>
        <w:gridCol w:w="384"/>
        <w:gridCol w:w="109"/>
        <w:gridCol w:w="109"/>
        <w:gridCol w:w="109"/>
        <w:gridCol w:w="331"/>
        <w:gridCol w:w="331"/>
        <w:gridCol w:w="484"/>
      </w:tblGrid>
      <w:tr>
        <w:trPr/>
        <w:tc>
          <w:tcPr>
            <w:tcW w:w="111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Rule 10b5-1 (a)</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Non-Rule 10b5-1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Shares to be Sold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Expiration Date</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Peter R. Orszag (Chief Executive Officer and Chairman)</w:t>
            </w:r>
          </w:p>
        </w:tc>
        <w:tc>
          <w:tcPr>
            <w:tcW w:w="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22,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84,103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2027</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Tracy Farr (Chief Financial Officer)</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3,476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2027</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Christopher Hogbin (Chief Executive Officer of Lazard Asset Management)</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10,228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2027</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Christian A. Weideman (General Counsel)</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14,169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2027</w:t>
            </w:r>
          </w:p>
        </w:tc>
      </w:tr>
    </w:tbl>
    <w:p>
      <w:pPr>
        <w:pStyle w:val="TextBody"/>
        <w:bidi w:val="0"/>
        <w:spacing w:lineRule="auto" w:line="26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6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(a)Intended to satisfy the affirmative defense conditions of Rule 10b5-1(c).</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(b)Not intended to satisfy the affirmative defense conditions of Rule 10b5-1(c).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9085"/>
                <wp:effectExtent l="0" t="0" r="0" b="0"/>
                <wp:wrapNone/>
                <wp:docPr id="78" name="Frame7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(c)Represents the maximum number of shares that may be sold pursuant to the Rule 10b5-1 trading arrangement. The actual number of shares sold will be dependent on the terms of, and the satisfaction of the conditions as set forth in, the written plan. Sales of the shares pursuant to the plan, together with any incremental sales to the Company, are intended to cover estimated taxes and other personal expenditures.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(d)The Rule 10b5-1 trading arrangement includes the sale of shares to be received upon future vesting of certain outstanding equity awards, net of any shares withheld by us to satisfy applicable taxes. The number of shares to be withheld, and thus the exact number of shares to be sold pursuant to the Rule 10b5-1 trading arrangement, can only be determined upon the occurrence of the future vesting events.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other directors or and no other officers of the Company entered into, modified or terminated, contracts, instructions or written plans for the sale or purchase of Lazard securities that were intended to satisfy the affirmative defense conditions of Rule 10b5-1 or that constituted non-Rule 10b5-1 trading arrangements (as defined in Item 408 of Regulation S-K of the Exchange Act).</w:t>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9085"/>
                <wp:effectExtent l="0" t="0" r="0" b="0"/>
                <wp:wrapNone/>
                <wp:docPr id="79" name="Frame7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240" w:after="283"/>
        <w:jc w:val="both"/>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3"/>
        <w:gridCol w:w="255"/>
        <w:gridCol w:w="260"/>
        <w:gridCol w:w="109"/>
        <w:gridCol w:w="109"/>
        <w:gridCol w:w="109"/>
        <w:gridCol w:w="2678"/>
        <w:gridCol w:w="2626"/>
        <w:gridCol w:w="3766"/>
      </w:tblGrid>
      <w:tr>
        <w:trPr/>
        <w:tc>
          <w:tcPr>
            <w:tcW w:w="29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Exhibits </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00"/>
                  <w:sz w:val="20"/>
                  <w:u w:val="single"/>
                </w:rPr>
                <w:t>Sale and Purchase Agreement, dated April 30, 2026, by and among Lazard, Inc. and the sellers party thereto (incorporated by reference to Exhibit 2.1 to the Registrant’s Current Report on Form 8-K (File No. 001-32492) filed on May 1, 2026).</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00"/>
                  <w:sz w:val="20"/>
                  <w:u w:val="single"/>
                </w:rPr>
                <w:t>Certificate of Incorporation of the Registrant (incorporated by reference to Exhibit 3.1 to the Registrant’s Current Report (File No. 001-32492) on Form 8-K filed on January 2, 2024).</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80"/>
                  <w:sz w:val="20"/>
                  <w:u w:val="single"/>
                </w:rPr>
                <w:t>Certificate of Amendment,</w:t>
              </w:r>
            </w:hyperlink>
            <w:hyperlink r:id="rId5">
              <w:r>
                <w:rPr>
                  <w:rStyle w:val="InternetLink"/>
                  <w:rFonts w:ascii="Times New Roman;serif" w:hAnsi="Times New Roman;serif"/>
                  <w:b w:val="false"/>
                  <w:color w:val="000080"/>
                  <w:sz w:val="20"/>
                  <w:u w:val="single"/>
                </w:rPr>
                <w:t xml:space="preserve"> </w:t>
              </w:r>
            </w:hyperlink>
            <w:hyperlink r:id="rId6">
              <w:r>
                <w:rPr>
                  <w:rStyle w:val="InternetLink"/>
                  <w:rFonts w:ascii="Times New Roman;serif" w:hAnsi="Times New Roman;serif"/>
                  <w:b w:val="false"/>
                  <w:color w:val="000080"/>
                  <w:sz w:val="20"/>
                  <w:u w:val="single"/>
                </w:rPr>
                <w:t>dated May 22,</w:t>
              </w:r>
            </w:hyperlink>
            <w:hyperlink r:id="rId7">
              <w:r>
                <w:rPr>
                  <w:rStyle w:val="InternetLink"/>
                  <w:rFonts w:ascii="Times New Roman;serif" w:hAnsi="Times New Roman;serif"/>
                  <w:b w:val="false"/>
                  <w:color w:val="000080"/>
                  <w:sz w:val="20"/>
                  <w:u w:val="single"/>
                </w:rPr>
                <w:t xml:space="preserve"> </w:t>
              </w:r>
            </w:hyperlink>
            <w:hyperlink r:id="rId8">
              <w:r>
                <w:rPr>
                  <w:rStyle w:val="InternetLink"/>
                  <w:rFonts w:ascii="Times New Roman;serif" w:hAnsi="Times New Roman;serif"/>
                  <w:b w:val="false"/>
                  <w:color w:val="000080"/>
                  <w:sz w:val="20"/>
                  <w:u w:val="single"/>
                </w:rPr>
                <w:t>2026, to the Certificate of Incorporation of Lazard, Inc</w:t>
              </w:r>
            </w:hyperlink>
            <w:hyperlink r:id="rId9">
              <w:r>
                <w:rPr>
                  <w:rStyle w:val="InternetLink"/>
                  <w:rFonts w:ascii="Times New Roman;serif" w:hAnsi="Times New Roman;serif"/>
                  <w:b w:val="false"/>
                  <w:color w:val="000080"/>
                  <w:sz w:val="20"/>
                  <w:u w:val="single"/>
                </w:rPr>
                <w:t>.</w:t>
              </w:r>
            </w:hyperlink>
            <w:hyperlink r:id="rId10">
              <w:r>
                <w:rPr>
                  <w:rStyle w:val="InternetLink"/>
                  <w:rFonts w:ascii="Times New Roman;serif" w:hAnsi="Times New Roman;serif"/>
                  <w:b w:val="false"/>
                  <w:color w:val="000080"/>
                  <w:sz w:val="20"/>
                  <w:u w:val="single"/>
                </w:rPr>
                <w:t xml:space="preserve"> (incorporated by reference to Exhibit 3.1 to the Registrant’s Current Report (File No. 001-32492) on Form 8-K filed on May 22, 2026).</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00"/>
                  <w:sz w:val="20"/>
                  <w:u w:val="single"/>
                </w:rPr>
                <w:t>Amended and Restated By-laws of Lazard, Inc. effective as of May 22, 2026 (incorporated by reference to Exhibit 3.2 to the Registrant’s Current Report (File No. 001-32492) on Form 8-K filed on May 22, 2026).</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erif" w:hAnsi="Times New Roman;serif"/>
                <w:color w:val="000000"/>
              </w:rPr>
              <w:instrText xml:space="preserve"> HYPERLINK "https://www.sec.gov/ix?doc=/Archives/edgar/data/0001311370/000162828026020573/laz-20260323.htm" \l "ie29dd17b96bf49f8bafc81a8949620ac_2338"</w:instrText>
            </w:r>
            <w:r>
              <w:rPr>
                <w:rStyle w:val="InternetLink"/>
                <w:sz w:val="20"/>
                <w:u w:val="single"/>
                <w:b w:val="false"/>
                <w:rFonts w:ascii="Times New Roman;serif" w:hAnsi="Times New Roman;serif"/>
                <w:color w:val="000000"/>
              </w:rPr>
              <w:fldChar w:fldCharType="separate"/>
            </w:r>
            <w:r>
              <w:rPr>
                <w:rStyle w:val="InternetLink"/>
                <w:rFonts w:ascii="Times New Roman;serif" w:hAnsi="Times New Roman;serif"/>
                <w:b w:val="false"/>
                <w:color w:val="000000"/>
                <w:sz w:val="20"/>
                <w:u w:val="single"/>
              </w:rPr>
              <w:t>Fourth Amendment to the Lazard, Inc. 2018 Incentive Compensation Plan (incorporated by reference to Annex C to the Registrant’s Definitive Proxy Statement on Schedule 14A (File No. 001-32492) filed on May 22, 2026).</w:t>
            </w:r>
            <w:r>
              <w:rPr>
                <w:rStyle w:val="InternetLink"/>
                <w:sz w:val="20"/>
                <w:u w:val="single"/>
                <w:b w:val="false"/>
                <w:rFonts w:ascii="Times New Roman;serif" w:hAnsi="Times New Roman;serif"/>
                <w:color w:val="000000"/>
              </w:rPr>
              <w:fldChar w:fldCharType="end"/>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00"/>
                  <w:sz w:val="20"/>
                  <w:u w:val="single"/>
                </w:rPr>
                <w:t>List of Issuers of Guaranteed Securities (incorporated by reference to Exhibit 22.1 to the Registrant’s Annual Report on Form 10-K (File No. 001-32492) filed on February 23, 2026).</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az-20260630xex311.htm">
              <w:r>
                <w:rPr>
                  <w:rStyle w:val="InternetLink"/>
                  <w:rFonts w:ascii="Times New Roman;serif" w:hAnsi="Times New Roman;serif"/>
                  <w:b w:val="false"/>
                  <w:color w:val="000000"/>
                  <w:sz w:val="20"/>
                  <w:u w:val="single"/>
                </w:rPr>
                <w:t>Rule 13a-14(a) Certification of Peter R. Orszag.</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az-20260630xex312.htm">
              <w:r>
                <w:rPr>
                  <w:rStyle w:val="InternetLink"/>
                  <w:rFonts w:ascii="Times New Roman;serif" w:hAnsi="Times New Roman;serif"/>
                  <w:b w:val="false"/>
                  <w:color w:val="000000"/>
                  <w:sz w:val="20"/>
                  <w:u w:val="single"/>
                </w:rPr>
                <w:t>Rule 13a-14(a) Certification of Tracy Farr.</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az-20260630xex321.htm">
              <w:r>
                <w:rPr>
                  <w:rStyle w:val="InternetLink"/>
                  <w:rFonts w:ascii="Times New Roman;serif" w:hAnsi="Times New Roman;serif"/>
                  <w:b w:val="false"/>
                  <w:color w:val="000000"/>
                  <w:sz w:val="20"/>
                  <w:u w:val="single"/>
                </w:rPr>
                <w:t>Section 1350 Certification for Peter R. Orszag.</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az-20260630xex322.htm">
              <w:r>
                <w:rPr>
                  <w:rStyle w:val="InternetLink"/>
                  <w:rFonts w:ascii="Times New Roman;serif" w:hAnsi="Times New Roman;serif"/>
                  <w:b w:val="false"/>
                  <w:color w:val="000000"/>
                  <w:sz w:val="20"/>
                  <w:u w:val="single"/>
                </w:rPr>
                <w:t>Section 1350 Certification for Tracy Farr.</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iXBRL tags are embedded within the Inline XBRL 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**Furnished herewith. These exhibits shall not be deemed “filed” for purpose of Section 18 of the Securities Exchange Act of 1934, or otherwise subject to the liability of that Section. Such exhibits shall not be deemed incorporated into any filings under the Securities Act of 1933 or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56"/>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July 28, 2026</w:t>
      </w:r>
    </w:p>
    <w:tbl>
      <w:tblPr>
        <w:tblW w:w="3003" w:type="dxa"/>
        <w:jc w:val="left"/>
        <w:tblInd w:w="0" w:type="dxa"/>
        <w:tblLayout w:type="fixed"/>
        <w:tblCellMar>
          <w:top w:w="28" w:type="dxa"/>
          <w:left w:w="28" w:type="dxa"/>
          <w:bottom w:w="28" w:type="dxa"/>
          <w:right w:w="28" w:type="dxa"/>
        </w:tblCellMar>
      </w:tblPr>
      <w:tblGrid>
        <w:gridCol w:w="124"/>
        <w:gridCol w:w="109"/>
        <w:gridCol w:w="109"/>
        <w:gridCol w:w="217"/>
        <w:gridCol w:w="217"/>
        <w:gridCol w:w="217"/>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LAZARD,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Tracy Farr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Tracy Farr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tbl>
      <w:tblPr>
        <w:tblW w:w="317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Gathy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Gathy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9085"/>
                <wp:effectExtent l="0" t="0" r="0" b="0"/>
                <wp:wrapNone/>
                <wp:docPr id="81" name="Frame8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Peter R. Orszag, certify that: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for the quarter ended June 30, 2026 of Lazard, Inc. (the “Registrant”);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tbl>
      <w:tblPr>
        <w:tblW w:w="3596" w:type="dxa"/>
        <w:jc w:val="left"/>
        <w:tblInd w:w="0" w:type="dxa"/>
        <w:tblLayout w:type="fixed"/>
        <w:tblCellMar>
          <w:top w:w="28" w:type="dxa"/>
          <w:left w:w="28" w:type="dxa"/>
          <w:bottom w:w="28" w:type="dxa"/>
          <w:right w:w="28" w:type="dxa"/>
        </w:tblCellMar>
      </w:tblPr>
      <w:tblGrid>
        <w:gridCol w:w="1168"/>
        <w:gridCol w:w="1026"/>
        <w:gridCol w:w="1030"/>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R. Orszag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R. Orszag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 Tracy Farr, certify that: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for the quarter ended June 30, 2026 of Lazard, Inc. (the “Registrant”);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tbl>
      <w:tblPr>
        <w:tblW w:w="2351" w:type="dxa"/>
        <w:jc w:val="left"/>
        <w:tblInd w:w="0" w:type="dxa"/>
        <w:tblLayout w:type="fixed"/>
        <w:tblCellMar>
          <w:top w:w="28" w:type="dxa"/>
          <w:left w:w="28" w:type="dxa"/>
          <w:bottom w:w="28" w:type="dxa"/>
          <w:right w:w="28" w:type="dxa"/>
        </w:tblCellMar>
      </w:tblPr>
      <w:tblGrid>
        <w:gridCol w:w="717"/>
        <w:gridCol w:w="627"/>
        <w:gridCol w:w="635"/>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Tracy Farr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Tracy Farr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and Exchange Commission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100 F Street, NE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Washington, DC 20549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the undersigned officer of Lazard, Inc. (the “Registrant”) hereby certifies that the Registrant’s Quarterly Report on Form 10-Q for the quarter ended June 30, 2026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 </w:t>
      </w:r>
    </w:p>
    <w:tbl>
      <w:tblPr>
        <w:tblW w:w="3596" w:type="dxa"/>
        <w:jc w:val="left"/>
        <w:tblInd w:w="0" w:type="dxa"/>
        <w:tblLayout w:type="fixed"/>
        <w:tblCellMar>
          <w:top w:w="28" w:type="dxa"/>
          <w:left w:w="28" w:type="dxa"/>
          <w:bottom w:w="28" w:type="dxa"/>
          <w:right w:w="28" w:type="dxa"/>
        </w:tblCellMar>
      </w:tblPr>
      <w:tblGrid>
        <w:gridCol w:w="1168"/>
        <w:gridCol w:w="1026"/>
        <w:gridCol w:w="1030"/>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R. Orszag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R. Orszag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pursuant to 18 U.S.C. § 1350 and is not being filed as part of the Report or as a separate disclosure document.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and Exchange Commission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100 F Street, NE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Washington, DC 20549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the undersigned officer of Lazard, Inc. (the “Registrant”) hereby certifies that the Registrant’s Quarterly Report on Form 10-Q for the quarter ended June 30, 2026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 </w:t>
      </w:r>
    </w:p>
    <w:tbl>
      <w:tblPr>
        <w:tblW w:w="2351" w:type="dxa"/>
        <w:jc w:val="left"/>
        <w:tblInd w:w="0" w:type="dxa"/>
        <w:tblLayout w:type="fixed"/>
        <w:tblCellMar>
          <w:top w:w="28" w:type="dxa"/>
          <w:left w:w="28" w:type="dxa"/>
          <w:bottom w:w="28" w:type="dxa"/>
          <w:right w:w="28" w:type="dxa"/>
        </w:tblCellMar>
      </w:tblPr>
      <w:tblGrid>
        <w:gridCol w:w="717"/>
        <w:gridCol w:w="627"/>
        <w:gridCol w:w="635"/>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Tracy Farr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Tracy Farr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11370/000162828026029365/projectconcorde-spa.htm" TargetMode="External"/><Relationship Id="rId3" Type="http://schemas.openxmlformats.org/officeDocument/2006/relationships/hyperlink" Target="https://www.sec.gov/Archives/edgar/data/1311370/000119312524000712/d519085dex31.htm" TargetMode="External"/><Relationship Id="rId4" Type="http://schemas.openxmlformats.org/officeDocument/2006/relationships/hyperlink" Target="https://www.sec.gov/Archives/edgar/data/1311370/000162828026037801/lazard-declassificationxce.htm" TargetMode="External"/><Relationship Id="rId5" Type="http://schemas.openxmlformats.org/officeDocument/2006/relationships/hyperlink" Target="https://www.sec.gov/Archives/edgar/data/1311370/000162828026037801/lazard-declassificationxce.htm" TargetMode="External"/><Relationship Id="rId6" Type="http://schemas.openxmlformats.org/officeDocument/2006/relationships/hyperlink" Target="https://www.sec.gov/Archives/edgar/data/1311370/000162828026037801/lazard-declassificationxce.htm" TargetMode="External"/><Relationship Id="rId7" Type="http://schemas.openxmlformats.org/officeDocument/2006/relationships/hyperlink" Target="https://www.sec.gov/Archives/edgar/data/1311370/000162828026037801/lazard-declassificationxce.htm" TargetMode="External"/><Relationship Id="rId8" Type="http://schemas.openxmlformats.org/officeDocument/2006/relationships/hyperlink" Target="https://www.sec.gov/Archives/edgar/data/1311370/000162828026037801/lazard-declassificationxce.htm" TargetMode="External"/><Relationship Id="rId9" Type="http://schemas.openxmlformats.org/officeDocument/2006/relationships/hyperlink" Target="https://www.sec.gov/Archives/edgar/data/1311370/000162828026037801/lazard-declassificationxce.htm" TargetMode="External"/><Relationship Id="rId10" Type="http://schemas.openxmlformats.org/officeDocument/2006/relationships/hyperlink" Target="https://www.sec.gov/Archives/edgar/data/1311370/000162828026037801/lazard-declassificationxce.htm" TargetMode="External"/><Relationship Id="rId11" Type="http://schemas.openxmlformats.org/officeDocument/2006/relationships/hyperlink" Target="https://www.sec.gov/Archives/edgar/data/1311370/000162828026037801/lazard-declassificationxara.htm" TargetMode="External"/><Relationship Id="rId12" Type="http://schemas.openxmlformats.org/officeDocument/2006/relationships/hyperlink" Target="https://www.sec.gov/Archives/edgar/data/1311370/000131137026000008/laz-20251231xex22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35756</Words>
  <Characters>203499</Characters>
  <CharactersWithSpaces>236199</CharactersWithSpaces>
  <Paragraphs>5437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