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107315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135255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28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03"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58"/>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63"/>
        </w:trPr>
        <w:tc>
          <w:tcPr>
            <w:tcW w:w="3040" w:type="dxa"/>
            <w:vAlign w:val="bottom"/>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71"/>
        </w:trPr>
        <w:tc>
          <w:tcPr>
            <w:tcW w:w="3040" w:type="dxa"/>
            <w:vAlign w:val="bottom"/>
          </w:tcPr>
          <w:p>
            <w:pPr>
              <w:spacing w:after="0"/>
              <w:rPr>
                <w:sz w:val="24"/>
                <w:szCs w:val="24"/>
                <w:color w:val="auto"/>
              </w:rPr>
            </w:pPr>
          </w:p>
        </w:tc>
        <w:tc>
          <w:tcPr>
            <w:tcW w:w="2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29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84"/>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38"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0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20"/>
          </w:cols>
          <w:pgMar w:left="240" w:top="230" w:right="299" w:bottom="1440" w:gutter="0" w:footer="0" w:header="0"/>
          <w:type w:val="continuous"/>
        </w:sectPr>
      </w:pPr>
    </w:p>
    <w:p>
      <w:pPr>
        <w:ind w:left="460"/>
        <w:spacing w:after="0" w:line="207" w:lineRule="exact"/>
        <w:tabs>
          <w:tab w:leader="none" w:pos="864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200" w:firstLine="456"/>
        <w:spacing w:after="0" w:line="268" w:lineRule="auto"/>
        <w:rPr>
          <w:sz w:val="20"/>
          <w:szCs w:val="20"/>
          <w:color w:val="auto"/>
        </w:rPr>
      </w:pPr>
      <w:r>
        <w:rPr>
          <w:rFonts w:ascii="Arial" w:cs="Arial" w:eastAsia="Arial" w:hAnsi="Arial"/>
          <w:sz w:val="18"/>
          <w:szCs w:val="18"/>
          <w:color w:val="auto"/>
        </w:rPr>
        <w:t>As of July 26, 2010, there were 112,811,659 shares of the Registrant’s Class A common stock (including 3,825,124 shares held by a subsidiary)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operating assets other than indirect ownership as of June 30, 2010 of approximately 89.0% of the common membership interests in Lazard Group and its controlling interest in Lazard Group.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1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140" w:type="dxa"/>
            <w:vAlign w:val="bottom"/>
            <w:gridSpan w:val="1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Item 2. Management’s Discussion and Analysis of Financial Condition and Results of Operations</w:t>
              </w:r>
            </w:hyperlink>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3. Quantitative and Qualitative Disclosures About Market Risk</w:t>
              </w:r>
            </w:hyperlink>
          </w:p>
        </w:tc>
        <w:tc>
          <w:tcPr>
            <w:tcW w:w="59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1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8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3. Defaults Upon Senior Securities</w:t>
              </w:r>
            </w:hyperlink>
          </w:p>
        </w:tc>
        <w:tc>
          <w:tcPr>
            <w:tcW w:w="5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4. [Removed and Reserved]</w:t>
              </w:r>
            </w:hyperlink>
          </w:p>
        </w:tc>
        <w:tc>
          <w:tcPr>
            <w:tcW w:w="79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5. Other Information</w:t>
              </w:r>
            </w:hyperlink>
          </w:p>
        </w:tc>
        <w:tc>
          <w:tcPr>
            <w:tcW w:w="83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6. Exhibits</w:t>
              </w:r>
            </w:hyperlink>
          </w:p>
        </w:tc>
        <w:tc>
          <w:tcPr>
            <w:tcW w:w="88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5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14"/>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360" w:type="dxa"/>
            <w:vAlign w:val="bottom"/>
            <w:gridSpan w:val="6"/>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0700" w:type="dxa"/>
            <w:vAlign w:val="bottom"/>
            <w:gridSpan w:val="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June 30, 2010 and December 31, 2009</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700" w:type="dxa"/>
            <w:vAlign w:val="bottom"/>
            <w:gridSpan w:val="7"/>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and six month periods ended June 30, 2010 and 2009</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six month periods ended June 30, 2010 and 2009</w:t>
              </w:r>
            </w:hyperlink>
          </w:p>
        </w:tc>
        <w:tc>
          <w:tcPr>
            <w:tcW w:w="1160" w:type="dxa"/>
            <w:vAlign w:val="bottom"/>
            <w:tcBorders>
              <w:top w:val="single" w:sz="8" w:color="0000EE"/>
            </w:tcBorders>
          </w:tcPr>
          <w:p>
            <w:pPr>
              <w:spacing w:after="0"/>
              <w:rPr>
                <w:sz w:val="17"/>
                <w:szCs w:val="17"/>
                <w:color w:val="auto"/>
              </w:rPr>
            </w:pPr>
          </w:p>
        </w:tc>
        <w:tc>
          <w:tcPr>
            <w:tcW w:w="19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Changes in Stockholders’ Equity for the six month periods ended June 30, 2010 and 2009</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5200" w:type="dxa"/>
            <w:vAlign w:val="bottom"/>
            <w:tcBorders>
              <w:top w:val="single" w:sz="8" w:color="0000EE"/>
            </w:tcBorders>
            <w:gridSpan w:val="4"/>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2"/>
          </w:tcPr>
          <w:p>
            <w:pPr>
              <w:jc w:val="right"/>
              <w:ind w:right="20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 AND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9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797,432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917,329</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20,217</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Receivables-net: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394,777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437,532</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Banks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163,413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143,778</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20" w:type="dxa"/>
            <w:vAlign w:val="bottom"/>
          </w:tcPr>
          <w:p>
            <w:pPr>
              <w:spacing w:after="0"/>
              <w:rPr>
                <w:sz w:val="18"/>
                <w:szCs w:val="18"/>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Related parties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w:t>
            </w:r>
          </w:p>
        </w:tc>
        <w:tc>
          <w:tcPr>
            <w:tcW w:w="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669,475</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9240" w:type="dxa"/>
            <w:vAlign w:val="bottom"/>
          </w:tcPr>
          <w:p>
            <w:pPr>
              <w:ind w:left="880"/>
              <w:spacing w:after="0"/>
              <w:rPr>
                <w:sz w:val="20"/>
                <w:szCs w:val="20"/>
                <w:color w:val="auto"/>
              </w:rPr>
            </w:pPr>
            <w:r>
              <w:rPr>
                <w:rFonts w:ascii="Arial" w:cs="Arial" w:eastAsia="Arial" w:hAnsi="Arial"/>
                <w:sz w:val="18"/>
                <w:szCs w:val="18"/>
                <w:color w:val="auto"/>
                <w:w w:val="92"/>
              </w:rPr>
              <w:t>U.S. Government and agencies (includes $126,502 and $126,413 of securities at amortized cost at June 30, 2010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9240" w:type="dxa"/>
            <w:vAlign w:val="bottom"/>
          </w:tcPr>
          <w:p>
            <w:pPr>
              <w:ind w:left="1080"/>
              <w:spacing w:after="0"/>
              <w:rPr>
                <w:sz w:val="20"/>
                <w:szCs w:val="20"/>
                <w:color w:val="auto"/>
              </w:rPr>
            </w:pPr>
            <w:r>
              <w:rPr>
                <w:rFonts w:ascii="Arial" w:cs="Arial" w:eastAsia="Arial" w:hAnsi="Arial"/>
                <w:sz w:val="18"/>
                <w:szCs w:val="18"/>
                <w:color w:val="auto"/>
              </w:rPr>
              <w:t>and December 31, 2009, respectively)</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147,881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147,507</w:t>
            </w:r>
          </w:p>
        </w:tc>
      </w:tr>
      <w:tr>
        <w:trPr>
          <w:trHeight w:val="209"/>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Other (includes $9,543 and $10,217 of securities at amortized cost at June 30, 2010 and December 31, 2009,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219,939</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313,342</w:t>
            </w:r>
          </w:p>
        </w:tc>
        <w:tc>
          <w:tcPr>
            <w:tcW w:w="20" w:type="dxa"/>
            <w:vAlign w:val="bottom"/>
          </w:tcPr>
          <w:p>
            <w:pPr>
              <w:spacing w:after="0"/>
              <w:rPr>
                <w:sz w:val="19"/>
                <w:szCs w:val="19"/>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73,978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82,442</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235,405</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264,402</w:t>
            </w:r>
          </w:p>
        </w:tc>
        <w:tc>
          <w:tcPr>
            <w:tcW w:w="20" w:type="dxa"/>
            <w:vAlign w:val="bottom"/>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677,203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807,693</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4"/>
              </w:rPr>
              <w:t>Property (net of accumulated amortization and depreciation of $228,803 and $239,603 at June 30, 2010 and December 31,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2009, respectively)</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143,616</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166,913</w:t>
            </w:r>
          </w:p>
        </w:tc>
        <w:tc>
          <w:tcPr>
            <w:tcW w:w="20" w:type="dxa"/>
            <w:vAlign w:val="bottom"/>
          </w:tcPr>
          <w:p>
            <w:pPr>
              <w:spacing w:after="0"/>
              <w:rPr>
                <w:sz w:val="19"/>
                <w:szCs w:val="19"/>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1"/>
              </w:rPr>
              <w:t>Goodwill and other intangible assets (net of accumulated amortization of $10,679 and $7,140 at June 30, 2010 and December</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31, 2009, respectively)</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306,833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317,780</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239,742</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248,355</w:t>
            </w:r>
          </w:p>
        </w:tc>
        <w:tc>
          <w:tcPr>
            <w:tcW w:w="20" w:type="dxa"/>
            <w:vAlign w:val="bottom"/>
          </w:tcPr>
          <w:p>
            <w:pPr>
              <w:spacing w:after="0"/>
              <w:rPr>
                <w:sz w:val="18"/>
                <w:szCs w:val="18"/>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2,808,884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3,147,762</w:t>
            </w:r>
          </w:p>
        </w:tc>
      </w:tr>
      <w:tr>
        <w:trPr>
          <w:trHeight w:val="20"/>
        </w:trPr>
        <w:tc>
          <w:tcPr>
            <w:tcW w:w="9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 AND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227,630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459,553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2,223,946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2,624,665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- 26,883 shares issued and outstanding at June 30, 2010 and December 31, 2009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w w:val="92"/>
              </w:rPr>
              <w:t>Class A, par value $.01 per share (500,000,000 shares authorized; 112,811,659 and 92,165,912 shares issued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2"/>
              </w:rPr>
              <w:t>June 30, 2010 and December 31, 2009, respectively, including shares held by a subsidiary as indicated 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Class B, par value $.01 per share (1 share authorized, issued and outstanding at June 30, 2010 and December 31,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643,921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(117,794)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Class A common stock held by a subsidiary, at cost (3,825,124 and 5,850,775 shares at June 30, 2010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December 31, 2009, 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(132,157)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2,808,884</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3,147,762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4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3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4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1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1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$236,387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180,899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120,301</w:t>
            </w:r>
          </w:p>
        </w:tc>
        <w:tc>
          <w:tcPr>
            <w:tcW w:w="1120" w:type="dxa"/>
            <w:vAlign w:val="bottom"/>
          </w:tcPr>
          <w:p>
            <w:pPr>
              <w:jc w:val="right"/>
              <w:spacing w:after="0"/>
              <w:rPr>
                <w:sz w:val="20"/>
                <w:szCs w:val="20"/>
                <w:color w:val="auto"/>
              </w:rPr>
            </w:pPr>
            <w:r>
              <w:rPr>
                <w:rFonts w:ascii="Arial" w:cs="Arial" w:eastAsia="Arial" w:hAnsi="Arial"/>
                <w:sz w:val="18"/>
                <w:szCs w:val="18"/>
                <w:color w:val="auto"/>
              </w:rPr>
              <w:t>358,002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402,733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419,035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375,625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624,020</w:t>
            </w:r>
          </w:p>
        </w:tc>
        <w:tc>
          <w:tcPr>
            <w:tcW w:w="0" w:type="dxa"/>
            <w:vAlign w:val="bottom"/>
          </w:tcPr>
          <w:p>
            <w:pPr>
              <w:spacing w:after="0"/>
              <w:rPr>
                <w:sz w:val="1"/>
                <w:szCs w:val="1"/>
                <w:color w:val="auto"/>
              </w:rPr>
            </w:pP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239,279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21,320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19,990</w:t>
            </w:r>
          </w:p>
        </w:tc>
        <w:tc>
          <w:tcPr>
            <w:tcW w:w="1120" w:type="dxa"/>
            <w:vAlign w:val="bottom"/>
          </w:tcPr>
          <w:p>
            <w:pPr>
              <w:jc w:val="right"/>
              <w:spacing w:after="0"/>
              <w:rPr>
                <w:sz w:val="20"/>
                <w:szCs w:val="20"/>
                <w:color w:val="auto"/>
              </w:rPr>
            </w:pPr>
            <w:r>
              <w:rPr>
                <w:rFonts w:ascii="Arial" w:cs="Arial" w:eastAsia="Arial" w:hAnsi="Arial"/>
                <w:sz w:val="18"/>
                <w:szCs w:val="18"/>
                <w:color w:val="auto"/>
              </w:rPr>
              <w:t>42,590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16,996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16,156</w:t>
            </w:r>
          </w:p>
        </w:tc>
        <w:tc>
          <w:tcPr>
            <w:tcW w:w="1120" w:type="dxa"/>
            <w:vAlign w:val="bottom"/>
          </w:tcPr>
          <w:p>
            <w:pPr>
              <w:jc w:val="right"/>
              <w:spacing w:after="0"/>
              <w:rPr>
                <w:sz w:val="20"/>
                <w:szCs w:val="20"/>
                <w:color w:val="auto"/>
              </w:rPr>
            </w:pPr>
            <w:r>
              <w:rPr>
                <w:rFonts w:ascii="Arial" w:cs="Arial" w:eastAsia="Arial" w:hAnsi="Arial"/>
                <w:sz w:val="18"/>
                <w:szCs w:val="18"/>
                <w:color w:val="auto"/>
              </w:rPr>
              <w:t>34,648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10,996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8,057</w:t>
            </w:r>
          </w:p>
        </w:tc>
        <w:tc>
          <w:tcPr>
            <w:tcW w:w="1120" w:type="dxa"/>
            <w:vAlign w:val="bottom"/>
          </w:tcPr>
          <w:p>
            <w:pPr>
              <w:jc w:val="right"/>
              <w:spacing w:after="0"/>
              <w:rPr>
                <w:sz w:val="20"/>
                <w:szCs w:val="20"/>
                <w:color w:val="auto"/>
              </w:rPr>
            </w:pPr>
            <w:r>
              <w:rPr>
                <w:rFonts w:ascii="Arial" w:cs="Arial" w:eastAsia="Arial" w:hAnsi="Arial"/>
                <w:sz w:val="18"/>
                <w:szCs w:val="18"/>
                <w:color w:val="auto"/>
              </w:rPr>
              <w:t>22,370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42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351,984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318,679</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824,676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(43,167)</w:t>
            </w: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(LOSS) ATTRIBUTABLE TO NONCONTROLLING</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1100" w:type="dxa"/>
            <w:vAlign w:val="bottom"/>
          </w:tcPr>
          <w:p>
            <w:pPr>
              <w:jc w:val="right"/>
              <w:spacing w:after="0"/>
              <w:rPr>
                <w:sz w:val="20"/>
                <w:szCs w:val="20"/>
                <w:color w:val="auto"/>
              </w:rPr>
            </w:pPr>
            <w:r>
              <w:rPr>
                <w:rFonts w:ascii="Arial" w:cs="Arial" w:eastAsia="Arial" w:hAnsi="Arial"/>
                <w:sz w:val="18"/>
                <w:szCs w:val="18"/>
                <w:color w:val="auto"/>
              </w:rPr>
              <w:t>8,956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15,240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LAZARD LTD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$ 44,572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$ 28,187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$ 11,038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$(25,309)</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660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103,527,014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74,935,658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96,631,576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72,539,998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640"/>
              <w:spacing w:after="0"/>
              <w:rPr>
                <w:sz w:val="20"/>
                <w:szCs w:val="20"/>
                <w:color w:val="auto"/>
              </w:rPr>
            </w:pPr>
            <w:r>
              <w:rPr>
                <w:rFonts w:ascii="Arial" w:cs="Arial" w:eastAsia="Arial" w:hAnsi="Arial"/>
                <w:sz w:val="18"/>
                <w:szCs w:val="18"/>
                <w:color w:val="auto"/>
              </w:rPr>
              <w:t>Diluted</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139,944,310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127,984,819</w:t>
            </w:r>
          </w:p>
        </w:tc>
        <w:tc>
          <w:tcPr>
            <w:tcW w:w="1120" w:type="dxa"/>
            <w:vAlign w:val="bottom"/>
          </w:tcPr>
          <w:p>
            <w:pPr>
              <w:jc w:val="right"/>
              <w:spacing w:after="0"/>
              <w:rPr>
                <w:sz w:val="20"/>
                <w:szCs w:val="20"/>
                <w:color w:val="auto"/>
              </w:rPr>
            </w:pPr>
            <w:r>
              <w:rPr>
                <w:rFonts w:ascii="Arial" w:cs="Arial" w:eastAsia="Arial" w:hAnsi="Arial"/>
                <w:sz w:val="18"/>
                <w:szCs w:val="18"/>
                <w:color w:val="auto"/>
              </w:rPr>
              <w:t>108,995,837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72,539,998</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600" w:type="dxa"/>
            <w:vAlign w:val="bottom"/>
          </w:tcPr>
          <w:p>
            <w:pPr>
              <w:ind w:left="200"/>
              <w:spacing w:after="0"/>
              <w:rPr>
                <w:sz w:val="20"/>
                <w:szCs w:val="20"/>
                <w:color w:val="auto"/>
              </w:rPr>
            </w:pPr>
            <w:r>
              <w:rPr>
                <w:rFonts w:ascii="Arial" w:cs="Arial" w:eastAsia="Arial" w:hAnsi="Arial"/>
                <w:sz w:val="18"/>
                <w:szCs w:val="18"/>
                <w:b w:val="1"/>
                <w:bCs w:val="1"/>
                <w:color w:val="auto"/>
              </w:rPr>
              <w:t>NET INCOME (LOSS) PER SHARE OF COMMON STOCK:</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vMerge w:val="continue"/>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11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12,634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Noncash items included in net income (loss):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compensation and interest rate hedge</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207,786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158,971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(Gain) loss on extinguishment of debt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(17,312)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(301,056)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(99,834)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(91,410)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52,877</w:t>
            </w: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equity method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Disposition of and distributions from equity method investments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51,437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available-for-sale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24,800</w:t>
            </w: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borrowings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Class A common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Class A common stock dividends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 awards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(103,733)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(105,857)</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(23,766)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14,457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(119,897)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b w:val="1"/>
                <w:bCs w:val="1"/>
                <w:color w:val="auto"/>
              </w:rPr>
              <w:t>CASH AND CASH EQUIVALENTS - January 1</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917,329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909,707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June 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797,432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895,984</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investing non-cash transaction: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Class A common stock issued/issuable in connection with business acquisitions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Class A</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1520" w:type="dxa"/>
            <w:vAlign w:val="bottom"/>
            <w:gridSpan w:val="4"/>
            <w:vMerge w:val="continue"/>
          </w:tcPr>
          <w:p>
            <w:pPr>
              <w:spacing w:after="0"/>
              <w:rPr>
                <w:sz w:val="8"/>
                <w:szCs w:val="8"/>
                <w:color w:val="auto"/>
              </w:rPr>
            </w:pPr>
          </w:p>
        </w:tc>
        <w:tc>
          <w:tcPr>
            <w:tcW w:w="9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Total</w:t>
            </w: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6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52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6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20" w:type="dxa"/>
            <w:vAlign w:val="bottom"/>
            <w:gridSpan w:val="4"/>
            <w:vMerge w:val="continue"/>
          </w:tcPr>
          <w:p>
            <w:pPr>
              <w:spacing w:after="0"/>
              <w:rPr>
                <w:sz w:val="8"/>
                <w:szCs w:val="8"/>
                <w:color w:val="auto"/>
              </w:rPr>
            </w:pPr>
          </w:p>
        </w:tc>
        <w:tc>
          <w:tcPr>
            <w:tcW w:w="96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Lazard Ltd</w:t>
            </w: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4"/>
                <w:szCs w:val="4"/>
                <w:color w:val="auto"/>
              </w:rPr>
            </w:pPr>
          </w:p>
        </w:tc>
        <w:tc>
          <w:tcPr>
            <w:tcW w:w="1120" w:type="dxa"/>
            <w:vAlign w:val="bottom"/>
            <w:gridSpan w:val="3"/>
            <w:vMerge w:val="restart"/>
          </w:tcPr>
          <w:p>
            <w:pPr>
              <w:jc w:val="right"/>
              <w:ind w:right="52"/>
              <w:spacing w:after="0"/>
              <w:rPr>
                <w:sz w:val="20"/>
                <w:szCs w:val="20"/>
                <w:color w:val="auto"/>
              </w:rPr>
            </w:pPr>
            <w:r>
              <w:rPr>
                <w:rFonts w:ascii="Arial" w:cs="Arial" w:eastAsia="Arial" w:hAnsi="Arial"/>
                <w:sz w:val="14"/>
                <w:szCs w:val="14"/>
                <w:b w:val="1"/>
                <w:bCs w:val="1"/>
                <w:color w:val="auto"/>
                <w:w w:val="95"/>
              </w:rPr>
              <w:t>Common Stock</w:t>
            </w: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a Subsidiary</w:t>
            </w:r>
          </w:p>
        </w:tc>
        <w:tc>
          <w:tcPr>
            <w:tcW w:w="96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54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Paid-In-</w:t>
            </w:r>
          </w:p>
        </w:tc>
        <w:tc>
          <w:tcPr>
            <w:tcW w:w="70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Retained</w:t>
            </w:r>
          </w:p>
        </w:tc>
        <w:tc>
          <w:tcPr>
            <w:tcW w:w="10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20" w:type="dxa"/>
            <w:vAlign w:val="bottom"/>
            <w:gridSpan w:val="4"/>
            <w:vMerge w:val="continue"/>
          </w:tcPr>
          <w:p>
            <w:pPr>
              <w:spacing w:after="0"/>
              <w:rPr>
                <w:sz w:val="9"/>
                <w:szCs w:val="9"/>
                <w:color w:val="auto"/>
              </w:rPr>
            </w:pPr>
          </w:p>
        </w:tc>
        <w:tc>
          <w:tcPr>
            <w:tcW w:w="9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8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5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22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Shares (*)</w:t>
            </w:r>
          </w:p>
        </w:tc>
        <w:tc>
          <w:tcPr>
            <w:tcW w:w="60" w:type="dxa"/>
            <w:vAlign w:val="bottom"/>
          </w:tcPr>
          <w:p>
            <w:pPr>
              <w:spacing w:after="0"/>
              <w:rPr>
                <w:sz w:val="14"/>
                <w:szCs w:val="14"/>
                <w:color w:val="auto"/>
              </w:rPr>
            </w:pP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Earnings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Net of Tax</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Shares</w:t>
            </w: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Interests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2010</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26,883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 -</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92,165,913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$922</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$549,931</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$52,726</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$(57,048)</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5,850,775</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$(191,140)</w:t>
            </w: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$355,391</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$167,706</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$523,097</w:t>
            </w:r>
          </w:p>
        </w:tc>
        <w:tc>
          <w:tcPr>
            <w:tcW w:w="0" w:type="dxa"/>
            <w:vAlign w:val="bottom"/>
          </w:tcPr>
          <w:p>
            <w:pPr>
              <w:spacing w:after="0"/>
              <w:rPr>
                <w:sz w:val="1"/>
                <w:szCs w:val="1"/>
                <w:color w:val="auto"/>
              </w:rPr>
            </w:pPr>
          </w:p>
        </w:tc>
      </w:tr>
      <w:tr>
        <w:trPr>
          <w:trHeight w:val="156"/>
        </w:trPr>
        <w:tc>
          <w:tcPr>
            <w:tcW w:w="2540" w:type="dxa"/>
            <w:vAlign w:val="bottom"/>
          </w:tcPr>
          <w:p>
            <w:pPr>
              <w:spacing w:after="0" w:line="155" w:lineRule="exact"/>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11,038</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11,038</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1,596</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12,634</w:t>
            </w:r>
          </w:p>
        </w:tc>
        <w:tc>
          <w:tcPr>
            <w:tcW w:w="0" w:type="dxa"/>
            <w:vAlign w:val="bottom"/>
          </w:tcPr>
          <w:p>
            <w:pPr>
              <w:spacing w:after="0"/>
              <w:rPr>
                <w:sz w:val="1"/>
                <w:szCs w:val="1"/>
                <w:color w:val="auto"/>
              </w:rPr>
            </w:pPr>
          </w:p>
        </w:tc>
      </w:tr>
      <w:tr>
        <w:trPr>
          <w:trHeight w:val="138"/>
        </w:trPr>
        <w:tc>
          <w:tcPr>
            <w:tcW w:w="2540" w:type="dxa"/>
            <w:vAlign w:val="bottom"/>
          </w:tcPr>
          <w:p>
            <w:pPr>
              <w:ind w:left="220"/>
              <w:spacing w:after="0" w:line="138" w:lineRule="exact"/>
              <w:rPr>
                <w:sz w:val="20"/>
                <w:szCs w:val="20"/>
                <w:color w:val="auto"/>
              </w:rPr>
            </w:pPr>
            <w:r>
              <w:rPr>
                <w:rFonts w:ascii="Arial" w:cs="Arial" w:eastAsia="Arial" w:hAnsi="Arial"/>
                <w:sz w:val="14"/>
                <w:szCs w:val="14"/>
                <w:color w:val="auto"/>
                <w:w w:val="90"/>
              </w:rPr>
              <w:t>Other comprehensive income (loss) - net</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tcPr>
          <w:p>
            <w:pPr>
              <w:ind w:left="440"/>
              <w:spacing w:after="0" w:line="159" w:lineRule="exact"/>
              <w:rPr>
                <w:sz w:val="20"/>
                <w:szCs w:val="20"/>
                <w:color w:val="auto"/>
              </w:rPr>
            </w:pPr>
            <w:r>
              <w:rPr>
                <w:rFonts w:ascii="Arial" w:cs="Arial" w:eastAsia="Arial" w:hAnsi="Arial"/>
                <w:sz w:val="14"/>
                <w:szCs w:val="14"/>
                <w:color w:val="auto"/>
              </w:rPr>
              <w:t>of tax:</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Currency translation adjustments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(51,932)</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(51,932)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(6,397)</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(58,329)</w:t>
            </w:r>
          </w:p>
        </w:tc>
        <w:tc>
          <w:tcPr>
            <w:tcW w:w="0" w:type="dxa"/>
            <w:vAlign w:val="bottom"/>
          </w:tcPr>
          <w:p>
            <w:pPr>
              <w:spacing w:after="0"/>
              <w:rPr>
                <w:sz w:val="1"/>
                <w:szCs w:val="1"/>
                <w:color w:val="auto"/>
              </w:rPr>
            </w:pPr>
          </w:p>
        </w:tc>
      </w:tr>
      <w:tr>
        <w:trPr>
          <w:trHeight w:val="149"/>
        </w:trPr>
        <w:tc>
          <w:tcPr>
            <w:tcW w:w="2540" w:type="dxa"/>
            <w:vAlign w:val="bottom"/>
          </w:tcPr>
          <w:p>
            <w:pPr>
              <w:ind w:left="440"/>
              <w:spacing w:after="0" w:line="149" w:lineRule="exact"/>
              <w:rPr>
                <w:sz w:val="20"/>
                <w:szCs w:val="20"/>
                <w:color w:val="auto"/>
              </w:rPr>
            </w:pPr>
            <w:r>
              <w:rPr>
                <w:rFonts w:ascii="Arial" w:cs="Arial" w:eastAsia="Arial" w:hAnsi="Arial"/>
                <w:sz w:val="14"/>
                <w:szCs w:val="14"/>
                <w:color w:val="auto"/>
                <w:w w:val="97"/>
              </w:rPr>
              <w:t>Amortization of interest rate hedge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480</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Available-for-sale securities: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660"/>
              <w:spacing w:after="0" w:line="149" w:lineRule="exact"/>
              <w:rPr>
                <w:sz w:val="20"/>
                <w:szCs w:val="20"/>
                <w:color w:val="auto"/>
              </w:rPr>
            </w:pPr>
            <w:r>
              <w:rPr>
                <w:rFonts w:ascii="Arial" w:cs="Arial" w:eastAsia="Arial" w:hAnsi="Arial"/>
                <w:sz w:val="14"/>
                <w:szCs w:val="14"/>
                <w:color w:val="auto"/>
              </w:rPr>
              <w:t>Net unrealized loss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ind w:left="660"/>
              <w:spacing w:after="0" w:line="138" w:lineRule="exact"/>
              <w:rPr>
                <w:sz w:val="20"/>
                <w:szCs w:val="20"/>
                <w:color w:val="auto"/>
              </w:rPr>
            </w:pPr>
            <w:r>
              <w:rPr>
                <w:rFonts w:ascii="Arial" w:cs="Arial" w:eastAsia="Arial" w:hAnsi="Arial"/>
                <w:sz w:val="14"/>
                <w:szCs w:val="14"/>
                <w:color w:val="auto"/>
              </w:rPr>
              <w:t>Adjustments for items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880"/>
              <w:spacing w:after="0" w:line="159" w:lineRule="exact"/>
              <w:rPr>
                <w:sz w:val="20"/>
                <w:szCs w:val="20"/>
                <w:color w:val="auto"/>
              </w:rPr>
            </w:pPr>
            <w:r>
              <w:rPr>
                <w:rFonts w:ascii="Arial" w:cs="Arial" w:eastAsia="Arial" w:hAnsi="Arial"/>
                <w:sz w:val="14"/>
                <w:szCs w:val="14"/>
                <w:color w:val="auto"/>
              </w:rPr>
              <w:t>reclassified to earnings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2,102</w:t>
            </w: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2,102</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259</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2,361</w:t>
            </w:r>
          </w:p>
        </w:tc>
        <w:tc>
          <w:tcPr>
            <w:tcW w:w="0" w:type="dxa"/>
            <w:vAlign w:val="bottom"/>
          </w:tcPr>
          <w:p>
            <w:pPr>
              <w:spacing w:after="0"/>
              <w:rPr>
                <w:sz w:val="1"/>
                <w:szCs w:val="1"/>
                <w:color w:val="auto"/>
              </w:rPr>
            </w:pPr>
          </w:p>
        </w:tc>
      </w:tr>
      <w:tr>
        <w:trPr>
          <w:trHeight w:val="149"/>
        </w:trPr>
        <w:tc>
          <w:tcPr>
            <w:tcW w:w="2540" w:type="dxa"/>
            <w:vAlign w:val="bottom"/>
          </w:tcPr>
          <w:p>
            <w:pPr>
              <w:ind w:left="440"/>
              <w:spacing w:after="0" w:line="149" w:lineRule="exact"/>
              <w:rPr>
                <w:sz w:val="20"/>
                <w:szCs w:val="20"/>
                <w:color w:val="auto"/>
              </w:rPr>
            </w:pPr>
            <w:r>
              <w:rPr>
                <w:rFonts w:ascii="Arial" w:cs="Arial" w:eastAsia="Arial" w:hAnsi="Arial"/>
                <w:sz w:val="14"/>
                <w:szCs w:val="14"/>
                <w:color w:val="auto"/>
              </w:rPr>
              <w:t>Employee benefit plans: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Net actuarial loss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(2,556)</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(2,556)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(315)</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(2,871)</w:t>
            </w:r>
          </w:p>
        </w:tc>
        <w:tc>
          <w:tcPr>
            <w:tcW w:w="0" w:type="dxa"/>
            <w:vAlign w:val="bottom"/>
          </w:tcPr>
          <w:p>
            <w:pPr>
              <w:spacing w:after="0"/>
              <w:rPr>
                <w:sz w:val="1"/>
                <w:szCs w:val="1"/>
                <w:color w:val="auto"/>
              </w:rPr>
            </w:pPr>
          </w:p>
        </w:tc>
      </w:tr>
      <w:tr>
        <w:trPr>
          <w:trHeight w:val="138"/>
        </w:trPr>
        <w:tc>
          <w:tcPr>
            <w:tcW w:w="2540" w:type="dxa"/>
            <w:vAlign w:val="bottom"/>
          </w:tcPr>
          <w:p>
            <w:pPr>
              <w:ind w:left="660"/>
              <w:spacing w:after="0" w:line="138" w:lineRule="exact"/>
              <w:rPr>
                <w:sz w:val="20"/>
                <w:szCs w:val="20"/>
                <w:color w:val="auto"/>
              </w:rPr>
            </w:pPr>
            <w:r>
              <w:rPr>
                <w:rFonts w:ascii="Arial" w:cs="Arial" w:eastAsia="Arial" w:hAnsi="Arial"/>
                <w:sz w:val="14"/>
                <w:szCs w:val="14"/>
                <w:color w:val="auto"/>
              </w:rPr>
              <w:t>Adjustments for items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tcPr>
          <w:p>
            <w:pPr>
              <w:ind w:left="880"/>
              <w:spacing w:after="0" w:line="159" w:lineRule="exact"/>
              <w:rPr>
                <w:sz w:val="20"/>
                <w:szCs w:val="20"/>
                <w:color w:val="auto"/>
              </w:rPr>
            </w:pPr>
            <w:r>
              <w:rPr>
                <w:rFonts w:ascii="Arial" w:cs="Arial" w:eastAsia="Arial" w:hAnsi="Arial"/>
                <w:sz w:val="14"/>
                <w:szCs w:val="14"/>
                <w:color w:val="auto"/>
              </w:rPr>
              <w:t>reclassified to earnings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460</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460</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57</w:t>
            </w:r>
          </w:p>
        </w:tc>
        <w:tc>
          <w:tcPr>
            <w:tcW w:w="16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income (loss)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(41,163)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(4,834)</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(45,997)</w:t>
            </w:r>
          </w:p>
        </w:tc>
        <w:tc>
          <w:tcPr>
            <w:tcW w:w="0" w:type="dxa"/>
            <w:vAlign w:val="bottom"/>
          </w:tcPr>
          <w:p>
            <w:pPr>
              <w:spacing w:after="0"/>
              <w:rPr>
                <w:sz w:val="1"/>
                <w:szCs w:val="1"/>
                <w:color w:val="auto"/>
              </w:rPr>
            </w:pPr>
          </w:p>
        </w:tc>
      </w:tr>
      <w:tr>
        <w:trPr>
          <w:trHeight w:val="145"/>
        </w:trPr>
        <w:tc>
          <w:tcPr>
            <w:tcW w:w="2540" w:type="dxa"/>
            <w:vAlign w:val="bottom"/>
          </w:tcPr>
          <w:p>
            <w:pPr>
              <w:spacing w:after="0" w:line="145" w:lineRule="exact"/>
              <w:rPr>
                <w:sz w:val="20"/>
                <w:szCs w:val="20"/>
                <w:color w:val="auto"/>
              </w:rPr>
            </w:pPr>
            <w:r>
              <w:rPr>
                <w:rFonts w:ascii="Arial" w:cs="Arial" w:eastAsia="Arial" w:hAnsi="Arial"/>
                <w:sz w:val="14"/>
                <w:szCs w:val="14"/>
                <w:color w:val="auto"/>
                <w:w w:val="98"/>
              </w:rPr>
              <w:t>Class A common stock issued/issuable in</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w w:val="98"/>
              </w:rPr>
              <w:t>connection with business acquisitions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and LAM Merger and related</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40" w:type="dxa"/>
            <w:vAlign w:val="bottom"/>
          </w:tcPr>
          <w:p>
            <w:pPr>
              <w:ind w:left="220"/>
              <w:spacing w:after="0" w:line="159" w:lineRule="exact"/>
              <w:rPr>
                <w:sz w:val="20"/>
                <w:szCs w:val="20"/>
                <w:color w:val="auto"/>
              </w:rPr>
            </w:pPr>
            <w:r>
              <w:rPr>
                <w:rFonts w:ascii="Arial" w:cs="Arial" w:eastAsia="Arial" w:hAnsi="Arial"/>
                <w:sz w:val="14"/>
                <w:szCs w:val="14"/>
                <w:color w:val="auto"/>
              </w:rPr>
              <w:t>amortization</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2,800</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2,800</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345</w:t>
            </w:r>
          </w:p>
        </w:tc>
        <w:tc>
          <w:tcPr>
            <w:tcW w:w="16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3,145</w:t>
            </w: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share-based incentive</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compensation awards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180,443</w:t>
            </w: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180,443</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22,055</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202,498</w:t>
            </w: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5,232</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(5,255)</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(23,022)</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(23,022)</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(23,022)</w:t>
            </w: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712,950</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(22,733)</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(22,733)</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(22,733)</w:t>
            </w: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Delivery of Class A common stock in</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connection with share-based incentive</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compensation awards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(242,352)</w:t>
            </w: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6"/>
              </w:rPr>
              <w:t>(5,738,601)</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197,816</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(44,536)</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(44,536)</w:t>
            </w: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Issuance of Class A common stock</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3,000,000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116,070</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3,000,000</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(116,100)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Class A common stock issued in exchange</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for Lazard Group common membership</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9"/>
              </w:rPr>
              <w:t>interests, including in connection with</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secondary offering</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17,645,747</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(176)</w:t>
            </w: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(7,491)</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(7,491)</w:t>
            </w:r>
          </w:p>
        </w:tc>
        <w:tc>
          <w:tcPr>
            <w:tcW w:w="0" w:type="dxa"/>
            <w:vAlign w:val="bottom"/>
          </w:tcPr>
          <w:p>
            <w:pPr>
              <w:spacing w:after="0"/>
              <w:rPr>
                <w:sz w:val="1"/>
                <w:szCs w:val="1"/>
                <w:color w:val="auto"/>
              </w:rPr>
            </w:pPr>
          </w:p>
        </w:tc>
      </w:tr>
      <w:tr>
        <w:trPr>
          <w:trHeight w:val="138"/>
        </w:trPr>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related to noncontrolling</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31,973</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(8,545)</w:t>
            </w: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23,428</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(23,428)</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Balance – June 30, 2010</w:t>
            </w: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40" w:type="dxa"/>
            <w:vAlign w:val="bottom"/>
            <w:vMerge w:val="continue"/>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26,883</w:t>
            </w:r>
          </w:p>
        </w:tc>
        <w:tc>
          <w:tcPr>
            <w:tcW w:w="6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w:t>
            </w: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112,811,660</w:t>
            </w:r>
          </w:p>
        </w:tc>
        <w:tc>
          <w:tcPr>
            <w:tcW w:w="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1,128</w:t>
            </w: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$643,921</w:t>
            </w:r>
          </w:p>
        </w:tc>
        <w:tc>
          <w:tcPr>
            <w:tcW w:w="1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8"/>
              </w:rPr>
              <w:t>$35,487</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$(117,794)</w:t>
            </w: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3,825,124</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(132,157)</w:t>
            </w:r>
          </w:p>
        </w:tc>
        <w:tc>
          <w:tcPr>
            <w:tcW w:w="9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$430,585</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$154,353</w:t>
            </w:r>
          </w:p>
        </w:tc>
        <w:tc>
          <w:tcPr>
            <w:tcW w:w="160" w:type="dxa"/>
            <w:vAlign w:val="bottom"/>
          </w:tcPr>
          <w:p>
            <w:pPr>
              <w:spacing w:after="0"/>
              <w:rPr>
                <w:sz w:val="13"/>
                <w:szCs w:val="13"/>
                <w:color w:val="auto"/>
              </w:rPr>
            </w:pPr>
          </w:p>
        </w:tc>
        <w:tc>
          <w:tcPr>
            <w:tcW w:w="8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$584,938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40" w:right="20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92,165,912 and 112,811,659 shares of the Company’s Class A common stock issued at January 1, 2010 and June 30, 2010,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6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2"/>
              </w:rPr>
              <w:t>Series A</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6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6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1"/>
                <w:szCs w:val="11"/>
                <w:color w:val="auto"/>
              </w:rPr>
            </w:pPr>
          </w:p>
        </w:tc>
        <w:tc>
          <w:tcPr>
            <w:tcW w:w="1080" w:type="dxa"/>
            <w:vAlign w:val="bottom"/>
            <w:gridSpan w:val="4"/>
          </w:tcPr>
          <w:p>
            <w:pPr>
              <w:jc w:val="right"/>
              <w:ind w:right="140"/>
              <w:spacing w:after="0" w:line="135" w:lineRule="exact"/>
              <w:rPr>
                <w:sz w:val="20"/>
                <w:szCs w:val="20"/>
                <w:color w:val="auto"/>
              </w:rPr>
            </w:pPr>
            <w:r>
              <w:rPr>
                <w:rFonts w:ascii="Arial" w:cs="Arial" w:eastAsia="Arial" w:hAnsi="Arial"/>
                <w:sz w:val="14"/>
                <w:szCs w:val="14"/>
                <w:b w:val="1"/>
                <w:bCs w:val="1"/>
                <w:color w:val="auto"/>
                <w:w w:val="89"/>
              </w:rPr>
              <w:t>Common Stock</w:t>
            </w:r>
          </w:p>
        </w:tc>
        <w:tc>
          <w:tcPr>
            <w:tcW w:w="76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46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Held By A Subsidiary</w:t>
            </w:r>
          </w:p>
        </w:tc>
        <w:tc>
          <w:tcPr>
            <w:tcW w:w="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restart"/>
          </w:tcPr>
          <w:p>
            <w:pPr>
              <w:jc w:val="right"/>
              <w:ind w:right="220"/>
              <w:spacing w:after="0" w:line="69" w:lineRule="exact"/>
              <w:rPr>
                <w:sz w:val="20"/>
                <w:szCs w:val="20"/>
                <w:color w:val="auto"/>
              </w:rPr>
            </w:pPr>
            <w:r>
              <w:rPr>
                <w:rFonts w:ascii="Arial" w:cs="Arial" w:eastAsia="Arial" w:hAnsi="Arial"/>
                <w:sz w:val="7"/>
                <w:szCs w:val="7"/>
                <w:b w:val="1"/>
                <w:bCs w:val="1"/>
                <w:color w:val="auto"/>
              </w:rPr>
              <w:t>Paid-in-</w:t>
            </w:r>
          </w:p>
        </w:tc>
        <w:tc>
          <w:tcPr>
            <w:tcW w:w="680" w:type="dxa"/>
            <w:vAlign w:val="bottom"/>
            <w:gridSpan w:val="2"/>
            <w:vMerge w:val="restart"/>
          </w:tcPr>
          <w:p>
            <w:pPr>
              <w:jc w:val="right"/>
              <w:ind w:right="160"/>
              <w:spacing w:after="0" w:line="69" w:lineRule="exact"/>
              <w:rPr>
                <w:sz w:val="20"/>
                <w:szCs w:val="20"/>
                <w:color w:val="auto"/>
              </w:rPr>
            </w:pPr>
            <w:r>
              <w:rPr>
                <w:rFonts w:ascii="Arial" w:cs="Arial" w:eastAsia="Arial" w:hAnsi="Arial"/>
                <w:sz w:val="7"/>
                <w:szCs w:val="7"/>
                <w:b w:val="1"/>
                <w:bCs w:val="1"/>
                <w:color w:val="auto"/>
              </w:rPr>
              <w:t>Retained</w:t>
            </w:r>
          </w:p>
        </w:tc>
        <w:tc>
          <w:tcPr>
            <w:tcW w:w="1060" w:type="dxa"/>
            <w:vAlign w:val="bottom"/>
            <w:gridSpan w:val="3"/>
            <w:vMerge w:val="restart"/>
          </w:tcPr>
          <w:p>
            <w:pPr>
              <w:jc w:val="center"/>
              <w:ind w:right="160"/>
              <w:spacing w:after="0" w:line="69" w:lineRule="exact"/>
              <w:rPr>
                <w:sz w:val="20"/>
                <w:szCs w:val="20"/>
                <w:color w:val="auto"/>
              </w:rPr>
            </w:pPr>
            <w:r>
              <w:rPr>
                <w:rFonts w:ascii="Arial" w:cs="Arial" w:eastAsia="Arial" w:hAnsi="Arial"/>
                <w:sz w:val="7"/>
                <w:szCs w:val="7"/>
                <w:b w:val="1"/>
                <w:bCs w:val="1"/>
                <w:color w:val="auto"/>
              </w:rPr>
              <w:t>Income (Loss),</w:t>
            </w: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3"/>
            <w:vMerge w:val="restart"/>
          </w:tcPr>
          <w:p>
            <w:pPr>
              <w:jc w:val="center"/>
              <w:ind w:right="160"/>
              <w:spacing w:after="0" w:line="69" w:lineRule="exact"/>
              <w:rPr>
                <w:sz w:val="20"/>
                <w:szCs w:val="20"/>
                <w:color w:val="auto"/>
              </w:rPr>
            </w:pPr>
            <w:r>
              <w:rPr>
                <w:rFonts w:ascii="Arial" w:cs="Arial" w:eastAsia="Arial" w:hAnsi="Arial"/>
                <w:sz w:val="7"/>
                <w:szCs w:val="7"/>
                <w:b w:val="1"/>
                <w:bCs w:val="1"/>
                <w:color w:val="auto"/>
              </w:rPr>
              <w:t>Stockholders’</w:t>
            </w:r>
          </w:p>
        </w:tc>
        <w:tc>
          <w:tcPr>
            <w:tcW w:w="1020" w:type="dxa"/>
            <w:vAlign w:val="bottom"/>
            <w:gridSpan w:val="3"/>
            <w:vMerge w:val="restart"/>
          </w:tcPr>
          <w:p>
            <w:pPr>
              <w:spacing w:after="0" w:line="69" w:lineRule="exact"/>
              <w:rPr>
                <w:sz w:val="20"/>
                <w:szCs w:val="20"/>
                <w:color w:val="auto"/>
              </w:rPr>
            </w:pPr>
            <w:r>
              <w:rPr>
                <w:rFonts w:ascii="Arial" w:cs="Arial" w:eastAsia="Arial" w:hAnsi="Arial"/>
                <w:sz w:val="7"/>
                <w:szCs w:val="7"/>
                <w:b w:val="1"/>
                <w:bCs w:val="1"/>
                <w:color w:val="auto"/>
              </w:rPr>
              <w:t>Noncontrolling</w:t>
            </w:r>
          </w:p>
        </w:tc>
        <w:tc>
          <w:tcPr>
            <w:tcW w:w="880" w:type="dxa"/>
            <w:vAlign w:val="bottom"/>
            <w:gridSpan w:val="3"/>
            <w:vMerge w:val="restart"/>
          </w:tcPr>
          <w:p>
            <w:pPr>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8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Shares(*)</w:t>
            </w:r>
          </w:p>
        </w:tc>
        <w:tc>
          <w:tcPr>
            <w:tcW w:w="60" w:type="dxa"/>
            <w:vAlign w:val="bottom"/>
          </w:tcPr>
          <w:p>
            <w:pPr>
              <w:spacing w:after="0"/>
              <w:rPr>
                <w:sz w:val="14"/>
                <w:szCs w:val="14"/>
                <w:color w:val="auto"/>
              </w:rPr>
            </w:pPr>
          </w:p>
        </w:tc>
        <w:tc>
          <w:tcPr>
            <w:tcW w:w="34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36"/>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Earnings</w:t>
            </w: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Net of Tax</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Shares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Balance–January 1, 2009</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31,745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 -</w:t>
            </w:r>
          </w:p>
        </w:tc>
        <w:tc>
          <w:tcPr>
            <w:tcW w:w="680" w:type="dxa"/>
            <w:vAlign w:val="bottom"/>
            <w:gridSpan w:val="2"/>
            <w:shd w:val="clear" w:color="auto" w:fill="CCEEFF"/>
          </w:tcPr>
          <w:p>
            <w:pPr>
              <w:jc w:val="center"/>
              <w:ind w:left="12"/>
              <w:spacing w:after="0" w:line="142" w:lineRule="exact"/>
              <w:rPr>
                <w:sz w:val="20"/>
                <w:szCs w:val="20"/>
                <w:color w:val="auto"/>
              </w:rPr>
            </w:pPr>
            <w:r>
              <w:rPr>
                <w:rFonts w:ascii="Arial" w:cs="Arial" w:eastAsia="Arial" w:hAnsi="Arial"/>
                <w:sz w:val="14"/>
                <w:szCs w:val="14"/>
                <w:b w:val="1"/>
                <w:bCs w:val="1"/>
                <w:color w:val="auto"/>
                <w:w w:val="85"/>
              </w:rPr>
              <w:t>76,294,913</w:t>
            </w:r>
          </w:p>
        </w:tc>
        <w:tc>
          <w:tcPr>
            <w:tcW w:w="48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$ 763</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429,694</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$ 221,410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(79,435)</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9,376,162</w:t>
            </w:r>
          </w:p>
        </w:tc>
        <w:tc>
          <w:tcPr>
            <w:tcW w:w="76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$(321,852)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250,580</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61,172</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311,752</w:t>
            </w:r>
          </w:p>
        </w:tc>
        <w:tc>
          <w:tcPr>
            <w:tcW w:w="0" w:type="dxa"/>
            <w:vAlign w:val="bottom"/>
          </w:tcPr>
          <w:p>
            <w:pPr>
              <w:spacing w:after="0"/>
              <w:rPr>
                <w:sz w:val="1"/>
                <w:szCs w:val="1"/>
                <w:color w:val="auto"/>
              </w:rPr>
            </w:pPr>
          </w:p>
        </w:tc>
      </w:tr>
      <w:tr>
        <w:trPr>
          <w:trHeight w:val="156"/>
        </w:trPr>
        <w:tc>
          <w:tcPr>
            <w:tcW w:w="2800" w:type="dxa"/>
            <w:vAlign w:val="bottom"/>
          </w:tcPr>
          <w:p>
            <w:pPr>
              <w:spacing w:after="0" w:line="155" w:lineRule="exact"/>
              <w:rPr>
                <w:sz w:val="20"/>
                <w:szCs w:val="20"/>
                <w:color w:val="auto"/>
              </w:rPr>
            </w:pPr>
            <w:r>
              <w:rPr>
                <w:rFonts w:ascii="Arial" w:cs="Arial" w:eastAsia="Arial" w:hAnsi="Arial"/>
                <w:sz w:val="14"/>
                <w:szCs w:val="14"/>
                <w:color w:val="auto"/>
              </w:rPr>
              <w:t>Comprehensive income (loss):</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(25,309)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(25,309)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(17,858)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(43,167)</w:t>
            </w:r>
          </w:p>
        </w:tc>
        <w:tc>
          <w:tcPr>
            <w:tcW w:w="0" w:type="dxa"/>
            <w:vAlign w:val="bottom"/>
          </w:tcPr>
          <w:p>
            <w:pPr>
              <w:spacing w:after="0"/>
              <w:rPr>
                <w:sz w:val="1"/>
                <w:szCs w:val="1"/>
                <w:color w:val="auto"/>
              </w:rPr>
            </w:pPr>
          </w:p>
        </w:tc>
      </w:tr>
      <w:tr>
        <w:trPr>
          <w:trHeight w:val="138"/>
        </w:trPr>
        <w:tc>
          <w:tcPr>
            <w:tcW w:w="2800" w:type="dxa"/>
            <w:vAlign w:val="bottom"/>
          </w:tcPr>
          <w:p>
            <w:pPr>
              <w:ind w:left="220"/>
              <w:spacing w:after="0" w:line="138" w:lineRule="exact"/>
              <w:rPr>
                <w:sz w:val="20"/>
                <w:szCs w:val="20"/>
                <w:color w:val="auto"/>
              </w:rPr>
            </w:pPr>
            <w:r>
              <w:rPr>
                <w:rFonts w:ascii="Arial" w:cs="Arial" w:eastAsia="Arial" w:hAnsi="Arial"/>
                <w:sz w:val="14"/>
                <w:szCs w:val="14"/>
                <w:color w:val="auto"/>
                <w:w w:val="95"/>
              </w:rPr>
              <w:t>Other comprehensive income (loss) - net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tcPr>
          <w:p>
            <w:pPr>
              <w:ind w:left="440"/>
              <w:spacing w:after="0" w:line="159" w:lineRule="exact"/>
              <w:rPr>
                <w:sz w:val="20"/>
                <w:szCs w:val="20"/>
                <w:color w:val="auto"/>
              </w:rPr>
            </w:pPr>
            <w:r>
              <w:rPr>
                <w:rFonts w:ascii="Arial" w:cs="Arial" w:eastAsia="Arial" w:hAnsi="Arial"/>
                <w:sz w:val="14"/>
                <w:szCs w:val="14"/>
                <w:color w:val="auto"/>
              </w:rPr>
              <w:t>tax:</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Currency translation adjustments</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34,274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34,274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13,874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48,148</w:t>
            </w:r>
          </w:p>
        </w:tc>
        <w:tc>
          <w:tcPr>
            <w:tcW w:w="0" w:type="dxa"/>
            <w:vAlign w:val="bottom"/>
          </w:tcPr>
          <w:p>
            <w:pPr>
              <w:spacing w:after="0"/>
              <w:rPr>
                <w:sz w:val="1"/>
                <w:szCs w:val="1"/>
                <w:color w:val="auto"/>
              </w:rPr>
            </w:pPr>
          </w:p>
        </w:tc>
      </w:tr>
      <w:tr>
        <w:trPr>
          <w:trHeight w:val="149"/>
        </w:trPr>
        <w:tc>
          <w:tcPr>
            <w:tcW w:w="2800" w:type="dxa"/>
            <w:vAlign w:val="bottom"/>
          </w:tcPr>
          <w:p>
            <w:pPr>
              <w:ind w:left="660"/>
              <w:spacing w:after="0" w:line="149" w:lineRule="exact"/>
              <w:rPr>
                <w:sz w:val="20"/>
                <w:szCs w:val="20"/>
                <w:color w:val="auto"/>
              </w:rPr>
            </w:pPr>
            <w:r>
              <w:rPr>
                <w:rFonts w:ascii="Arial" w:cs="Arial" w:eastAsia="Arial" w:hAnsi="Arial"/>
                <w:sz w:val="14"/>
                <w:szCs w:val="14"/>
                <w:color w:val="auto"/>
                <w:w w:val="99"/>
              </w:rPr>
              <w:t>Amortization of interest rate hedge</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383</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383</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155</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Available-for-sale securities:</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1080"/>
              <w:spacing w:after="0" w:line="149" w:lineRule="exact"/>
              <w:rPr>
                <w:sz w:val="20"/>
                <w:szCs w:val="20"/>
                <w:color w:val="auto"/>
              </w:rPr>
            </w:pPr>
            <w:r>
              <w:rPr>
                <w:rFonts w:ascii="Arial" w:cs="Arial" w:eastAsia="Arial" w:hAnsi="Arial"/>
                <w:sz w:val="14"/>
                <w:szCs w:val="14"/>
                <w:color w:val="auto"/>
              </w:rPr>
              <w:t>Net unrealized gain</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6,861</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6,861</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2,778</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9,639</w:t>
            </w: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ind w:left="1080"/>
              <w:spacing w:after="0" w:line="138" w:lineRule="exact"/>
              <w:rPr>
                <w:sz w:val="20"/>
                <w:szCs w:val="20"/>
                <w:color w:val="auto"/>
              </w:rPr>
            </w:pPr>
            <w:r>
              <w:rPr>
                <w:rFonts w:ascii="Arial" w:cs="Arial" w:eastAsia="Arial" w:hAnsi="Arial"/>
                <w:sz w:val="14"/>
                <w:szCs w:val="14"/>
                <w:color w:val="auto"/>
              </w:rPr>
              <w:t>Adjustment for items</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ind w:left="1300"/>
              <w:spacing w:after="0" w:line="159" w:lineRule="exact"/>
              <w:rPr>
                <w:sz w:val="20"/>
                <w:szCs w:val="20"/>
                <w:color w:val="auto"/>
              </w:rPr>
            </w:pPr>
            <w:r>
              <w:rPr>
                <w:rFonts w:ascii="Arial" w:cs="Arial" w:eastAsia="Arial" w:hAnsi="Arial"/>
                <w:sz w:val="14"/>
                <w:szCs w:val="14"/>
                <w:color w:val="auto"/>
              </w:rPr>
              <w:t>reclassified to earnings</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2800" w:type="dxa"/>
            <w:vAlign w:val="bottom"/>
          </w:tcPr>
          <w:p>
            <w:pPr>
              <w:ind w:left="660"/>
              <w:spacing w:after="0" w:line="149" w:lineRule="exact"/>
              <w:rPr>
                <w:sz w:val="20"/>
                <w:szCs w:val="20"/>
                <w:color w:val="auto"/>
              </w:rPr>
            </w:pPr>
            <w:r>
              <w:rPr>
                <w:rFonts w:ascii="Arial" w:cs="Arial" w:eastAsia="Arial" w:hAnsi="Arial"/>
                <w:sz w:val="14"/>
                <w:szCs w:val="14"/>
                <w:color w:val="auto"/>
              </w:rPr>
              <w:t>Employee benefit plans: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Net actuarial gain</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38"/>
        </w:trPr>
        <w:tc>
          <w:tcPr>
            <w:tcW w:w="2800" w:type="dxa"/>
            <w:vAlign w:val="bottom"/>
          </w:tcPr>
          <w:p>
            <w:pPr>
              <w:ind w:left="1080"/>
              <w:spacing w:after="0" w:line="138" w:lineRule="exact"/>
              <w:rPr>
                <w:sz w:val="20"/>
                <w:szCs w:val="20"/>
                <w:color w:val="auto"/>
              </w:rPr>
            </w:pPr>
            <w:r>
              <w:rPr>
                <w:rFonts w:ascii="Arial" w:cs="Arial" w:eastAsia="Arial" w:hAnsi="Arial"/>
                <w:sz w:val="14"/>
                <w:szCs w:val="14"/>
                <w:color w:val="auto"/>
              </w:rPr>
              <w:t>Adjustment for items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tcPr>
          <w:p>
            <w:pPr>
              <w:ind w:left="1300"/>
              <w:spacing w:after="0" w:line="159" w:lineRule="exact"/>
              <w:rPr>
                <w:sz w:val="20"/>
                <w:szCs w:val="20"/>
                <w:color w:val="auto"/>
              </w:rPr>
            </w:pPr>
            <w:r>
              <w:rPr>
                <w:rFonts w:ascii="Arial" w:cs="Arial" w:eastAsia="Arial" w:hAnsi="Arial"/>
                <w:sz w:val="14"/>
                <w:szCs w:val="14"/>
                <w:color w:val="auto"/>
              </w:rPr>
              <w:t>reclassified to earnings</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(182)</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(182)</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(74)</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income (loss)</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17,011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16,284</w:t>
            </w: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Arial" w:cs="Arial" w:eastAsia="Arial" w:hAnsi="Arial"/>
                <w:sz w:val="14"/>
                <w:szCs w:val="14"/>
                <w:color w:val="auto"/>
              </w:rPr>
              <w:t>Class A common stock issued/issuable in</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w w:val="98"/>
              </w:rPr>
              <w:t>connection with business acquisitions and</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00" w:type="dxa"/>
            <w:vAlign w:val="bottom"/>
          </w:tcPr>
          <w:p>
            <w:pPr>
              <w:ind w:left="220"/>
              <w:spacing w:after="0" w:line="159" w:lineRule="exact"/>
              <w:rPr>
                <w:sz w:val="20"/>
                <w:szCs w:val="20"/>
                <w:color w:val="auto"/>
              </w:rPr>
            </w:pPr>
            <w:r>
              <w:rPr>
                <w:rFonts w:ascii="Arial" w:cs="Arial" w:eastAsia="Arial" w:hAnsi="Arial"/>
                <w:sz w:val="14"/>
                <w:szCs w:val="14"/>
                <w:color w:val="auto"/>
              </w:rPr>
              <w:t>LAM Merger and related amortization</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9,617</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9,617</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2,200</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11,817</w:t>
            </w: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share-based incentive</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compensation awards</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109,851</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109,851</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44,030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153,881</w:t>
            </w: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(3,518)</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(13,439)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(13,439)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(13,439)</w:t>
            </w: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1,967,419</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(49,829)</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(49,829)</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(49,829)</w:t>
            </w: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Delivery of Class A common stock in connection</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9"/>
              </w:rPr>
              <w:t>with share-based incentive compensation</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awards</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(36,597)</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(745,890)</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25,275</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(11,322)</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(11,322)</w:t>
            </w:r>
          </w:p>
        </w:tc>
        <w:tc>
          <w:tcPr>
            <w:tcW w:w="0" w:type="dxa"/>
            <w:vAlign w:val="bottom"/>
          </w:tcPr>
          <w:p>
            <w:pPr>
              <w:spacing w:after="0"/>
              <w:rPr>
                <w:sz w:val="1"/>
                <w:szCs w:val="1"/>
                <w:color w:val="auto"/>
              </w:rPr>
            </w:pPr>
          </w:p>
        </w:tc>
      </w:tr>
      <w:tr>
        <w:trPr>
          <w:trHeight w:val="138"/>
        </w:trPr>
        <w:tc>
          <w:tcPr>
            <w:tcW w:w="2800" w:type="dxa"/>
            <w:vAlign w:val="bottom"/>
          </w:tcPr>
          <w:p>
            <w:pPr>
              <w:spacing w:after="0" w:line="138" w:lineRule="exact"/>
              <w:rPr>
                <w:sz w:val="20"/>
                <w:szCs w:val="20"/>
                <w:color w:val="auto"/>
              </w:rPr>
            </w:pPr>
            <w:r>
              <w:rPr>
                <w:rFonts w:ascii="Arial" w:cs="Arial" w:eastAsia="Arial" w:hAnsi="Arial"/>
                <w:sz w:val="14"/>
                <w:szCs w:val="14"/>
                <w:color w:val="auto"/>
                <w:w w:val="97"/>
              </w:rPr>
              <w:t>Repurchase of common membership interests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tcPr>
          <w:p>
            <w:pPr>
              <w:ind w:left="220"/>
              <w:spacing w:after="0" w:line="159" w:lineRule="exact"/>
              <w:rPr>
                <w:sz w:val="20"/>
                <w:szCs w:val="20"/>
                <w:color w:val="auto"/>
              </w:rPr>
            </w:pPr>
            <w:r>
              <w:rPr>
                <w:rFonts w:ascii="Arial" w:cs="Arial" w:eastAsia="Arial" w:hAnsi="Arial"/>
                <w:sz w:val="14"/>
                <w:szCs w:val="14"/>
                <w:color w:val="auto"/>
              </w:rPr>
              <w:t>from LAZ-MD Holdings</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(1,289)</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(1,289)</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(521)</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Class A common stock issued in exchange for</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9"/>
              </w:rPr>
              <w:t>Lazard Group common membership interests,</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including in connection with secondary</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offering</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5"/>
              </w:rPr>
              <w:t>10,666,987</w:t>
            </w:r>
          </w:p>
        </w:tc>
        <w:tc>
          <w:tcPr>
            <w:tcW w:w="4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(107)</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(41,339)</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(41,339)</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Adjustments related to noncontrolling interests</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23,553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(10,644)</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12,909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(12,909)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Balance–June 30, 2009</w:t>
            </w: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31,745</w:t>
            </w:r>
          </w:p>
        </w:tc>
        <w:tc>
          <w:tcPr>
            <w:tcW w:w="6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w:t>
            </w:r>
          </w:p>
        </w:tc>
        <w:tc>
          <w:tcPr>
            <w:tcW w:w="680" w:type="dxa"/>
            <w:vAlign w:val="bottom"/>
            <w:gridSpan w:val="2"/>
          </w:tcPr>
          <w:p>
            <w:pPr>
              <w:jc w:val="center"/>
              <w:ind w:left="12"/>
              <w:spacing w:after="0" w:line="155" w:lineRule="exact"/>
              <w:rPr>
                <w:sz w:val="20"/>
                <w:szCs w:val="20"/>
                <w:color w:val="auto"/>
              </w:rPr>
            </w:pPr>
            <w:r>
              <w:rPr>
                <w:rFonts w:ascii="Arial" w:cs="Arial" w:eastAsia="Arial" w:hAnsi="Arial"/>
                <w:sz w:val="14"/>
                <w:szCs w:val="14"/>
                <w:b w:val="1"/>
                <w:bCs w:val="1"/>
                <w:color w:val="auto"/>
                <w:w w:val="85"/>
              </w:rPr>
              <w:t>86,961,900</w:t>
            </w:r>
          </w:p>
        </w:tc>
        <w:tc>
          <w:tcPr>
            <w:tcW w:w="48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$ 870</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538,227</w:t>
            </w: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0"/>
              </w:rPr>
              <w:t>$ 179,144</w:t>
            </w: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(47,759)</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2"/>
              </w:rPr>
              <w:t>10,597,691</w:t>
            </w:r>
          </w:p>
        </w:tc>
        <w:tc>
          <w:tcPr>
            <w:tcW w:w="7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(346,406)</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324,076</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51,906</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375,982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40" w:right="26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76,294,912 and 86,961,899 shares of the Company’s Class A common stock issued at January 1, 2009 and June 30, 2009,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7020" w:firstLine="8"/>
        <w:spacing w:after="0" w:line="328"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Lazard Ltd indirectly held approximately 89.0% and 74.5% of all outstanding Lazard Group common membership interests as of June 30, 2010 and December 31, 2009, respectively. Lazard Ltd, through its control of the managing members of Lazard Group, controls Lazard Group. Lazard Group is governed by an Operating Agreement dated as of May 10, 2005, as amended (the “Operating Agreement”).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sole operating asset is its indirect ownership of common membership interests of Lazard Group and its managing member interest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Group, whose principal operating activities are included in two business segments:</w:t>
      </w:r>
    </w:p>
    <w:p>
      <w:pPr>
        <w:spacing w:after="0" w:line="70" w:lineRule="exact"/>
        <w:rPr>
          <w:sz w:val="20"/>
          <w:szCs w:val="20"/>
          <w:color w:val="auto"/>
        </w:rPr>
      </w:pPr>
    </w:p>
    <w:p>
      <w:pPr>
        <w:ind w:left="780" w:right="1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Asset Management, which includes the management of equity and fixed income securities, alternative investments and private equity funds.</w:t>
      </w:r>
    </w:p>
    <w:p>
      <w:pPr>
        <w:spacing w:after="0" w:line="20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2009 (the “Form 10-K”). The accompanying December 31, 2009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six month periods ended June 30, 2010 are not necessarily indicative of the results to be expected for any future period or the full fiscal year. Any material events or transactions that occurred subsequent to June 30, 2010 through the date of filing of this Quarterly Report on Form 10-Q were reviewed for purposes of determining whether any adjustments or additional disclosures were required to be made to the accompanying condensed consolidated financial statements.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—On April 1, 2009, the Company adopted, on a prospective basis, additional accounting guidance issued by the FASB on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measurements. The additional accounting guidance assists in the determination of fair value for securities or other financial assets when the volume and level of activity for such items have significantly decreased when compared with normal market activity and there is no longer sufficient frequency or volume to provide pricing information on an ongoing basis. The additional accounting guidance also assists in determining whether or not a transaction is orderly and whether or not a transaction or quoted price can be considered in the determination of fair value. Accordingly, the additional accounting guidance does not apply to quoted prices for identical assets or liabilities in active markets categorized as Level 1 in the fair value measurement hierarchy, and also requires that additional fair value disclosures be included on an interim basis. See Note 5 of Notes to Condensed Consolidated Financial Statements for the additional disclosures provided pursuant to the additional accounting guidance. The adoption of additional guidance regarding fair value measurements did not materially impact the Company’s consolidated financial statements.</w:t>
      </w:r>
    </w:p>
    <w:p>
      <w:pPr>
        <w:spacing w:after="0" w:line="10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January 2010, the FASB amended its fair value measurement disclosure guidance to require disclosure of significant transfers into and out of the Level 1 and Level 2 categories in the fair value measurement hierarchy, as well as separate disclosures about purchases, sales, issuances and settlements relating to Level 3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measurements. In addition, the FASB also clarified its existing fair value measurement disclosure guidance regarding the level of disaggregation required and disclosures about inputs and valuation techniques used to measure fair value. The new disclosure requirements and clarifications of existing fair value measurement disclosure guidance are effective for interim and annual reporting periods beginning after December 15, 2009, except for the requirement to provide disclosures about purchases, sales, issuances and settlements on a gross basis in the roll forward of activities in Level 3 fair value measurements, which becomes effective for interim and annual reporting periods beginning after December 15, 2010. On January 1, 2010, the Company adopted, on a prospective basis, the applicable new disclosure requirements and clarifications of existing fair value measurement disclosure guidance, which did not have a material impact on the Company’s consolidated financial statements. The Company does not anticipate that the adoption of the remaining new disclosure requirements that are effective for interim and annual reporting periods beginning after December 15, 2010 will have a material impact on its consolidated financial statements.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Other-Than-Temporary Impairments of Debt Securities</w:t>
      </w:r>
      <w:r>
        <w:rPr>
          <w:rFonts w:ascii="Arial" w:cs="Arial" w:eastAsia="Arial" w:hAnsi="Arial"/>
          <w:sz w:val="18"/>
          <w:szCs w:val="18"/>
          <w:color w:val="auto"/>
        </w:rPr>
        <w:t>—On April 1, 2009, the Company adopted, on a prospective basis, new accounting guidance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FASB with respect to the recognition and presentation of other-than-temporary impairments pertaining to debt securities. The new accounting guidance requires greater clarity about the credit and non-credit components of debt securities that are not expected to be sold and whose fair value is below amortized cost, and also requires increased disclosures regarding expected cash flows, credit losses and an aging of securities with unrealized losses. The adoption of the new accounting guidance did not materially impact the Company’s consolidated financial statements. See Note 4 of Notes to Condensed Consolidated Financial Statements.</w:t>
      </w:r>
    </w:p>
    <w:p>
      <w:pPr>
        <w:spacing w:after="0" w:line="13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VIEs</w:t>
      </w:r>
      <w:r>
        <w:rPr>
          <w:rFonts w:ascii="Arial" w:cs="Arial" w:eastAsia="Arial" w:hAnsi="Arial"/>
          <w:sz w:val="16"/>
          <w:szCs w:val="16"/>
          <w:color w:val="auto"/>
        </w:rPr>
        <w:t>—In June 2009, the FASB amended its guidance on VIEs, which changes how a company determines whether an entity in which it is involved with is</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insufficiently capitalized or is not controlled through voting (or similar rights) and whether or not such entity should be consolidated. It also requires a company to provide additional disclosures about its involvement with VIEs and any significant changes in risk exposure due to that involvement. The requirements of the amended accounting guidance were to be effective for interim and annual periods beginning after November 15, 2009. On January 27, 2010, the FASB voted to defer the application of its guidance on consolidation of a reporting enterprise’s interest in an entity when certain conditions are met. This deferral, which affects interests in mutual funds, hedge funds, private equity funds and other types of funds, is effective for interim and annual periods beginning after November 15, 2009. The adoption of the amended guidance for which the deferral provisions do not apply and related disclosures did not have a material impact on the Company’s consolidated financial statements.</w:t>
      </w:r>
    </w:p>
    <w:p>
      <w:pPr>
        <w:spacing w:after="0" w:line="10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RECEIVABLES—NET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Receivables—net is comprised of receivables from fees, banks, customers and other and related parties.</w:t>
      </w:r>
    </w:p>
    <w:p>
      <w:pPr>
        <w:spacing w:after="0" w:line="15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Receivables from banks represent those related to LFB’s short-term deposits in the inter-bank market and with the Banque de France. The level of these deposits may be driven by the level of LFB customer and bank-related interest-bearing time and demand deposits (which can fluctuate significantly on a daily basis) and by changes in asset allocation.</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Customers and other receivables at June 30, 2010 and December 31, 2009 include $2,016 and $4,466, respectively, of loans by LFB to managing directors and employees in France that are made in the ordinary course of business at market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Receivables are stated net of an estimated allowance for doubtful accounts of $18,871 and $11,575 at June 30, 2010 and December 31, 2009, respectively, for past due amounts and for specific accounts deemed uncollectible, which may include situations where a fee is in dispute. The Company recorded bad debt expense (recoveries) of $2,322 and $9,190 for the three month and six month periods ended June 30, 2010, respectively, and $4,170 and $3,622 for the three month and six month periods ended June 30, 2009, respectively. In addition, the Company recorded charge-offs, foreign currency translation and other adjustments, which resulted in a net decrease (increase) to the allowance for doubtful accounts of $937 and $1,894 for the three month and six month periods ended June 30, 2010 and $(150) and $4,495 for the three month and six month periods ended June 30, 2009, respectively. At June 30, 2010 and December 31, 2009, the Company had $26,090 and $14,150, respectively, of receivables deemed past due or uncollectible.</w:t>
      </w:r>
    </w:p>
    <w:p>
      <w:pPr>
        <w:spacing w:after="0" w:line="10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2010 and December 31,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60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4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147,881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147,507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Non-U.S. Governments and agencies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38,119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states and municipals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12,797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Corporates</w:t>
            </w:r>
          </w:p>
        </w:tc>
        <w:tc>
          <w:tcPr>
            <w:tcW w:w="4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169,023</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254,113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219,939</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Total debt securities</w:t>
            </w:r>
          </w:p>
        </w:tc>
        <w:tc>
          <w:tcPr>
            <w:tcW w:w="4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367,820</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460,849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73,978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General Partner (“GP”) interests owned</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71,604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GP interests consolidated but not owned</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14,126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Private equity:</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 owned</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94,303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Investments consolidated but not owned</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44,106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235,405</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264,402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677,203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807,693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at amortized cost</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136,045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Equity method investments</w:t>
            </w:r>
          </w:p>
        </w:tc>
        <w:tc>
          <w:tcPr>
            <w:tcW w:w="4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529,892</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608,505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w w:val="91"/>
              </w:rPr>
              <w:t>Securities sold, not yet purchased, at fair value (included in “other liabilities”)</w:t>
            </w:r>
          </w:p>
        </w:tc>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60" w:type="dxa"/>
            <w:vAlign w:val="bottom"/>
            <w:gridSpan w:val="2"/>
            <w:vMerge w:val="continue"/>
          </w:tcPr>
          <w:p>
            <w:pPr>
              <w:spacing w:after="0"/>
              <w:rPr>
                <w:sz w:val="18"/>
                <w:szCs w:val="18"/>
                <w:color w:val="auto"/>
              </w:rPr>
            </w:pP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2,640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20" w:type="dxa"/>
            <w:vAlign w:val="bottom"/>
            <w:vMerge w:val="restart"/>
          </w:tcPr>
          <w:p>
            <w:pPr>
              <w:jc w:val="right"/>
              <w:ind w:right="369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investments at June 30, 2010 and December 31, 2009 were categorized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82"/>
              </w:rPr>
              <w:t>June 30,</w:t>
            </w:r>
          </w:p>
        </w:tc>
        <w:tc>
          <w:tcPr>
            <w:tcW w:w="4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21,379</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agencies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U.S. states and municipals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12,797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Corporates</w:t>
            </w: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63,232</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Corporates</w:t>
            </w:r>
          </w:p>
        </w:tc>
        <w:tc>
          <w:tcPr>
            <w:tcW w:w="3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168,543</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126,502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agencies</w:t>
            </w: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136,045</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136,630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3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367,820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460,849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Substantially all of the corporate and non-U.S. Government and agency debt securities are held by LFB and primarily consist of fixed and floating rate European corporate and French government debt securities.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and amortized cost basis pertaining to debt securities classified as “available-for-sale” at June 30, 2010, by maturity date/first call date,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Maturity Date/First Call Date</w:t>
            </w:r>
          </w:p>
        </w:tc>
        <w:tc>
          <w:tcPr>
            <w:tcW w:w="25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 year through 5 years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84,042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10 years</w:t>
            </w:r>
          </w:p>
        </w:tc>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13,056</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168,543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Debt investments include corporate perpetual securities that are callable. Such securities are listed in the table above based on their respective first call dates. All other “available-for-sale” securities are listed in the table based on their contractual maturities.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securities classified as “available-for-sale” at June 30, 2010 and December 31, 2009 that are in an unrealized loss position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December 31, 2009</w:t>
            </w:r>
          </w:p>
        </w:tc>
        <w:tc>
          <w:tcPr>
            <w:tcW w:w="940" w:type="dxa"/>
            <w:vAlign w:val="bottom"/>
            <w:tcBorders>
              <w:bottom w:val="single" w:sz="8" w:color="auto"/>
            </w:tcBorders>
          </w:tcPr>
          <w:p>
            <w:pPr>
              <w:spacing w:after="0"/>
              <w:rPr>
                <w:sz w:val="15"/>
                <w:szCs w:val="15"/>
                <w:color w:val="auto"/>
              </w:rPr>
            </w:pPr>
          </w:p>
        </w:tc>
      </w:tr>
      <w:tr>
        <w:trPr>
          <w:trHeight w:val="130"/>
        </w:trPr>
        <w:tc>
          <w:tcPr>
            <w:tcW w:w="1800" w:type="dxa"/>
            <w:vAlign w:val="bottom"/>
            <w:gridSpan w:val="3"/>
          </w:tcPr>
          <w:p>
            <w:pPr>
              <w:jc w:val="center"/>
              <w:ind w:left="909"/>
              <w:spacing w:after="0" w:line="130" w:lineRule="exact"/>
              <w:rPr>
                <w:sz w:val="20"/>
                <w:szCs w:val="20"/>
                <w:color w:val="auto"/>
              </w:rPr>
            </w:pPr>
            <w:r>
              <w:rPr>
                <w:rFonts w:ascii="Arial" w:cs="Arial" w:eastAsia="Arial" w:hAnsi="Arial"/>
                <w:sz w:val="14"/>
                <w:szCs w:val="14"/>
                <w:b w:val="1"/>
                <w:bCs w:val="1"/>
                <w:color w:val="auto"/>
                <w:w w:val="86"/>
              </w:rPr>
              <w:t>Securities in a</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3"/>
          </w:tcPr>
          <w:p>
            <w:pPr>
              <w:jc w:val="center"/>
              <w:ind w:right="686"/>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3"/>
          </w:tcPr>
          <w:p>
            <w:pPr>
              <w:jc w:val="center"/>
              <w:ind w:right="867"/>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100" w:type="dxa"/>
            <w:vAlign w:val="bottom"/>
          </w:tcPr>
          <w:p>
            <w:pPr>
              <w:spacing w:after="0"/>
              <w:rPr>
                <w:sz w:val="11"/>
                <w:szCs w:val="11"/>
                <w:color w:val="auto"/>
              </w:rPr>
            </w:pPr>
          </w:p>
        </w:tc>
        <w:tc>
          <w:tcPr>
            <w:tcW w:w="1780" w:type="dxa"/>
            <w:vAlign w:val="bottom"/>
            <w:gridSpan w:val="3"/>
          </w:tcPr>
          <w:p>
            <w:pPr>
              <w:jc w:val="center"/>
              <w:ind w:left="869"/>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940" w:type="dxa"/>
            <w:vAlign w:val="bottom"/>
          </w:tcPr>
          <w:p>
            <w:pPr>
              <w:spacing w:after="0"/>
              <w:rPr>
                <w:sz w:val="11"/>
                <w:szCs w:val="11"/>
                <w:color w:val="auto"/>
              </w:rPr>
            </w:pPr>
          </w:p>
        </w:tc>
      </w:tr>
      <w:tr>
        <w:trPr>
          <w:trHeight w:val="149"/>
        </w:trPr>
        <w:tc>
          <w:tcPr>
            <w:tcW w:w="2480" w:type="dxa"/>
            <w:vAlign w:val="bottom"/>
            <w:gridSpan w:val="4"/>
          </w:tcPr>
          <w:p>
            <w:pPr>
              <w:jc w:val="center"/>
              <w:ind w:left="209"/>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4"/>
          </w:tcPr>
          <w:p>
            <w:pPr>
              <w:jc w:val="center"/>
              <w:ind w:left="187"/>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10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r>
      <w:tr>
        <w:trPr>
          <w:trHeight w:val="149"/>
        </w:trPr>
        <w:tc>
          <w:tcPr>
            <w:tcW w:w="1800" w:type="dxa"/>
            <w:vAlign w:val="bottom"/>
            <w:gridSpan w:val="3"/>
          </w:tcPr>
          <w:p>
            <w:pPr>
              <w:jc w:val="center"/>
              <w:ind w:left="88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3"/>
          </w:tcPr>
          <w:p>
            <w:pPr>
              <w:jc w:val="center"/>
              <w:ind w:right="686"/>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80" w:type="dxa"/>
            <w:vAlign w:val="bottom"/>
            <w:gridSpan w:val="3"/>
          </w:tcPr>
          <w:p>
            <w:pPr>
              <w:jc w:val="center"/>
              <w:ind w:right="867"/>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100" w:type="dxa"/>
            <w:vAlign w:val="bottom"/>
          </w:tcPr>
          <w:p>
            <w:pPr>
              <w:spacing w:after="0"/>
              <w:rPr>
                <w:sz w:val="12"/>
                <w:szCs w:val="12"/>
                <w:color w:val="auto"/>
              </w:rPr>
            </w:pPr>
          </w:p>
        </w:tc>
        <w:tc>
          <w:tcPr>
            <w:tcW w:w="1780" w:type="dxa"/>
            <w:vAlign w:val="bottom"/>
            <w:gridSpan w:val="3"/>
          </w:tcPr>
          <w:p>
            <w:pPr>
              <w:jc w:val="center"/>
              <w:ind w:left="86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940" w:type="dxa"/>
            <w:vAlign w:val="bottom"/>
          </w:tcPr>
          <w:p>
            <w:pPr>
              <w:spacing w:after="0"/>
              <w:rPr>
                <w:sz w:val="12"/>
                <w:szCs w:val="12"/>
                <w:color w:val="auto"/>
              </w:rPr>
            </w:pPr>
          </w:p>
        </w:tc>
      </w:tr>
      <w:tr>
        <w:trPr>
          <w:trHeight w:val="175"/>
        </w:trPr>
        <w:tc>
          <w:tcPr>
            <w:tcW w:w="2480" w:type="dxa"/>
            <w:vAlign w:val="bottom"/>
            <w:tcBorders>
              <w:bottom w:val="single" w:sz="8" w:color="auto"/>
            </w:tcBorders>
            <w:gridSpan w:val="4"/>
          </w:tcPr>
          <w:p>
            <w:pPr>
              <w:jc w:val="center"/>
              <w:ind w:left="209"/>
              <w:spacing w:after="0"/>
              <w:rPr>
                <w:sz w:val="20"/>
                <w:szCs w:val="20"/>
                <w:color w:val="auto"/>
              </w:rPr>
            </w:pPr>
            <w:r>
              <w:rPr>
                <w:rFonts w:ascii="Arial" w:cs="Arial" w:eastAsia="Arial" w:hAnsi="Arial"/>
                <w:sz w:val="14"/>
                <w:szCs w:val="14"/>
                <w:b w:val="1"/>
                <w:bCs w:val="1"/>
                <w:color w:val="auto"/>
                <w:w w:val="86"/>
              </w:rPr>
              <w:t>Less than 12 Months</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Borders>
              <w:bottom w:val="single" w:sz="8" w:color="auto"/>
            </w:tcBorders>
            <w:gridSpan w:val="4"/>
          </w:tcPr>
          <w:p>
            <w:pPr>
              <w:jc w:val="center"/>
              <w:ind w:left="187"/>
              <w:spacing w:after="0"/>
              <w:rPr>
                <w:sz w:val="20"/>
                <w:szCs w:val="20"/>
                <w:color w:val="auto"/>
              </w:rPr>
            </w:pPr>
            <w:r>
              <w:rPr>
                <w:rFonts w:ascii="Arial" w:cs="Arial" w:eastAsia="Arial" w:hAnsi="Arial"/>
                <w:sz w:val="14"/>
                <w:szCs w:val="14"/>
                <w:b w:val="1"/>
                <w:bCs w:val="1"/>
                <w:color w:val="auto"/>
                <w:w w:val="89"/>
              </w:rPr>
              <w:t>12 Months or Longer</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Less than 12 Months</w:t>
            </w:r>
          </w:p>
        </w:tc>
        <w:tc>
          <w:tcPr>
            <w:tcW w:w="10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12 Months or Longer</w:t>
            </w:r>
          </w:p>
        </w:tc>
      </w:tr>
      <w:tr>
        <w:trPr>
          <w:trHeight w:val="130"/>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186"/>
              <w:spacing w:after="0" w:line="130" w:lineRule="exact"/>
              <w:rPr>
                <w:sz w:val="20"/>
                <w:szCs w:val="20"/>
                <w:color w:val="auto"/>
              </w:rPr>
            </w:pPr>
            <w:r>
              <w:rPr>
                <w:rFonts w:ascii="Arial" w:cs="Arial" w:eastAsia="Arial" w:hAnsi="Arial"/>
                <w:sz w:val="14"/>
                <w:szCs w:val="14"/>
                <w:b w:val="1"/>
                <w:bCs w:val="1"/>
                <w:color w:val="auto"/>
                <w:w w:val="87"/>
              </w:rPr>
              <w:t>Unrealized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ind w:left="360"/>
              <w:spacing w:after="0" w:line="130"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center"/>
              <w:ind w:right="226"/>
              <w:spacing w:after="0" w:line="130" w:lineRule="exact"/>
              <w:rPr>
                <w:sz w:val="20"/>
                <w:szCs w:val="20"/>
                <w:color w:val="auto"/>
              </w:rPr>
            </w:pPr>
            <w:r>
              <w:rPr>
                <w:rFonts w:ascii="Arial" w:cs="Arial" w:eastAsia="Arial" w:hAnsi="Arial"/>
                <w:sz w:val="14"/>
                <w:szCs w:val="14"/>
                <w:b w:val="1"/>
                <w:bCs w:val="1"/>
                <w:color w:val="auto"/>
                <w:w w:val="90"/>
              </w:rPr>
              <w:t>Unrealized</w:t>
            </w:r>
          </w:p>
        </w:tc>
      </w:tr>
      <w:tr>
        <w:trPr>
          <w:trHeight w:val="175"/>
        </w:trPr>
        <w:tc>
          <w:tcPr>
            <w:tcW w:w="1800" w:type="dxa"/>
            <w:vAlign w:val="bottom"/>
            <w:gridSpan w:val="3"/>
          </w:tcPr>
          <w:p>
            <w:pPr>
              <w:ind w:left="400"/>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79"/>
              </w:rPr>
              <w:t>Loss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ind w:left="400"/>
              <w:spacing w:after="0"/>
              <w:rPr>
                <w:sz w:val="20"/>
                <w:szCs w:val="20"/>
                <w:color w:val="auto"/>
              </w:rPr>
            </w:pPr>
            <w:r>
              <w:rPr>
                <w:rFonts w:ascii="Arial" w:cs="Arial" w:eastAsia="Arial" w:hAnsi="Arial"/>
                <w:sz w:val="14"/>
                <w:szCs w:val="14"/>
                <w:b w:val="1"/>
                <w:bCs w:val="1"/>
                <w:color w:val="auto"/>
                <w:w w:val="89"/>
              </w:rPr>
              <w:t>Fair Value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left="186"/>
              <w:spacing w:after="0"/>
              <w:rPr>
                <w:sz w:val="20"/>
                <w:szCs w:val="20"/>
                <w:color w:val="auto"/>
              </w:rPr>
            </w:pPr>
            <w:r>
              <w:rPr>
                <w:rFonts w:ascii="Arial" w:cs="Arial" w:eastAsia="Arial" w:hAnsi="Arial"/>
                <w:sz w:val="14"/>
                <w:szCs w:val="14"/>
                <w:b w:val="1"/>
                <w:bCs w:val="1"/>
                <w:color w:val="auto"/>
                <w:w w:val="79"/>
              </w:rPr>
              <w:t>Loss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5"/>
                <w:szCs w:val="15"/>
                <w:color w:val="auto"/>
              </w:rPr>
            </w:pPr>
          </w:p>
        </w:tc>
        <w:tc>
          <w:tcPr>
            <w:tcW w:w="17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Fair Value</w:t>
            </w:r>
          </w:p>
        </w:tc>
        <w:tc>
          <w:tcPr>
            <w:tcW w:w="940" w:type="dxa"/>
            <w:vAlign w:val="bottom"/>
          </w:tcPr>
          <w:p>
            <w:pPr>
              <w:jc w:val="center"/>
              <w:ind w:right="226"/>
              <w:spacing w:after="0"/>
              <w:rPr>
                <w:sz w:val="20"/>
                <w:szCs w:val="20"/>
                <w:color w:val="auto"/>
              </w:rPr>
            </w:pPr>
            <w:r>
              <w:rPr>
                <w:rFonts w:ascii="Arial" w:cs="Arial" w:eastAsia="Arial" w:hAnsi="Arial"/>
                <w:sz w:val="14"/>
                <w:szCs w:val="14"/>
                <w:b w:val="1"/>
                <w:bCs w:val="1"/>
                <w:color w:val="auto"/>
                <w:w w:val="85"/>
              </w:rPr>
              <w:t>Loss</w:t>
            </w:r>
          </w:p>
        </w:tc>
      </w:tr>
      <w:tr>
        <w:trPr>
          <w:trHeight w:val="210"/>
        </w:trPr>
        <w:tc>
          <w:tcPr>
            <w:tcW w:w="13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$44,639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$811</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92"/>
              </w:rPr>
              <w:t>$69,548</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ind w:left="186"/>
              <w:spacing w:after="0"/>
              <w:rPr>
                <w:sz w:val="20"/>
                <w:szCs w:val="20"/>
                <w:color w:val="auto"/>
              </w:rPr>
            </w:pPr>
            <w:r>
              <w:rPr>
                <w:rFonts w:ascii="Arial" w:cs="Arial" w:eastAsia="Arial" w:hAnsi="Arial"/>
                <w:sz w:val="18"/>
                <w:szCs w:val="18"/>
                <w:color w:val="auto"/>
                <w:w w:val="89"/>
              </w:rPr>
              <w:t>$17,080</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8"/>
                <w:szCs w:val="18"/>
                <w:color w:val="auto"/>
              </w:rPr>
              <w:t>$166,094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226"/>
              <w:spacing w:after="0"/>
              <w:rPr>
                <w:sz w:val="20"/>
                <w:szCs w:val="20"/>
                <w:color w:val="auto"/>
              </w:rPr>
            </w:pPr>
            <w:r>
              <w:rPr>
                <w:rFonts w:ascii="Arial" w:cs="Arial" w:eastAsia="Arial" w:hAnsi="Arial"/>
                <w:sz w:val="18"/>
                <w:szCs w:val="18"/>
                <w:color w:val="auto"/>
                <w:w w:val="86"/>
              </w:rPr>
              <w:t>$21,381</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LFB does not intend to sell its debt securities classified as “available-for-sale” that are in an unrealized loss position, nor is it more likely than not that LFB will be required to sell such debt securities before their anticipated recovery. In addition, no credit loss was required to be recognized during the three month and six month periods ended June 30, 2010 based on the qualitative and quantitative analysis performed by the Company. During the three month and six month periods ended June 30, 2009, an other-than-temporary impairment charge of $916 was recognized in “other-revenue” on the condensed consolidated statements of operations representing the credit loss component of debt securities whose fair value was below amortized cost during the second quarter of 2009.</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and amortized cost basis pertaining to debt securities classified as “held-to-maturity” at June 30, 2010, by maturity date, are as follows: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Maturity Date</w:t>
            </w:r>
          </w:p>
        </w:tc>
        <w:tc>
          <w:tcPr>
            <w:tcW w:w="26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1 year through 5 years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$ 140,991</w:t>
            </w:r>
          </w:p>
        </w:tc>
        <w:tc>
          <w:tcPr>
            <w:tcW w:w="12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4"/>
              </w:rPr>
              <w:t>$ 136,045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debt securities classified as “held-to-maturity” at June 30, 2010 and December 31, 2009 that were in an unrecognized loss position.</w:t>
      </w:r>
    </w:p>
    <w:p>
      <w:pPr>
        <w:spacing w:after="0" w:line="18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2008, LFNY was a party to a Prime Brokerage Agreement with Lehman Brothers Inc. (“LBI”) for certain accounts involving investment strategies managed by LAM. On September 9, 2008, LAM requested a transfer of such accounts, of which $11,368 was not received. On September 15, 2008, Lehman Brothers Holdings, Inc., the ultimate parent company in the Lehman Group, filed for protection under Chapter 11 of the United States Bankruptcy Code and a number of Lehman Group entities in the UK entered into administration proceedings under the Insolvency Act 1986. In addition, the Securities Investor Protection Corporation (“SIPC”) commenced liquidation proceedings on September 19, 2008 pursuant to the Securities Investor Protection Act of 1970, as amended, with respect to LBI. The Chapter 11 filing, Insolvency Act Administration and SIPC proceedings exposed Lazard to possible loss due to counterparty credit and other risk. During 2008, the Company provided for the entire amount of such possible loss, and, through June 30, 2010, no amounts have been recovered by the Company. We continue to actively seek recovery of all amounts.</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“stockholders’ equity” on the condensed consolidated statements of financial condition (see Note 12 of Notes to Condensed Consolidated Financial Statements).</w:t>
      </w:r>
    </w:p>
    <w:p>
      <w:pPr>
        <w:spacing w:after="0" w:line="13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 Senior Housing is managed by Lazard Alternative Investments Holdings LLC (“LAI”), a subsidiary of LFCM Holdings LLC (“LFCM Holdings”). LAI owns and operates the alternative investments of LFCM Holdings. CP II was managed by a subsidiary of LAI until February 16, 2009. Effective February 17, 2009, ownership and control of CP II was transferred to the investment professionals who manage CP II.</w:t>
      </w:r>
    </w:p>
    <w:p>
      <w:pPr>
        <w:spacing w:after="0" w:line="10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 See Note 8 of Notes to Condensed Consolidated Financial Statements.</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Equity method investments at December 31, 2009 primarily consisted of our investment in Sapphire Industrials Corp. (“Sapphire”). On January 24, 2008, Sapphire, a then newly-organized special purpose acquisition company formed by the Company, completed an initial public offering (the “Sapphire IPO”).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w:t>
      </w:r>
    </w:p>
    <w:p>
      <w:pPr>
        <w:spacing w:after="0" w:line="13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January 6, 2010, Sapphire announced that it had not completed the Business Combination and it would dissolve and distribute the funds in the Trust Account to all its public shareholders, to the extent they were holders of shares issued in the Sapphire IPO. Pursuant to such dissolution, on January 26, 2010, Sapphire distributed an initial distribution to the Company aggregating $50,319. All Sapphire warrants expired without value. During the fourth quarter of 2009, the Company recognized a loss of approximately $13,000 principally related to its investment in warrants of Sapphire.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recognized gross investment gains and losses on investments measured at fair value for the three month and six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2010 and 2009, in “revenue-other” on its condensed consolidated statement of operations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 Period</w:t>
            </w:r>
          </w:p>
        </w:tc>
        <w:tc>
          <w:tcPr>
            <w:tcW w:w="340" w:type="dxa"/>
            <w:vAlign w:val="bottom"/>
          </w:tcPr>
          <w:p>
            <w:pPr>
              <w:spacing w:after="0"/>
              <w:rPr>
                <w:sz w:val="14"/>
                <w:szCs w:val="14"/>
                <w:color w:val="auto"/>
              </w:rPr>
            </w:pPr>
          </w:p>
        </w:tc>
        <w:tc>
          <w:tcPr>
            <w:tcW w:w="15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Six Month Period</w:t>
            </w:r>
          </w:p>
        </w:tc>
      </w:tr>
      <w:tr>
        <w:trPr>
          <w:trHeight w:val="161"/>
        </w:trPr>
        <w:tc>
          <w:tcPr>
            <w:tcW w:w="36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Ended June 30,</w:t>
            </w:r>
          </w:p>
        </w:tc>
        <w:tc>
          <w:tcPr>
            <w:tcW w:w="340" w:type="dxa"/>
            <w:vAlign w:val="bottom"/>
          </w:tcPr>
          <w:p>
            <w:pPr>
              <w:spacing w:after="0"/>
              <w:rPr>
                <w:sz w:val="14"/>
                <w:szCs w:val="14"/>
                <w:color w:val="auto"/>
              </w:rPr>
            </w:pPr>
          </w:p>
        </w:tc>
        <w:tc>
          <w:tcPr>
            <w:tcW w:w="15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Ended June 30,</w:t>
            </w:r>
          </w:p>
        </w:tc>
      </w:tr>
      <w:tr>
        <w:trPr>
          <w:trHeight w:val="142"/>
        </w:trPr>
        <w:tc>
          <w:tcPr>
            <w:tcW w:w="3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gains</w:t>
            </w:r>
          </w:p>
        </w:tc>
        <w:tc>
          <w:tcPr>
            <w:tcW w:w="4980" w:type="dxa"/>
            <w:vAlign w:val="bottom"/>
            <w:gridSpan w:val="2"/>
            <w:shd w:val="clear" w:color="auto" w:fill="CCEEFF"/>
          </w:tcPr>
          <w:p>
            <w:pPr>
              <w:jc w:val="center"/>
              <w:ind w:left="4372"/>
              <w:spacing w:after="0"/>
              <w:rPr>
                <w:sz w:val="20"/>
                <w:szCs w:val="20"/>
                <w:color w:val="auto"/>
              </w:rPr>
            </w:pPr>
            <w:r>
              <w:rPr>
                <w:rFonts w:ascii="Arial" w:cs="Arial" w:eastAsia="Arial" w:hAnsi="Arial"/>
                <w:sz w:val="18"/>
                <w:szCs w:val="18"/>
                <w:color w:val="auto"/>
                <w:w w:val="86"/>
              </w:rPr>
              <w:t>$ 3,724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18,648</w:t>
            </w:r>
          </w:p>
        </w:tc>
        <w:tc>
          <w:tcPr>
            <w:tcW w:w="9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$13,482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21,871</w:t>
            </w:r>
          </w:p>
        </w:tc>
        <w:tc>
          <w:tcPr>
            <w:tcW w:w="20" w:type="dxa"/>
            <w:vAlign w:val="bottom"/>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4980" w:type="dxa"/>
            <w:vAlign w:val="bottom"/>
            <w:gridSpan w:val="2"/>
          </w:tcPr>
          <w:p>
            <w:pPr>
              <w:jc w:val="center"/>
              <w:ind w:left="4372"/>
              <w:spacing w:after="0"/>
              <w:rPr>
                <w:sz w:val="20"/>
                <w:szCs w:val="20"/>
                <w:color w:val="auto"/>
              </w:rPr>
            </w:pPr>
            <w:r>
              <w:rPr>
                <w:rFonts w:ascii="Arial" w:cs="Arial" w:eastAsia="Arial" w:hAnsi="Arial"/>
                <w:sz w:val="18"/>
                <w:szCs w:val="18"/>
                <w:color w:val="auto"/>
                <w:w w:val="86"/>
              </w:rPr>
              <w:t>$ 6,368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$11,129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6,312</w:t>
            </w:r>
          </w:p>
        </w:tc>
        <w:tc>
          <w:tcPr>
            <w:tcW w:w="20" w:type="dxa"/>
            <w:vAlign w:val="bottom"/>
          </w:tcPr>
          <w:p>
            <w:pPr>
              <w:spacing w:after="0"/>
              <w:rPr>
                <w:sz w:val="19"/>
                <w:szCs w:val="19"/>
                <w:color w:val="auto"/>
              </w:rPr>
            </w:pPr>
          </w:p>
        </w:tc>
      </w:tr>
      <w:tr>
        <w:trPr>
          <w:trHeight w:val="356"/>
        </w:trPr>
        <w:tc>
          <w:tcPr>
            <w:tcW w:w="3660" w:type="dxa"/>
            <w:vAlign w:val="bottom"/>
          </w:tcPr>
          <w:p>
            <w:pPr>
              <w:spacing w:after="0"/>
              <w:rPr>
                <w:sz w:val="24"/>
                <w:szCs w:val="24"/>
                <w:color w:val="auto"/>
              </w:rPr>
            </w:pPr>
          </w:p>
        </w:tc>
        <w:tc>
          <w:tcPr>
            <w:tcW w:w="4460" w:type="dxa"/>
            <w:vAlign w:val="bottom"/>
          </w:tcPr>
          <w:p>
            <w:pPr>
              <w:jc w:val="right"/>
              <w:ind w:right="2232"/>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53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Period 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Six Month Period</w:t>
            </w:r>
          </w:p>
        </w:tc>
      </w:tr>
      <w:tr>
        <w:trPr>
          <w:trHeight w:val="161"/>
        </w:trPr>
        <w:tc>
          <w:tcPr>
            <w:tcW w:w="5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36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5"/>
              </w:rPr>
              <w:t>Ended June 30,</w:t>
            </w:r>
          </w:p>
        </w:tc>
      </w:tr>
      <w:tr>
        <w:trPr>
          <w:trHeight w:val="142"/>
        </w:trPr>
        <w:tc>
          <w:tcPr>
            <w:tcW w:w="53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8"/>
                <w:szCs w:val="18"/>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2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spacing w:after="0"/>
              <w:rPr>
                <w:sz w:val="20"/>
                <w:szCs w:val="20"/>
                <w:color w:val="auto"/>
              </w:rPr>
            </w:pPr>
            <w:r>
              <w:rPr>
                <w:rFonts w:ascii="Arial" w:cs="Arial" w:eastAsia="Arial" w:hAnsi="Arial"/>
                <w:sz w:val="18"/>
                <w:szCs w:val="18"/>
                <w:color w:val="auto"/>
              </w:rPr>
              <w:t>1,497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1,325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within “accumulated other comprehensive income (loss), net of tax” (“AOCI”), the Company recorded gross pre-tax unrealized investment gains of $5,456 and $18,969 during the six month periods ended June 30, 2010 and 2009, respectively, and gross pre-tax unrealized investment losses of $6,013 and $2,893 during the six month periods ended June 30, 2010 and 2009, respectively pertaining to debt securities held at LFB that are designated as “available-for-sale.” The average cost basis is utilized for purposes of calculating realized investment gains and losses.</w:t>
      </w:r>
    </w:p>
    <w:p>
      <w:pPr>
        <w:spacing w:after="0" w:line="9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Most of the Company’s investments in corporate debt securities are considered Level 2 investments with such fair value based on observable data, principally broker quotes as provided by external pricing services. The Company’s other debt securities at fair value are considered Level 1 investments with such fair value based on unadjusted quoted prices in active markets.</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2010 and December 31, 2009 into a three-level fair value hierarchy in accordance with fair value measurement disclosure requirements: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As of June 30, 2010</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9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Investments: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securities at amortized cost)</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63,232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168,543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56,407</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17,272</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71,604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GP interests consolidated but not owned</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14,126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Investments owned</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94,303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consolidated but not owned</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44,106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119,639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277,731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138,708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536,078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80" w:type="dxa"/>
            <w:vAlign w:val="bottom"/>
            <w:vMerge w:val="restart"/>
          </w:tcPr>
          <w:p>
            <w:pPr>
              <w:jc w:val="right"/>
              <w:ind w:right="131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2009</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Level 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Investments: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securities at amortized cost)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253,663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65,932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16,205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Arial" w:cs="Arial" w:eastAsia="Arial" w:hAnsi="Arial"/>
                <w:sz w:val="18"/>
                <w:szCs w:val="18"/>
                <w:color w:val="auto"/>
              </w:rPr>
              <w:t>GP interests consolidated but not owned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13,038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Arial" w:cs="Arial" w:eastAsia="Arial" w:hAnsi="Arial"/>
                <w:sz w:val="18"/>
                <w:szCs w:val="18"/>
                <w:color w:val="auto"/>
              </w:rPr>
              <w:t>Investments owned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100,171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consolidated but not owned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35,743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Derivatives</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136,493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336,714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136,219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609,426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Derivatives</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were no transfers into and out of the Level 1, 2 and 3 categories in the fair value measurement hierarchy for the three month and six month periods ended June 30, 2010.</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2010 and 2009: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9"/>
          </w:tcPr>
          <w:p>
            <w:pPr>
              <w:jc w:val="right"/>
              <w:ind w:right="840"/>
              <w:spacing w:after="0"/>
              <w:rPr>
                <w:sz w:val="20"/>
                <w:szCs w:val="20"/>
                <w:color w:val="auto"/>
              </w:rPr>
            </w:pPr>
            <w:r>
              <w:rPr>
                <w:rFonts w:ascii="Arial" w:cs="Arial" w:eastAsia="Arial" w:hAnsi="Arial"/>
                <w:sz w:val="14"/>
                <w:szCs w:val="14"/>
                <w:b w:val="1"/>
                <w:bCs w:val="1"/>
                <w:color w:val="auto"/>
              </w:rPr>
              <w:t>Three Months Ended June 30, 2010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Net Unrealized/</w:t>
            </w: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Purchases,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Realized</w:t>
            </w: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Issuances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Beginning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20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w w:val="81"/>
              </w:rPr>
              <w:t>Balance</w:t>
            </w:r>
          </w:p>
        </w:tc>
        <w:tc>
          <w:tcPr>
            <w:tcW w:w="380" w:type="dxa"/>
            <w:vAlign w:val="bottom"/>
          </w:tcPr>
          <w:p>
            <w:pPr>
              <w:spacing w:after="0"/>
              <w:rPr>
                <w:sz w:val="14"/>
                <w:szCs w:val="14"/>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Revenue-Other</w:t>
            </w: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Acquisitions</w:t>
            </w:r>
          </w:p>
        </w:tc>
        <w:tc>
          <w:tcPr>
            <w:tcW w:w="20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9"/>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98,037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94,303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not owned</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38,227</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44,106</w:t>
            </w:r>
          </w:p>
        </w:tc>
        <w:tc>
          <w:tcPr>
            <w:tcW w:w="0" w:type="dxa"/>
            <w:vAlign w:val="bottom"/>
          </w:tcPr>
          <w:p>
            <w:pPr>
              <w:spacing w:after="0"/>
              <w:rPr>
                <w:sz w:val="1"/>
                <w:szCs w:val="1"/>
                <w:color w:val="auto"/>
              </w:rPr>
            </w:pPr>
          </w:p>
        </w:tc>
      </w:tr>
      <w:tr>
        <w:trPr>
          <w:trHeight w:val="221"/>
        </w:trPr>
        <w:tc>
          <w:tcPr>
            <w:tcW w:w="4660" w:type="dxa"/>
            <w:vAlign w:val="bottom"/>
          </w:tcPr>
          <w:p>
            <w:pPr>
              <w:ind w:left="440"/>
              <w:spacing w:after="0"/>
              <w:rPr>
                <w:sz w:val="20"/>
                <w:szCs w:val="20"/>
                <w:color w:val="auto"/>
              </w:rPr>
            </w:pPr>
            <w:r>
              <w:rPr>
                <w:rFonts w:ascii="Arial" w:cs="Arial" w:eastAsia="Arial" w:hAnsi="Arial"/>
                <w:sz w:val="18"/>
                <w:szCs w:val="18"/>
                <w:color w:val="auto"/>
              </w:rPr>
              <w:t>Total Level 3 Assets</w:t>
            </w:r>
          </w:p>
        </w:tc>
        <w:tc>
          <w:tcPr>
            <w:tcW w:w="1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136,562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1,531</w:t>
            </w:r>
          </w:p>
        </w:tc>
        <w:tc>
          <w:tcPr>
            <w:tcW w:w="500" w:type="dxa"/>
            <w:vAlign w:val="bottom"/>
          </w:tcPr>
          <w:p>
            <w:pPr>
              <w:spacing w:after="0"/>
              <w:rPr>
                <w:sz w:val="19"/>
                <w:szCs w:val="19"/>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4,369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(3,754)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138,708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4"/>
                <w:szCs w:val="14"/>
                <w:b w:val="1"/>
                <w:bCs w:val="1"/>
                <w:color w:val="auto"/>
              </w:rPr>
              <w:t>Three Months Ended June 30, 2009</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Realized</w:t>
            </w: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Settlements/</w:t>
            </w: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Balance</w:t>
            </w: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Revenue-Other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investments owned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86,324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93,530</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86,585</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4,237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3,137</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93,827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2010</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Net Unrealized/</w:t>
            </w: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Realized</w:t>
            </w: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Settlements/</w:t>
            </w: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Balance</w:t>
            </w: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Revenue-Other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305</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Investments owned</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100,171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94,303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consolidated but not owned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35,743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4,364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44,106</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136,219</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4,741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4,367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(6,619)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138,708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2009</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Net Unrealized/</w:t>
            </w: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Realized</w:t>
            </w: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Settlements/</w:t>
            </w: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Balance</w:t>
            </w: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Revenue-Other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2,453</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(2,056)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investments owned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83,931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8,613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93,530</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86,384</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6,557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93,827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realized gains or losses included in income for the three month and six month periods ended June 30, 2010 with respect to Level 3 assets.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There were net realized gains of $21 included in income for the three month and six month periods ended June 30, 2009 with respect to such assets.</w:t>
      </w:r>
    </w:p>
    <w:p>
      <w:pPr>
        <w:spacing w:after="0" w:line="17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“available-for-sale” securities, the Company elected to not apply hedge accounting to its other derivative instruments held. Gains and losses on the Company’s derivatives not designated as hedging instruments, as well as gains and losses on derivatives accounted for as fair value hedges, are included in “interest income” and “interest expense”, respectively, or “revenue-other”, depending on the nature of the underlying item, on the consolidated statements of operations. Furthermore, with respect to derivatives designated as fair value hedges, the hedged item is required to be adjusted for changes in fair value of the risk being hedged, with such adjustment accounted for in the consolidated statements of operations.</w:t>
      </w:r>
    </w:p>
    <w:p>
      <w:pPr>
        <w:spacing w:after="0" w:line="10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table below presents the fair values of the Company’s derivative assets and liabilities reported within “other assets” and “other liabilities” on the accompanying condensed consolidated statements of financial condition as of June 30, 2010 and December 31,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440"/>
              <w:spacing w:after="0"/>
              <w:rPr>
                <w:sz w:val="20"/>
                <w:szCs w:val="20"/>
                <w:color w:val="auto"/>
              </w:rPr>
            </w:pPr>
            <w:r>
              <w:rPr>
                <w:rFonts w:ascii="Arial" w:cs="Arial" w:eastAsia="Arial" w:hAnsi="Arial"/>
                <w:sz w:val="14"/>
                <w:szCs w:val="14"/>
                <w:b w:val="1"/>
                <w:bCs w:val="1"/>
                <w:color w:val="auto"/>
                <w:w w:val="82"/>
              </w:rPr>
              <w:t>Designated</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Not Designated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as Hedging Instruments</w:t>
            </w:r>
          </w:p>
        </w:tc>
        <w:tc>
          <w:tcPr>
            <w:tcW w:w="160" w:type="dxa"/>
            <w:vAlign w:val="bottom"/>
          </w:tcPr>
          <w:p>
            <w:pPr>
              <w:spacing w:after="0"/>
              <w:rPr>
                <w:sz w:val="14"/>
                <w:szCs w:val="14"/>
                <w:color w:val="auto"/>
              </w:rPr>
            </w:pPr>
          </w:p>
        </w:tc>
        <w:tc>
          <w:tcPr>
            <w:tcW w:w="20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as Hedging Instruments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92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June 30,</w:t>
            </w: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40" w:type="dxa"/>
            <w:vAlign w:val="bottom"/>
          </w:tcPr>
          <w:p>
            <w:pPr>
              <w:spacing w:after="0"/>
              <w:rPr>
                <w:sz w:val="11"/>
                <w:szCs w:val="11"/>
                <w:color w:val="auto"/>
              </w:rPr>
            </w:pPr>
          </w:p>
        </w:tc>
        <w:tc>
          <w:tcPr>
            <w:tcW w:w="660" w:type="dxa"/>
            <w:vAlign w:val="bottom"/>
            <w:tcBorders>
              <w:top w:val="single" w:sz="8" w:color="auto"/>
            </w:tcBorders>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8"/>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74"/>
              <w:spacing w:after="0"/>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4"/>
                <w:szCs w:val="14"/>
                <w:color w:val="auto"/>
              </w:rPr>
            </w:pPr>
          </w:p>
        </w:tc>
        <w:tc>
          <w:tcPr>
            <w:tcW w:w="680" w:type="dxa"/>
            <w:vAlign w:val="bottom"/>
            <w:gridSpan w:val="2"/>
          </w:tcPr>
          <w:p>
            <w:pPr>
              <w:jc w:val="right"/>
              <w:ind w:right="44"/>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$ 5,357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5,357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Equity swaps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$ 6,186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$ 2,314</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2,314</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13,821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14,147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13,824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13,821</w:t>
            </w:r>
          </w:p>
        </w:tc>
        <w:tc>
          <w:tcPr>
            <w:tcW w:w="3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14,147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$ 2,888</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3,236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16,709</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17,383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323" w:lineRule="auto"/>
        <w:rPr>
          <w:sz w:val="20"/>
          <w:szCs w:val="20"/>
          <w:color w:val="auto"/>
        </w:rPr>
      </w:pPr>
      <w:r>
        <w:rPr>
          <w:rFonts w:ascii="Arial" w:cs="Arial" w:eastAsia="Arial" w:hAnsi="Arial"/>
          <w:sz w:val="16"/>
          <w:szCs w:val="16"/>
          <w:color w:val="auto"/>
        </w:rPr>
        <w:t>Gains (losses) with respect to derivatives not designated as hedging instruments on the accompanying condensed consolidated statements of operations for the three month and six month periods ended June 30, 2010 and 2009 (predominantly reflected in “revenue-other”), by type of derivative, were as follows:</w:t>
      </w: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2"/>
                <w:szCs w:val="12"/>
                <w:color w:val="auto"/>
              </w:rPr>
            </w:pPr>
          </w:p>
        </w:tc>
        <w:tc>
          <w:tcPr>
            <w:tcW w:w="1580" w:type="dxa"/>
            <w:vAlign w:val="bottom"/>
            <w:gridSpan w:val="6"/>
          </w:tcPr>
          <w:p>
            <w:pPr>
              <w:jc w:val="right"/>
              <w:ind w:right="320"/>
              <w:spacing w:after="0" w:line="149" w:lineRule="exact"/>
              <w:rPr>
                <w:sz w:val="20"/>
                <w:szCs w:val="20"/>
                <w:color w:val="auto"/>
              </w:rPr>
            </w:pPr>
            <w:r>
              <w:rPr>
                <w:rFonts w:ascii="Arial" w:cs="Arial" w:eastAsia="Arial" w:hAnsi="Arial"/>
                <w:sz w:val="14"/>
                <w:szCs w:val="14"/>
                <w:b w:val="1"/>
                <w:bCs w:val="1"/>
                <w:color w:val="auto"/>
              </w:rPr>
              <w:t>Six Months Ended</w:t>
            </w:r>
          </w:p>
        </w:tc>
      </w:tr>
      <w:tr>
        <w:trPr>
          <w:trHeight w:val="16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$ 3,482</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$12,351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3,650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540" w:type="dxa"/>
            <w:vAlign w:val="bottom"/>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Equity swaps and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(7,145)</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(3,263)</w:t>
            </w:r>
          </w:p>
        </w:tc>
      </w:tr>
      <w:tr>
        <w:trPr>
          <w:trHeight w:val="20"/>
        </w:trPr>
        <w:tc>
          <w:tcPr>
            <w:tcW w:w="7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12,505</w:t>
            </w:r>
          </w:p>
        </w:tc>
        <w:tc>
          <w:tcPr>
            <w:tcW w:w="4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(3,319)</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16,435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r>
      <w:tr>
        <w:trPr>
          <w:trHeight w:val="20"/>
        </w:trPr>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Derivatives designated as hedging instruments relate to interest rate swaps that hedge “available-for-sale” securities and are being accounted for as fair value hedges. For the three month and six month periods ended June 30, 2010, the Company recognized net losses pertaining to interest rate swaps of $1,765 and $3,756, respectively, and for the three month and six month periods ended June 30, 2009, recognized net gains (losses) of $3,143 and $(190), respectively, with respect to such interest rate swaps. These gains (losses) were substantially offset by amounts recognized on the hedged risk portion of such “available-for-sale” securities.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(“Class A common stock”) (plus additional shares of Class A common stock in an amount determined by reference to the cash dividends paid on Class A common stock since the closing of the LAM Merger), subject, in the case of clauses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have been recorded in the accompanying condensed consolidated statements of financial condition in “accrued compensation and benefits” and “other liabilities”, and amounted to $14,754 and $68,145, respectively, as of June 30, 2010 and $14,252 and $65,308, respectively, as of December 31, 2009.</w:t>
      </w:r>
    </w:p>
    <w:p>
      <w:pPr>
        <w:spacing w:after="0" w:line="11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two middle market funds, Edgewater Growth Capital Partners, L.P. and Edgewater Growth Capital Partners II, L.P. (the “underlying funds”), with an aggregate of approximately $700,000 of capital raised. The acquisition was structured as a purchase by Lazard Group of interests in a holding company that in turn owns interests in the general partner and management company entities of the current Edgewater private equity funds.</w:t>
      </w:r>
    </w:p>
    <w:p>
      <w:pPr>
        <w:spacing w:after="0" w:line="10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transfer restrictions and forfeiture provisions that lapse only upon the achievement of certain performance thresholds for the next Edgewater fund that must be met by July 15, 2011. The Earnout Shares will be issued only if certain performance thresholds for the next two Edgewater funds are met.</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Edgewater Acquisition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 intangible assets and goodwill of $53,635 (consisting primarily of Edgewater’s investments in their underlying funds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cash), $56,200 and $61,630, respectively, which include amounts for Edgewater’s noncontrolling interests held (whose economic interests approximate 50%) aggregating $109,841. Goodwill pertaining to this acquisition is deductible for income tax purposes. See Note 9 of Notes to Condensed Consolidated Financial Statements for additional information relating to goodwill and other intangible assets. The operating results relating to Edgewater, which have not been material, are included in the Company’s Asset Management segment.</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2007, the Company acquired Goldsmith, Agio, Helms &amp; Lynner, LLC (“GAHL”), a Minneapolis-based investment bank specializing in financial advisory services to mid-sized private companies, and Carnegie, Wylie &amp; Company (Holdings) PTY LTD (“CWC”), an Australia-based financial advisory firm.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both June 30, 2010 and December 31, 2009, 662,015 shares of Class A common stock were issuable on a non-contingent basis. Additionally, at both June 30, 2010 and December 31, 2009, 7,293 shares of Series A preferred stock were convertible into Class A common shares on a non-contingent basis, with the number of Class A common shares dependent, in part, upon future prices of the Class A common stock. At both June 30, 2010 and December 31, 2009, 948,631 shares of Class A common stock were contingently issuable and, at both such dates, 19,590 shares of Series A preferred stock were contingently convertible into shares of Class A common stock, dependent upon the future performance of GAHL and CWC. The Class A common stock described above related to the GAHL and CWC acquisitions is issuable over multi-year periods.</w:t>
      </w:r>
    </w:p>
    <w:p>
      <w:pPr>
        <w:spacing w:after="0" w:line="10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r>
      <w:r>
        <w:rPr>
          <w:sz w:val="20"/>
          <w:szCs w:val="20"/>
          <w:color w:val="auto"/>
        </w:rPr>
        <w:tab/>
      </w:r>
      <w:r>
        <w:rPr>
          <w:rFonts w:ascii="Arial" w:cs="Arial" w:eastAsia="Arial" w:hAnsi="Arial"/>
          <w:sz w:val="16"/>
          <w:szCs w:val="16"/>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goodwill and other intangible assets at June 30, 2010 and December 31, 2009 are presented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Arial" w:cs="Arial" w:eastAsia="Arial" w:hAnsi="Arial"/>
                <w:sz w:val="14"/>
                <w:szCs w:val="14"/>
                <w:b w:val="1"/>
                <w:bCs w:val="1"/>
                <w:color w:val="auto"/>
                <w:w w:val="99"/>
              </w:rPr>
              <w:t>June 30,</w:t>
            </w:r>
          </w:p>
        </w:tc>
        <w:tc>
          <w:tcPr>
            <w:tcW w:w="1160" w:type="dxa"/>
            <w:vAlign w:val="bottom"/>
            <w:gridSpan w:val="3"/>
          </w:tcPr>
          <w:p>
            <w:pPr>
              <w:ind w:left="3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$254,295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261,703</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52,538</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56,077</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306,833</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317,780</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At June 30, 2010 and December 31, 2009, goodwill of $192,665 and $200,073, respectively, was attributable to the Company’s Financial Advisory segment and, at each such date, $61,630 of goodwill was attributable to the Company’s Asset Management segment.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2010 and 2009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Borders>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$261,703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Business acquisitions, including additional contingent consideration earned</w:t>
            </w:r>
          </w:p>
        </w:tc>
        <w:tc>
          <w:tcPr>
            <w:tcW w:w="1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Balance, June 30</w:t>
            </w:r>
          </w:p>
        </w:tc>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60" w:type="dxa"/>
            <w:vAlign w:val="bottom"/>
            <w:gridSpan w:val="2"/>
            <w:vMerge w:val="continue"/>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254,295</w:t>
            </w: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185,434</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jc w:val="right"/>
              <w:ind w:right="1612"/>
              <w:spacing w:after="0"/>
              <w:rPr>
                <w:sz w:val="20"/>
                <w:szCs w:val="20"/>
                <w:color w:val="auto"/>
              </w:rPr>
            </w:pPr>
            <w:r>
              <w:rPr>
                <w:rFonts w:ascii="Arial" w:cs="Arial" w:eastAsia="Arial" w:hAnsi="Arial"/>
                <w:sz w:val="18"/>
                <w:szCs w:val="18"/>
                <w:color w:val="auto"/>
              </w:rPr>
              <w:t>21</w:t>
            </w:r>
          </w:p>
        </w:tc>
        <w:tc>
          <w:tcPr>
            <w:tcW w:w="1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2010 and December 31, 2009,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June 30, 2010</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2009</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Success/performance fees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$ 30,740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$ 30,740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$ 30,740</w:t>
            </w: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$ 30,740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Management fees, customer relationships and non-compete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32,477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10,679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21,798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32,477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7,140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$ 63,217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$ 52,538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$ 63,217</w:t>
            </w: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$ 56,077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2010 was $1,769 and $3,539, respectively, and for the three month and six month periods ended June 30, 2009 was $344 and $688, respectively. Estimated future amortization expense is as follows:</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700" w:type="dxa"/>
            <w:vAlign w:val="bottom"/>
            <w:gridSpan w:val="3"/>
          </w:tcPr>
          <w:p>
            <w:pPr>
              <w:ind w:left="2920"/>
              <w:spacing w:after="0"/>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61"/>
        </w:trPr>
        <w:tc>
          <w:tcPr>
            <w:tcW w:w="566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29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Expense (a)</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vMerge w:val="continue"/>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2010 (July 1 through December 31)</w:t>
            </w:r>
          </w:p>
        </w:tc>
        <w:tc>
          <w:tcPr>
            <w:tcW w:w="310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2011</w:t>
            </w:r>
          </w:p>
        </w:tc>
        <w:tc>
          <w:tcPr>
            <w:tcW w:w="7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13,022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10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Approximately 47% of intangible asset amortization is attributable to a noncontrolling interest.</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7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b w:val="1"/>
          <w:bCs w:val="1"/>
          <w:color w:val="auto"/>
        </w:rPr>
        <w:t>—</w:t>
      </w:r>
      <w:r>
        <w:rPr>
          <w:rFonts w:ascii="Arial" w:cs="Arial" w:eastAsia="Arial" w:hAnsi="Arial"/>
          <w:sz w:val="18"/>
          <w:szCs w:val="18"/>
          <w:color w:val="auto"/>
        </w:rPr>
        <w:t>Senior debt is comprised of the following as of June 30, 2010 and December 31,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Initial</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Annual</w:t>
            </w:r>
          </w:p>
        </w:tc>
        <w:tc>
          <w:tcPr>
            <w:tcW w:w="10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Principal</w:t>
            </w:r>
          </w:p>
        </w:tc>
        <w:tc>
          <w:tcPr>
            <w:tcW w:w="9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5"/>
              </w:rPr>
              <w:t>Maturity</w:t>
            </w:r>
          </w:p>
        </w:tc>
        <w:tc>
          <w:tcPr>
            <w:tcW w:w="11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01"/>
              <w:spacing w:after="0" w:line="129" w:lineRule="exact"/>
              <w:rPr>
                <w:sz w:val="20"/>
                <w:szCs w:val="20"/>
                <w:color w:val="auto"/>
              </w:rPr>
            </w:pPr>
            <w:r>
              <w:rPr>
                <w:rFonts w:ascii="Arial" w:cs="Arial" w:eastAsia="Arial" w:hAnsi="Arial"/>
                <w:sz w:val="14"/>
                <w:szCs w:val="14"/>
                <w:b w:val="1"/>
                <w:bCs w:val="1"/>
                <w:color w:val="auto"/>
                <w:w w:val="96"/>
              </w:rPr>
              <w:t>June 30,</w:t>
            </w:r>
          </w:p>
        </w:tc>
        <w:tc>
          <w:tcPr>
            <w:tcW w:w="3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7.125% Senior Notes (a)</w:t>
            </w:r>
          </w:p>
        </w:tc>
        <w:tc>
          <w:tcPr>
            <w:tcW w:w="2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$ 550,000</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5/15/15</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20" w:type="dxa"/>
            <w:vAlign w:val="bottom"/>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Lazard Group 6.85% Senior Notes (b)</w:t>
            </w:r>
          </w:p>
        </w:tc>
        <w:tc>
          <w:tcPr>
            <w:tcW w:w="2800" w:type="dxa"/>
            <w:vAlign w:val="bottom"/>
            <w:gridSpan w:val="3"/>
          </w:tcPr>
          <w:p>
            <w:pPr>
              <w:jc w:val="right"/>
              <w:ind w:right="340"/>
              <w:spacing w:after="0"/>
              <w:rPr>
                <w:sz w:val="20"/>
                <w:szCs w:val="20"/>
                <w:color w:val="auto"/>
              </w:rPr>
            </w:pPr>
            <w:r>
              <w:rPr>
                <w:rFonts w:ascii="Arial" w:cs="Arial" w:eastAsia="Arial" w:hAnsi="Arial"/>
                <w:sz w:val="18"/>
                <w:szCs w:val="18"/>
                <w:color w:val="auto"/>
              </w:rPr>
              <w:t>600,000</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6/15/17</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548,350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548,350</w:t>
            </w:r>
          </w:p>
        </w:tc>
        <w:tc>
          <w:tcPr>
            <w:tcW w:w="2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4/29/13</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1,076,850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1,086,850</w:t>
            </w: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80" w:hanging="452"/>
        <w:spacing w:after="0" w:line="305"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During the six month period ended June 30, 2010, the Company repurchased $10,000 principal amount of the 7.125% Senior Notes at a cost, excluding accrued interest, of $10,375 and, after the write-off of applicable unamortized debt issuance costs of $49, the Company recognized a pre-tax loss of $424.</w:t>
      </w:r>
    </w:p>
    <w:p>
      <w:pPr>
        <w:ind w:left="460" w:right="4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six month period ended June 30, 2009, the Company repurchased $900 principal amount of the 6.85% Senior Notes at a cost, excluding accrued interest, of $635 and, after the write-off of unamortized debt issuance costs of $7, recognized a pre-tax gain of $258.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June 30, 2010 and December 31, 2009 amounted to $150,000 at each date and represents a note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each of July 1, 2008, July 1, 2009 and July 1, 2010, and no principal amount is convertible after June 30, 2011. As of June 30, 2010, there have been no conversions of the note.</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April 29, 2010, Lazard Group entered into a $150,000, three-year senior revolving credit facility with a group of lenders (the “Credit Facility”). The Credit Facility replaced the prior revolving credit facility, which was terminated as a condition to effectiveness of the Credit Facility. The Credit Facility contains customary terms and conditions substantially similar to the prior revolving credit facility, including certain financial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June 30, 2010, the Company was in compliance with all of these provisions. All of the Company’s senior and subordinated debt obligations are unsecured.</w:t>
      </w:r>
    </w:p>
    <w:p>
      <w:pPr>
        <w:spacing w:after="0" w:line="13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June 30, 2010, the Company had approximately $259,000 in unused lines of credit available to it, including the Credit Facility, and approximately $50,000 and $39,000 of unused lines of credit available to LFB and Edgewater, respectively. In addition, LFB has access to the Eurosystem Covered Bond Purchase Program of the Banque de France.</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senior and subordinated debt are recorded at historical amounts. At June 30, 2010 and December 31, 2009, the fair value of the Company’s senior and subordinated debt was $1,231,581 and $1,255,254, respectively, and exceeded the aggregate carrying value by $4,731 and $18,404,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99"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Lazard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Lazard’s consolidated financial position, results of operations or cash flows.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On March 12, 2007, Lazard entered into an agreement to guarantee to a foreign tax jurisdiction the deferred payment of certain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and potential tax penalties of certain managing directors of Lazard Group, which, as of June 30, 2010, aggregate to $4,454. These managing directors have pledged their interests in LAZ-MD Holdings LLC, an entity owned by Lazard Group’s current and former managing directors (“LAZ-MD Holdings”) (which are exchangeable into shares of Class A common stock) and unsold shares of Class A common stock received in exchange for such interests, with the value of such collateral in each case exceeding the guarantee provided by Lazard.</w:t>
      </w:r>
    </w:p>
    <w:p>
      <w:pPr>
        <w:spacing w:after="0" w:line="10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the normal course of business, LFB provides indemnifications to third parties to protect them in the event of non-performance by its clients. At June 30, 2010, LFB had $5,171 of such indemnifications and held $3,577 of collateral/counter-guarantees to secure these commitments. The Company believes the likelihood of loss with respect to these indemnities is remote. Accordingly, no liability is recorded in the consolidated statement of financial condition.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Private Equity Funding Commitments</w:t>
      </w:r>
      <w:r>
        <w:rPr>
          <w:rFonts w:ascii="Arial" w:cs="Arial" w:eastAsia="Arial" w:hAnsi="Arial"/>
          <w:sz w:val="18"/>
          <w:szCs w:val="18"/>
          <w:color w:val="auto"/>
        </w:rPr>
        <w:t>—At June 30, 2010, the principal unfunded commitments by the Company for capital contributions to private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related to CP II, in an amount not to exceed $7,442 for potential “follow-on investments” and/or for CP II expenses through the earlier of (i) February 25, 2017 or (ii) the liquidation of the fund.</w:t>
      </w:r>
    </w:p>
    <w:p>
      <w:pPr>
        <w:spacing w:after="0" w:line="12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predominantly at variable interest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commitments at June 30, 2010 were $29,390. Such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the opinion of management, the consummation of such commitments will not have a material adverse effect on the 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At June 30, 2010 and 2009, Lazard Group common membership interests held by subsidiaries of Lazard Ltd amounted to 89.0% and 71.2%, respectively, and by LAZ-MD Holdings amounted to 11.0% and 28.8%, respectively. Pursuant to provisions of its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 During the six month periods ended June 30, 2010 and 2009, Lazard Group distributed $7,103 and $9,163, respectively, to LAZ-MD Holdings and $23,022 and $13,439, respectively, to the subsidiaries of Lazard Ltd, which latter amounts were used by Lazard Ltd to pay dividends to third-party stockholders of its Class A common stock. In addition, during the six month period ended June 30, 2009, Lazard Group made tax distributions of $67,360, including $25,316 paid to LAZ-MD Holdings and $42,044 paid to subsidiaries of Lazard Ltd. During the six month period ended June 30, 2010, Lazard Group made no such tax distributions.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July 27, 2010, the Board of Directors of Lazard Ltd declared a quarterly dividend of $0.125 per share on its Class A common stock, totaling $14,101, payable on August 27, 2010 to stockholders of record on August 6, 2010.</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Issuance of Class A Common Shares</w:t>
      </w:r>
      <w:r>
        <w:rPr>
          <w:rFonts w:ascii="Arial" w:cs="Arial" w:eastAsia="Arial" w:hAnsi="Arial"/>
          <w:sz w:val="18"/>
          <w:szCs w:val="18"/>
          <w:color w:val="auto"/>
        </w:rPr>
        <w:t>—During the first quarter of 2010, 3,000,000 shares of Class A common stock were newly issued to Lazard Group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settlement of vested restricted stock unit grants (“RSUs”). Such shares were authorized as part of the 25,000,000 shares of Class A common stock that may be issued under the Lazard Ltd 2005 Equity Incentive Plan (the “2005 Plan”).</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—In March 2010, pursuant to a Prospectus Supplement dated March 16, 2010, certain selling shareholders of Lazard Ltd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current and former managing directors of Lazard and a former executive officer) and their permitted transferees,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“2010 Secondary Offering”)).</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June 2009, pursuant to a Prospectus Supplement dated June 2, 2009, certain current and former managing directors of Lazard (including certain of our executive officers) and their permitted transferees (the “2009 Selling Shareholders”) sold 4,000,000 shares of Class A common stock at a price of $26.00 per share (the “2009 Secondary Offering”). Separately, in connection with the 2009 Secondary Offering, Lazard Group agreed to purchase from the 2009 Selling Shareholders 1,700,000 shares of Class A common stock for an aggregate cost of $44,200 ($26.00 per share), with such purchase being part of the share repurchase program in effect during 2009. In the aggregate, the 2009 Selling Shareholders sold a total of 5,700,000 shares of Class A common stock (including 2,110,754 shares of Class A common stock previously received upon the exchange of a like number of LAZ-MD Holdings exchangeable interests and 3,589,246 shares of Class A common stock received upon a simultaneous exchange of a like number of LAZ-MD Holdings exchangeable interests).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Ltd did not receive any net proceeds from the sales of Class A common stock from the 2010 Secondary Offering or the 2009 Secondary Offering.</w:t>
      </w:r>
    </w:p>
    <w:p>
      <w:pPr>
        <w:spacing w:after="0" w:line="18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—In addition to the simultaneous exchanges that occurred in connection with the secondary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offerings discussed above, during the six month periods ended June 30, 2010 and 2009, Lazard Ltd issued 11,465,108 and 7,077,741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99" w:lineRule="exact"/>
        <w:rPr>
          <w:sz w:val="20"/>
          <w:szCs w:val="20"/>
          <w:color w:val="auto"/>
        </w:rPr>
      </w:pPr>
    </w:p>
    <w:p>
      <w:pPr>
        <w:ind w:left="240" w:right="340" w:firstLine="228"/>
        <w:spacing w:after="0" w:line="375" w:lineRule="auto"/>
        <w:rPr>
          <w:sz w:val="20"/>
          <w:szCs w:val="20"/>
          <w:color w:val="auto"/>
        </w:rPr>
      </w:pPr>
      <w:r>
        <w:rPr>
          <w:rFonts w:ascii="Arial" w:cs="Arial" w:eastAsia="Arial" w:hAnsi="Arial"/>
          <w:sz w:val="18"/>
          <w:szCs w:val="18"/>
          <w:color w:val="auto"/>
        </w:rPr>
        <w:t xml:space="preserve">See “Noncontrolling Interests” below for additional information regarding Lazard Ltd’s and LAZ-MD Holdings’ ownership interests in Lazard Group. </w:t>
      </w:r>
      <w:r>
        <w:rPr>
          <w:rFonts w:ascii="Arial" w:cs="Arial" w:eastAsia="Arial" w:hAnsi="Arial"/>
          <w:sz w:val="18"/>
          <w:szCs w:val="18"/>
          <w:b w:val="1"/>
          <w:bCs w:val="1"/>
          <w:i w:val="1"/>
          <w:iCs w:val="1"/>
          <w:color w:val="auto"/>
        </w:rPr>
        <w:t>Share Repurchase Program</w:t>
      </w:r>
    </w:p>
    <w:p>
      <w:pPr>
        <w:spacing w:after="0" w:line="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January 27, 2010, the Board of Directors of Lazard Ltd authorized, on a cumulative basis, the repurchase of up to $200,000 in aggregate cost of its Class A common stock and Lazard Group common membership interests through December 31, 2011. The Company expects that the share repurchase program, with respect to the Class A common stock, will continue to be used primarily to offset a portion of the shares that have been or will be issued under the 2005 Plan and the Lazard Ltd 2008 Incentive Compensation Plan (the “2008 Plan”). The Company’s prior share repurchase program expired on December 31, 2009, with $62,542 of the initial $500,000 repurchase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authorization unused. Pursuant to such authorizations, purchases have been made in the open market or through privately negotiated transactions, and since inception of the program in February 2006 through June 30, 2010, Lazard Group purchased an aggregate of 12,799,717 shares of Class A common stock at an average price of $33.01 per share, and an aggregate of 1,156,675 Lazard Group common membership interests at an average price of $32.58 per common membership interest. As a result of Lazard Group’s delivery of shares of Class A common stock for the settlement of vested RSUs and deferred stock unit grants (“DSUs”) during the three year period ended December 31, 2009 and the six month period ended June 30, 2010 and the incentive plan share award of restricted Class A common stock granted during the second quarter of 2010, there were 3,825,124 and 5,850,775 shares of Class A common stock held by Lazard Group at June 30, 2010 and December 31, 2009, respectively. Such Class A common shares are reported, at cost, as “Class A common stock held by a subsidiary” on the condensed consolidated statements of financial condition.</w:t>
      </w:r>
    </w:p>
    <w:p>
      <w:pPr>
        <w:spacing w:after="0" w:line="10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June 30, 2010, $177,267 of the $200,000 share repurchase authorization remained available under the share repurchase program. In addition, under the terms of the 2005 Plan and the 2008 Plan, upon the vesting of RSUs, shares of Class A common stock may be withheld by the Company to cover estimated income taxes. During the six month period ended June 30, 2010, the Company withheld 1,288,331 shares to cover estimated taxes upon the vesting of 6,952,061 RSUs (see Note 13 of Notes to Condensed Consolidated Financial Statements).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Lazard Ltd has 15,000,000 authorized shares of preferred stock, par value $0.01 per share, inclusive of its Series A preferred stock and Series B preferred stock. The Series A and Series B preferred shares are each non- participating securities that are or were each convertible into Class A common stock, and have no voting or dividend rights. As of both June 30, 2010 and December 31, 2009, 26,883 shares of Series A preferred stock and no shares of Series B preferred stock were outstanding.</w:t>
      </w:r>
    </w:p>
    <w:p>
      <w:pPr>
        <w:spacing w:after="0" w:line="13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At both June 30, 2010 and December 31, 2009, 7,293 of the Series A preferred shares outstanding were convertible into shares of Class A common stock. The remaining 19,590 shares of Series A preferred stock outstanding at both June 30, 2010 and December 31, 2009 may become convertible into shares of Class A common stock upon completion or satisfaction of specified obligations in the CWC acquisition agreement (see Note 8 of Notes to Condensed Consolidated Financial Statements). The initial conversion rate, at the time of the acquisition of CWC, was 100 shares of Class A common stock to one share of Series A preferred stock, with the ultimate conversion rate dependent on certain variables, including the value of the Class A common stock, as defined, and the currency exchange rate on the date of conversion.</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 Net of Tax</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AOCI at June 30, 2010 and December 31, 2009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(35,679)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rate hedge</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(5,235)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Employee benefit plans</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(78,433)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AOCI</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(130,464)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(12,670)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Lazard Ltd AOCI</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(117,794)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20" w:type="dxa"/>
            <w:vAlign w:val="bottom"/>
            <w:vMerge w:val="restart"/>
          </w:tcPr>
          <w:p>
            <w:pPr>
              <w:jc w:val="right"/>
              <w:ind w:right="3352"/>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Noncontrolling interests represent interests held in Lazard Group by LAZ-MD Holdings and noncontrolling interests in various LAM-related GP interests and Edgewater’s management vehicles that the Company is deemed to control but does not own.</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June 30, 2010 and December 31, 2009, LAZ-MD Holdings held approximately 11.0% and 25.5%, respectively, of the outstanding Lazard Group common membership interests. Additionally, LAZ-MD Holdings was the sole owner of the one issued and outstanding share of Lazard Ltd’s Class B common stock, which provided LAZ-MD Holdings with approximately 11.0% and 25.5%, of the voting power but no economic rights in the Company as of June 30, 2010 and December 31, 2009, respectively. Subject to certain limitations, LAZ-MD Holdings’ interests in Lazard Group are exchangeable for Class A common stock.</w:t>
      </w:r>
    </w:p>
    <w:p>
      <w:pPr>
        <w:spacing w:after="0" w:line="9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summarizes the changes in ownership interests in Lazard Group held by Lazard Ltd and LAZ-MD Holdings during the six month periods ended June 30, 2010 and 2009: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Lazard Ltd</w:t>
            </w:r>
          </w:p>
        </w:tc>
        <w:tc>
          <w:tcPr>
            <w:tcW w:w="20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LAZ-MD Holdings</w:t>
            </w:r>
          </w:p>
        </w:tc>
        <w:tc>
          <w:tcPr>
            <w:tcW w:w="14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98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5"/>
              </w:rPr>
              <w:t>Ownership</w:t>
            </w:r>
          </w:p>
        </w:tc>
        <w:tc>
          <w:tcPr>
            <w:tcW w:w="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3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Ownership</w:t>
            </w:r>
          </w:p>
        </w:tc>
        <w:tc>
          <w:tcPr>
            <w:tcW w:w="14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76,294,912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45,938,752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122,233,664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Activity January 1, 2009 to June 30, 2009:</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2009 Secondary Offering</w:t>
            </w:r>
          </w:p>
        </w:tc>
        <w:tc>
          <w:tcPr>
            <w:tcW w:w="860" w:type="dxa"/>
            <w:vAlign w:val="bottom"/>
          </w:tcPr>
          <w:p>
            <w:pPr>
              <w:jc w:val="right"/>
              <w:spacing w:after="0"/>
              <w:rPr>
                <w:sz w:val="20"/>
                <w:szCs w:val="20"/>
                <w:color w:val="auto"/>
              </w:rPr>
            </w:pPr>
            <w:r>
              <w:rPr>
                <w:rFonts w:ascii="Arial" w:cs="Arial" w:eastAsia="Arial" w:hAnsi="Arial"/>
                <w:sz w:val="18"/>
                <w:szCs w:val="18"/>
                <w:color w:val="auto"/>
              </w:rPr>
              <w:t>3,589,246</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(3,589,246)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Exchanges for Class A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7,077,741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(7,077,741)</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w w:val="99"/>
              </w:rPr>
              <w:t>Repurchase of common membership interests from LAZ-MD Holdings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(69,623)</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(69,623)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86,961,899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35,202,142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122,164,041</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2010</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74.5%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0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92,165,912</w:t>
            </w:r>
          </w:p>
        </w:tc>
        <w:tc>
          <w:tcPr>
            <w:tcW w:w="3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31,520,426</w:t>
            </w:r>
          </w:p>
        </w:tc>
        <w:tc>
          <w:tcPr>
            <w:tcW w:w="3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123,686,338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Activity January 1, 2010 to June 30, 2010:</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2010 Secondary Offering</w:t>
            </w:r>
          </w:p>
        </w:tc>
        <w:tc>
          <w:tcPr>
            <w:tcW w:w="860" w:type="dxa"/>
            <w:vAlign w:val="bottom"/>
          </w:tcPr>
          <w:p>
            <w:pPr>
              <w:jc w:val="right"/>
              <w:spacing w:after="0"/>
              <w:rPr>
                <w:sz w:val="20"/>
                <w:szCs w:val="20"/>
                <w:color w:val="auto"/>
              </w:rPr>
            </w:pPr>
            <w:r>
              <w:rPr>
                <w:rFonts w:ascii="Arial" w:cs="Arial" w:eastAsia="Arial" w:hAnsi="Arial"/>
                <w:sz w:val="18"/>
                <w:szCs w:val="18"/>
                <w:color w:val="auto"/>
              </w:rPr>
              <w:t>6,180,639</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(6,180,639)</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Exchanges for Class A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11,465,108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(11,465,108)</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Balance, June 30, 2010</w:t>
            </w: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89.0%</w:t>
            </w: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gridSpan w:val="2"/>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3"/>
              </w:rPr>
              <w:t>112,811,659</w:t>
            </w:r>
          </w:p>
        </w:tc>
        <w:tc>
          <w:tcPr>
            <w:tcW w:w="3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13,874,679</w:t>
            </w:r>
          </w:p>
        </w:tc>
        <w:tc>
          <w:tcPr>
            <w:tcW w:w="3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126,686,338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six month periods ended June 30, 2010 and 2009 did not materially impact Lazard Ltd’s stockholders’ equity.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tables below summarize net income (loss) attributable to noncontrolling interests for the three month and six month periods ended June 30, 2010 and 2009 and noncontrolling interests as of June 30, 2010 and December 31, 2009 in the Company’s 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gridSpan w:val="9"/>
          </w:tcPr>
          <w:p>
            <w:pPr>
              <w:jc w:val="right"/>
              <w:ind w:right="52"/>
              <w:spacing w:after="0"/>
              <w:rPr>
                <w:sz w:val="20"/>
                <w:szCs w:val="20"/>
                <w:color w:val="auto"/>
              </w:rPr>
            </w:pPr>
            <w:r>
              <w:rPr>
                <w:rFonts w:ascii="Arial" w:cs="Arial" w:eastAsia="Arial" w:hAnsi="Arial"/>
                <w:sz w:val="14"/>
                <w:szCs w:val="14"/>
                <w:b w:val="1"/>
                <w:bCs w:val="1"/>
                <w:color w:val="auto"/>
                <w:w w:val="96"/>
              </w:rPr>
              <w:t>Net Income (Loss) Attributable To</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4"/>
                <w:szCs w:val="14"/>
                <w:b w:val="1"/>
                <w:bCs w:val="1"/>
                <w:color w:val="auto"/>
                <w:w w:val="91"/>
              </w:rPr>
              <w:t>Noncontrolling Interests</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580" w:type="dxa"/>
            <w:vAlign w:val="bottom"/>
            <w:gridSpan w:val="5"/>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7"/>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LAZ-MD Holdings</w:t>
            </w:r>
          </w:p>
        </w:tc>
        <w:tc>
          <w:tcPr>
            <w:tcW w:w="3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$14,981</w:t>
            </w:r>
          </w:p>
        </w:tc>
        <w:tc>
          <w:tcPr>
            <w:tcW w:w="100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LAM GPs</w:t>
            </w:r>
          </w:p>
        </w:tc>
        <w:tc>
          <w:tcPr>
            <w:tcW w:w="3780" w:type="dxa"/>
            <w:vAlign w:val="bottom"/>
            <w:gridSpan w:val="3"/>
          </w:tcPr>
          <w:p>
            <w:pPr>
              <w:jc w:val="right"/>
              <w:spacing w:after="0"/>
              <w:rPr>
                <w:sz w:val="20"/>
                <w:szCs w:val="20"/>
                <w:color w:val="auto"/>
              </w:rPr>
            </w:pPr>
            <w:r>
              <w:rPr>
                <w:rFonts w:ascii="Arial" w:cs="Arial" w:eastAsia="Arial" w:hAnsi="Arial"/>
                <w:sz w:val="18"/>
                <w:szCs w:val="18"/>
                <w:color w:val="auto"/>
              </w:rPr>
              <w:t>(598)</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259</w:t>
            </w:r>
          </w:p>
        </w:tc>
        <w:tc>
          <w:tcPr>
            <w:tcW w:w="1000" w:type="dxa"/>
            <w:vAlign w:val="bottom"/>
            <w:gridSpan w:val="4"/>
          </w:tcPr>
          <w:p>
            <w:pPr>
              <w:jc w:val="right"/>
              <w:ind w:right="32"/>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Edgewater</w:t>
            </w:r>
          </w:p>
        </w:tc>
        <w:tc>
          <w:tcPr>
            <w:tcW w:w="3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9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0" w:type="dxa"/>
            <w:vAlign w:val="bottom"/>
            <w:gridSpan w:val="4"/>
          </w:tcPr>
          <w:p>
            <w:pPr>
              <w:jc w:val="right"/>
              <w:ind w:right="32"/>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8,956</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15,240</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$ 1,596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7"/>
          </w:tcPr>
          <w:p>
            <w:pPr>
              <w:ind w:left="60"/>
              <w:spacing w:after="0"/>
              <w:rPr>
                <w:sz w:val="20"/>
                <w:szCs w:val="20"/>
                <w:color w:val="auto"/>
              </w:rPr>
            </w:pPr>
            <w:r>
              <w:rPr>
                <w:rFonts w:ascii="Arial" w:cs="Arial" w:eastAsia="Arial" w:hAnsi="Arial"/>
                <w:sz w:val="14"/>
                <w:szCs w:val="14"/>
                <w:b w:val="1"/>
                <w:bCs w:val="1"/>
                <w:color w:val="auto"/>
              </w:rPr>
              <w:t>Noncontrolling Interests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232"/>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LAZ-MD Holdings</w:t>
            </w:r>
          </w:p>
        </w:tc>
        <w:tc>
          <w:tcPr>
            <w:tcW w:w="3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23,611</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LAM GPs</w:t>
            </w: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14,126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Edgewater</w:t>
            </w:r>
          </w:p>
        </w:tc>
        <w:tc>
          <w:tcPr>
            <w:tcW w:w="3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114,267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3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$ 154,353</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six month periods ended June 30, 2010 and 2009,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are included in the diluted weighted average shares of Class A common stock outstanding using the treasury stock method. Expense relating to RSUs is charged to “compensation and benefits” expense (and, as applicable, in “restructuring” expense, with respect to the expense associated with the acceleration of unrecognized expense pertaining to RSUs granted previously to individuals who were terminated in the restructuring programs during 2009 and 2010) as follows within the Company’s condensed consolidated statements of operations: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8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1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9"/>
                <w:szCs w:val="19"/>
                <w:color w:val="auto"/>
              </w:rPr>
            </w:pPr>
          </w:p>
        </w:tc>
      </w:tr>
      <w:tr>
        <w:trPr>
          <w:trHeight w:val="201"/>
        </w:trPr>
        <w:tc>
          <w:tcPr>
            <w:tcW w:w="7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Compensation and benefits (including $24,860 in the six month period ended June 30, 2010 relating to the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amendment of the Company’s retirement policy(a))</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$50,530</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$64,111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$128,559</w:t>
            </w:r>
          </w:p>
        </w:tc>
        <w:tc>
          <w:tcPr>
            <w:tcW w:w="20" w:type="dxa"/>
            <w:vAlign w:val="bottom"/>
          </w:tcPr>
          <w:p>
            <w:pPr>
              <w:spacing w:after="0"/>
              <w:rPr>
                <w:sz w:val="19"/>
                <w:szCs w:val="19"/>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24,239</w:t>
            </w:r>
          </w:p>
        </w:tc>
        <w:tc>
          <w:tcPr>
            <w:tcW w:w="20" w:type="dxa"/>
            <w:vAlign w:val="bottom"/>
          </w:tcPr>
          <w:p>
            <w:pPr>
              <w:spacing w:after="0"/>
              <w:rPr>
                <w:sz w:val="19"/>
                <w:szCs w:val="19"/>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$50,530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$64,111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$152,798</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described below, the Company amended its retirement policy during the first quarter of 2010 to modify the retirement eligibility vesting requirement with respect to RSU awards.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six month periods ended June 30, 2010 and 2009, dividend participation rights required the issuance of 163,146 and 169,582 RSUs, respectively, and resulted in a charge to “retained earnings” and a credit to “additional paid-in-capital,” net of estimated forfeitures, of $4,732 and $3,505 during the respective periods.</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13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which resulted in 31,588 and 33,359 DSUs granted during the six month periods ended June 30, 2010 and 2009,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six month periods ended June 30, 2010 and 2009. DSU awards are expensed at their fair value on their date of grant,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which, inclusive of amounts related to the Directors’ Fee Deferral Unit Plan, totaled $1,039 and $1,115 during the three month and six month periods ended June 30, 2010, respectively, and $1,006 and $1,083 during the three month and six month periods ended June 30, 2009, respectively.</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six month periods ended June 30, 2010 and 2009, 4,120 and 5,446 DSUs, respectively, had been granted pursuant such Plan.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2010 and 2009:</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Units</w:t>
            </w:r>
          </w:p>
        </w:tc>
        <w:tc>
          <w:tcPr>
            <w:tcW w:w="400" w:type="dxa"/>
            <w:vAlign w:val="bottom"/>
            <w:gridSpan w:val="2"/>
          </w:tcPr>
          <w:p>
            <w:pPr>
              <w:spacing w:after="0"/>
              <w:rPr>
                <w:sz w:val="14"/>
                <w:szCs w:val="14"/>
                <w:color w:val="auto"/>
              </w:rPr>
            </w:pP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23,367,813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103,146</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 (including 163,146 RSUs relating to dividend participation)</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6,853,747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35,708</w:t>
            </w:r>
          </w:p>
        </w:tc>
        <w:tc>
          <w:tcPr>
            <w:tcW w:w="100" w:type="dxa"/>
            <w:vAlign w:val="bottom"/>
          </w:tcPr>
          <w:p>
            <w:pPr>
              <w:spacing w:after="0"/>
              <w:rPr>
                <w:sz w:val="18"/>
                <w:szCs w:val="18"/>
                <w:color w:val="auto"/>
              </w:rPr>
            </w:pP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(315,002)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Vested/Converted</w:t>
            </w:r>
          </w:p>
        </w:tc>
        <w:tc>
          <w:tcPr>
            <w:tcW w:w="8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1"/>
              </w:rPr>
              <w:t>(6,952,061)</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2"/>
              </w:rPr>
              <w:t>(20,435)</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8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22,954,497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118,419</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6"/>
              </w:rPr>
              <w:t>RSUs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DSUs</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22,141,468</w:t>
            </w:r>
          </w:p>
        </w:tc>
        <w:tc>
          <w:tcPr>
            <w:tcW w:w="3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 (including 169,582 RSUs relating to dividend participation)</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7,161,473</w:t>
            </w:r>
          </w:p>
        </w:tc>
        <w:tc>
          <w:tcPr>
            <w:tcW w:w="30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30.84</w:t>
            </w: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38,805</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0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(657,866)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Vested</w:t>
            </w:r>
          </w:p>
        </w:tc>
        <w:tc>
          <w:tcPr>
            <w:tcW w:w="920" w:type="dxa"/>
            <w:vAlign w:val="bottom"/>
            <w:gridSpan w:val="2"/>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(1,128,585)</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2009</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27,516,490</w:t>
            </w:r>
          </w:p>
        </w:tc>
        <w:tc>
          <w:tcPr>
            <w:tcW w:w="3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104,061</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connection with the vested RSUs above, and after considering the withholding tax obligations pertaining thereto, 5,663,730 and 745,890 shares of Class A common stock held by Lazard Group were delivered during the six month periods ended June 30, 2010 and 2009, respectively.</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2010, unrecognized RSU compensation expense, adjusted for estimated forfeitures, was approximately $324,000, with such unrecognized compensation expense expected to be recognized over a weighted average period of approximately 1.8 years subsequent to June 30, 2010.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second quarter of 2010, 54,437 shares of restricted Class A common stock were awarded under the 2008 Plan at a grant date fair value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$38.78 per share. Such award will vest and will no longer be subject to any restrictions on August 31, 2012. The aggregate grant date fair value of the award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amortized over the vesting period, and, for purposes of calculating diluted net income per share, such award is included in the diluted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outstanding using the treasury stock method. Expense relating to such restricted stock award is charged to “compensation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benefits” expense within the consolidated statements of operations, and amounted to $160 for the three month and six month periods ended June 30, 2010.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includes a cash dividend participation right equivalent to any ordinary quarterly dividends paid on Class A common stock during the period which will vest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concurrently with the underlying restricted stock award.</w:t>
      </w:r>
    </w:p>
    <w:p>
      <w:pPr>
        <w:spacing w:after="0" w:line="15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(benefits) related to the Company’s employee benefit plans are included in “compensation and benefits” expense on the consolidated statements of operations. The Company uses December 31 as the measurement date for its employee benefit plans.</w:t>
      </w:r>
    </w:p>
    <w:p>
      <w:pPr>
        <w:spacing w:after="0" w:line="13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In accordance with agreements reached with the Trustees of certain non-U.S. pension plans in 2005,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obligated to make further contributions to such pension plans based upon the cumulative performance of the plans’ assets against specific benchmarks as measured on June 1, 2009 (the “measurement date”) and subsequently remeasured on June 1, 2010 (the “remeasurement date”). As of June 30, 2010, the remaining obligation related to the cumulative underperformance of the plans’ assets (the “underperformance obligation”) was approximately 4.0 million British pounds ($6,070 at June 30, 2010 exchange rates) which is payable in equal monthly installments through May 2013. During the six month period ended June 30, 2010, the Company contributed approximately $2,006 with respect to the underperformance obligation.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on June 30, 2009 the Company and Trustees concluded the December 31, 2007 triennial valuation of the non-U.S. pension plans discussed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above, pursuant to which: (i) the Company agreed to contribute, in addition to amounts to cover administrative expenses under the plans, 2.3 million British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pounds ($3,453 at June 30, 2010 exchange rates), during each year from 2011 to 2018 inclusive, subject to adjustment resulting from the December 31,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triennial valuation, which the Company expects to have concluded prior to the contribution payment scheduled for 2011, and (ii) to secure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thereunder, on July 15, 2009 the Company placed in escrow 12.5 million British pounds, with a final redemption date of December 31, 2018.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is subject to adjustment based on the results of the December 31, 2010 triennial valuation and subsequent triennial valuations. The escrow balance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recorded in “cash deposited with clearing organizations and other segregated cash” and “investments: debt-other” in the amounts of 6.25 million British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pounds and 6.25 million British pounds, respectively, at each of June 30, 2010 and December 31, 2009 ($9,382 and $9,382 at June 30, 2010 exchange rates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$10,138 and $10,138 at December 31, 2009 exchange rates), respectively, on the accompanying condensed consolidated statements of financial condition. Income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on the escrow balance accretes to the Company and is recorded in interest income.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 period ended June 30, 2010, there were no other contributions made to other pension plans.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total benefit cost (credit) for the three month and six month periods ended June 30, 2010 and 2009:</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Post-Retirement</w:t>
            </w: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356"/>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19"/>
              <w:spacing w:after="0"/>
              <w:rPr>
                <w:sz w:val="20"/>
                <w:szCs w:val="20"/>
                <w:color w:val="auto"/>
              </w:rPr>
            </w:pPr>
            <w:r>
              <w:rPr>
                <w:rFonts w:ascii="Arial" w:cs="Arial" w:eastAsia="Arial" w:hAnsi="Arial"/>
                <w:sz w:val="14"/>
                <w:szCs w:val="14"/>
                <w:b w:val="1"/>
                <w:bCs w:val="1"/>
                <w:color w:val="auto"/>
                <w:w w:val="88"/>
              </w:rPr>
              <w:t>Medical Plans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8"/>
          </w:tcPr>
          <w:p>
            <w:pPr>
              <w:jc w:val="right"/>
              <w:ind w:right="580"/>
              <w:spacing w:after="0" w:line="142" w:lineRule="exact"/>
              <w:rPr>
                <w:sz w:val="20"/>
                <w:szCs w:val="20"/>
                <w:color w:val="auto"/>
              </w:rPr>
            </w:pPr>
            <w:r>
              <w:rPr>
                <w:rFonts w:ascii="Arial" w:cs="Arial" w:eastAsia="Arial" w:hAnsi="Arial"/>
                <w:sz w:val="14"/>
                <w:szCs w:val="14"/>
                <w:b w:val="1"/>
                <w:bCs w:val="1"/>
                <w:color w:val="auto"/>
                <w:w w:val="89"/>
              </w:rPr>
              <w:t>Three Months Ended June 30,</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2010</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6,702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5,901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w w:val="87"/>
              </w:rPr>
              <w:t>(7,056)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w w:val="87"/>
              </w:rPr>
              <w:t>(6,570)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(gain)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(442)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7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Post-Retirement</w:t>
            </w: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19"/>
              <w:spacing w:after="0"/>
              <w:rPr>
                <w:sz w:val="20"/>
                <w:szCs w:val="20"/>
                <w:color w:val="auto"/>
              </w:rPr>
            </w:pPr>
            <w:r>
              <w:rPr>
                <w:rFonts w:ascii="Arial" w:cs="Arial" w:eastAsia="Arial" w:hAnsi="Arial"/>
                <w:sz w:val="14"/>
                <w:szCs w:val="14"/>
                <w:b w:val="1"/>
                <w:bCs w:val="1"/>
                <w:color w:val="auto"/>
                <w:w w:val="88"/>
              </w:rPr>
              <w:t>Medical Plans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Six Months</w:t>
            </w:r>
          </w:p>
        </w:tc>
        <w:tc>
          <w:tcPr>
            <w:tcW w:w="1740" w:type="dxa"/>
            <w:vAlign w:val="bottom"/>
            <w:tcBorders>
              <w:bottom w:val="single" w:sz="8" w:color="auto"/>
            </w:tcBorders>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w w:val="93"/>
              </w:rPr>
              <w:t>Ended June 30,</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64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2010</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(14,429)</w:t>
            </w:r>
          </w:p>
        </w:tc>
        <w:tc>
          <w:tcPr>
            <w:tcW w:w="500" w:type="dxa"/>
            <w:vAlign w:val="bottom"/>
          </w:tcPr>
          <w:p>
            <w:pPr>
              <w:spacing w:after="0"/>
              <w:rPr>
                <w:sz w:val="18"/>
                <w:szCs w:val="18"/>
                <w:color w:val="auto"/>
              </w:rPr>
            </w:pPr>
          </w:p>
        </w:tc>
        <w:tc>
          <w:tcPr>
            <w:tcW w:w="960" w:type="dxa"/>
            <w:vAlign w:val="bottom"/>
            <w:gridSpan w:val="4"/>
          </w:tcPr>
          <w:p>
            <w:pPr>
              <w:jc w:val="right"/>
              <w:ind w:right="192"/>
              <w:spacing w:after="0"/>
              <w:rPr>
                <w:sz w:val="20"/>
                <w:szCs w:val="20"/>
                <w:color w:val="auto"/>
              </w:rPr>
            </w:pPr>
            <w:r>
              <w:rPr>
                <w:rFonts w:ascii="Arial" w:cs="Arial" w:eastAsia="Arial" w:hAnsi="Arial"/>
                <w:sz w:val="18"/>
                <w:szCs w:val="18"/>
                <w:color w:val="auto"/>
              </w:rPr>
              <w:t>(12,700)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  1,493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(845)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PLANS</w:t>
      </w:r>
    </w:p>
    <w:p>
      <w:pPr>
        <w:spacing w:after="0" w:line="7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In each of the first quarters of 2010 and 2009, the Company announced a restructuring plan which included certain staff reductions and realignments of personnel (the “2010 Restructuring Plan” and the “2009 Restructuring Plan”, respectively, and collectively the “2010 and 2009 Restructuring Plans”). In connection with the 2010 Restructuring Plan, the Company recorded a pre-tax charge in the first quarter of 2010 of $87,108, inclusive of $46,880 relating to the acceleration of RSUs (in aggregate, the “2010 Restructuring Charge”), with this charge partially offset by associated income tax benefits and noncontrolling interest credits of $5,680 and $18,400, respectively, and, in connection with the 2009 Restructuring Plan, the Company recorded a charge in the first quarter of 2009 of $62,550, inclusive of $24,239 relating to the acceleration of RSUs (in aggregate, the “2009 Restructuring Charge”), with this charge partially offset by associated income tax benefits and noncontrolling interest credits of $6,401 and $21,075, respectively (collectively, the “2010 and 2009 Restructuring Charges”).</w:t>
      </w:r>
    </w:p>
    <w:p>
      <w:pPr>
        <w:spacing w:after="0" w:line="9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2010 and 2009 Restructuring Charges primarily consisted of compensation-related expenses, including the acceleration of unrecognized expenses pertaining to RSUs previously granted to individuals who were terminated pursuant to the restructuring, severance and benefit payments and other costs. As of June 30, 2010, the remaining liability associated with the 2010 Restructuring Plan was $23,417 and, as of June 30, 2010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December 31, 2009, the remaining liability associated with the 2009 Restructuring Plan was $6,769 and $11,500, respectively. During the six month period ended June 30, 2010, other than cash payments of $16,811 and $4,731 for the 2010 Restructuring Plan and the 2009 Restructuring Plan, respectively, there were no adjustments to the liabilities with respect to the 2010 and 2009 Restructuring Plans. Such liabilities are reported within “accrued compensation and benefits” and “other liabilities” on the accompanying condensed consolidated statements of financial condition.</w:t>
      </w:r>
    </w:p>
    <w:p>
      <w:pPr>
        <w:spacing w:after="0" w:line="9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Ltd is subject to U.S. federal income taxes on its portion of Lazard Group’s operating income.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Company recorded an income tax provision of $13,523 and $19,936 for the three month and six month periods ended June 30, 2010, respectively, and $13,519 and $9,344 for the three month and six month periods ended June 30, 2009, respectively, representing effective tax rates of 20.2%, 61.2%, 23.7% and (27.6)%, respectively. Excluding (i) the income tax benefits of $5,680 related to the 2010 Restructuring Charge and $1,363 related to the charge incurred in connection with the amendment of Lazard’s retirement policy with respect to RSU awards, and (ii) the income tax benefit of $6,401 related to the 2009 Restructuring Charge, the Company had an income tax provision of $13,523, and $26,979 for the three month and six month periods ended June 30, 2010, respectively, and $13,519 and $15,745 for the three month and six month periods ended June 30, 2009, respectively, representing effective tax rates of 20.2%, 18.7%, 23.7% and 54.8%, respectively. The effective tax rates herein for the six month period ended June 30, 2010 reflect a benefit from the reductions in unrecognized tax benefits of (i) $4,480 during the first quarter of 2010 relating to settlements with taxing authorities pertaining to certain prior years and (ii) $2,149 during the second quarter of 2010 relating to other adjustments to certain prior years.</w:t>
      </w:r>
    </w:p>
    <w:p>
      <w:pPr>
        <w:spacing w:after="0" w:line="1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difference between the U.S. federal statutory rate of 35.0% and the effective tax rates described above principally relates to (i) Lazard Group primarily operating as a limited liability company in the U.S., (ii) foreign source income (loss) not subject to U.S. income taxes, (iii) Lazard Group’s income from U.S. operations attributable to noncontrolling interests, (iv) valuation allowance changes affecting the provision for income taxes and (v) U.S. state and local taxes, which are incremental to the U.S. federal statutory tax rate.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77"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The redemption of historical partner interests in connection with the Company’s separation and recapitalization that occurred in May 2005 and subsequent exchanges of LAZ-MD Holdings exchangeable interests for shares of Class A common stock have resulted, and future exchanges of LAZ-MD Holdings exchangeable interests for shares of Class A common stock may result,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three month and six month periods ended June 30, 2010 and 2009. If any provision is required pursuant to the tax receivable agreement, such amount would be fully offset by a reduction in the Company’s income tax expense.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(LOSS) PER SHARE OF CLASS A COMMON STOCK</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Company’s basic and diluted net income (loss) per share calculations for the three month and six month periods ended June 30, 2010 and 2009 are computed as described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(Loss) Per Share</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(loss) attributable to Lazard Ltd for the three month and six month periods ended June 30, 2010 and 2009,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net income (loss) associated with the inclusion of shares of Class A common stock issuable in connection with both the LAM Merger and business acquisitions, as described in Notes 7 and 8, respectively, of Notes to Condensed Consolidated Financial Statements.</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three month and six month periods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2010 and 2009, plus applicable adjustments to such shares associated with shares of Class A common stock issuable in connection with the LAM Merger and business acquisitions.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(Loss) Per Share</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(loss) attributable to Lazard Ltd for the three month and six month periods ended June 30, 2010 and 2009 as in the basic</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(loss) per share calculation described above, plus, to the extent applicable and dilutive, (i) interest expense on convertible debt, (ii) changes in net income (loss) attributable to noncontrolling interests resulting from assumed share issuances in connection with DSUs, RSUs, convertible debt and convertible preferred stock and, on an “as-if-exchanged” basis, amounts applicable to LAZ-MD Holdings exchangeable interests and (iii) income tax related to (i) and (ii) above.</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three month and six month periods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2010 and 2009 as in the basic net income (loss) per share calculation described above, plus, to the extent dilutive, the incremental number of shares of Class A common stock to settle DSU and RSU awards, convertible debt, convertible preferred stock and LAZ-MD Holdings exchangeable interests, using the treasury stock method, the “if converted” method or the “as-if-exchanged” basis, as applicable.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(loss) per share and weighted average shares outstanding for the three month and six month periods ended June 30, 2010 and 2009 are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26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w:t>
            </w:r>
          </w:p>
        </w:tc>
        <w:tc>
          <w:tcPr>
            <w:tcW w:w="1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$44,572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$28,187</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$11,038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1"/>
              </w:rPr>
              <w:t>Add - adjustment associated with Class A common stock issuable relating to</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the LAM Merger and business acquisitions</w:t>
            </w:r>
          </w:p>
        </w:tc>
        <w:tc>
          <w:tcPr>
            <w:tcW w:w="3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192</w:t>
            </w:r>
          </w:p>
        </w:tc>
        <w:tc>
          <w:tcPr>
            <w:tcW w:w="1060" w:type="dxa"/>
            <w:vAlign w:val="bottom"/>
          </w:tcPr>
          <w:p>
            <w:pPr>
              <w:jc w:val="right"/>
              <w:spacing w:after="0"/>
              <w:rPr>
                <w:sz w:val="20"/>
                <w:szCs w:val="20"/>
                <w:color w:val="auto"/>
              </w:rPr>
            </w:pPr>
            <w:r>
              <w:rPr>
                <w:rFonts w:ascii="Arial" w:cs="Arial" w:eastAsia="Arial" w:hAnsi="Arial"/>
                <w:sz w:val="18"/>
                <w:szCs w:val="18"/>
                <w:color w:val="auto"/>
              </w:rPr>
              <w:t>342</w:t>
            </w:r>
          </w:p>
        </w:tc>
        <w:tc>
          <w:tcPr>
            <w:tcW w:w="1880" w:type="dxa"/>
            <w:vAlign w:val="bottom"/>
            <w:gridSpan w:val="3"/>
          </w:tcPr>
          <w:p>
            <w:pPr>
              <w:jc w:val="right"/>
              <w:ind w:right="400"/>
              <w:spacing w:after="0"/>
              <w:rPr>
                <w:sz w:val="20"/>
                <w:szCs w:val="20"/>
                <w:color w:val="auto"/>
              </w:rPr>
            </w:pPr>
            <w:r>
              <w:rPr>
                <w:rFonts w:ascii="Arial" w:cs="Arial" w:eastAsia="Arial" w:hAnsi="Arial"/>
                <w:sz w:val="18"/>
                <w:szCs w:val="18"/>
                <w:color w:val="auto"/>
              </w:rPr>
              <w:t>(20)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 basic</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44,764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28,529</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11,018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income relating to interest expense and changes in net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income (loss) attributable to noncontrolling interests resulting from</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7"/>
              </w:rPr>
              <w:t>assumed share issuances in connection with DSUs, RSUs, convertible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debt, convertible preferred stock and exchangeable interests, net of</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9,258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15,569</w:t>
            </w:r>
          </w:p>
        </w:tc>
        <w:tc>
          <w:tcPr>
            <w:tcW w:w="1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Ltd - diluted</w:t>
            </w: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$54,022</w:t>
            </w:r>
          </w:p>
        </w:tc>
        <w:tc>
          <w:tcPr>
            <w:tcW w:w="1060" w:type="dxa"/>
            <w:vAlign w:val="bottom"/>
          </w:tcPr>
          <w:p>
            <w:pPr>
              <w:jc w:val="right"/>
              <w:spacing w:after="0"/>
              <w:rPr>
                <w:sz w:val="20"/>
                <w:szCs w:val="20"/>
                <w:color w:val="auto"/>
              </w:rPr>
            </w:pPr>
            <w:r>
              <w:rPr>
                <w:rFonts w:ascii="Arial" w:cs="Arial" w:eastAsia="Arial" w:hAnsi="Arial"/>
                <w:sz w:val="18"/>
                <w:szCs w:val="18"/>
                <w:color w:val="auto"/>
              </w:rPr>
              <w:t>$44,098</w:t>
            </w:r>
          </w:p>
        </w:tc>
        <w:tc>
          <w:tcPr>
            <w:tcW w:w="1880" w:type="dxa"/>
            <w:vAlign w:val="bottom"/>
            <w:gridSpan w:val="3"/>
          </w:tcPr>
          <w:p>
            <w:pPr>
              <w:jc w:val="right"/>
              <w:ind w:right="460"/>
              <w:spacing w:after="0"/>
              <w:rPr>
                <w:sz w:val="20"/>
                <w:szCs w:val="20"/>
                <w:color w:val="auto"/>
              </w:rPr>
            </w:pPr>
            <w:r>
              <w:rPr>
                <w:rFonts w:ascii="Arial" w:cs="Arial" w:eastAsia="Arial" w:hAnsi="Arial"/>
                <w:sz w:val="18"/>
                <w:szCs w:val="18"/>
                <w:color w:val="auto"/>
              </w:rPr>
              <w:t>$10,806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5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number of shares of Class A common stock outstanding</w:t>
            </w:r>
          </w:p>
        </w:tc>
        <w:tc>
          <w:tcPr>
            <w:tcW w:w="1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100,608,379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71,717,196</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93,717,395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69,333,527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0"/>
              </w:rPr>
              <w:t>Add - adjustment for shares of Class A common stock issuable relating to the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LAM Merger and business acquisitions</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2,918,635</w:t>
            </w:r>
          </w:p>
        </w:tc>
        <w:tc>
          <w:tcPr>
            <w:tcW w:w="1060" w:type="dxa"/>
            <w:vAlign w:val="bottom"/>
          </w:tcPr>
          <w:p>
            <w:pPr>
              <w:jc w:val="right"/>
              <w:spacing w:after="0"/>
              <w:rPr>
                <w:sz w:val="20"/>
                <w:szCs w:val="20"/>
                <w:color w:val="auto"/>
              </w:rPr>
            </w:pPr>
            <w:r>
              <w:rPr>
                <w:rFonts w:ascii="Arial" w:cs="Arial" w:eastAsia="Arial" w:hAnsi="Arial"/>
                <w:sz w:val="18"/>
                <w:szCs w:val="18"/>
                <w:color w:val="auto"/>
              </w:rPr>
              <w:t>3,218,462</w:t>
            </w:r>
          </w:p>
        </w:tc>
        <w:tc>
          <w:tcPr>
            <w:tcW w:w="1880" w:type="dxa"/>
            <w:vAlign w:val="bottom"/>
            <w:gridSpan w:val="3"/>
          </w:tcPr>
          <w:p>
            <w:pPr>
              <w:jc w:val="right"/>
              <w:ind w:right="460"/>
              <w:spacing w:after="0"/>
              <w:rPr>
                <w:sz w:val="20"/>
                <w:szCs w:val="20"/>
                <w:color w:val="auto"/>
              </w:rPr>
            </w:pPr>
            <w:r>
              <w:rPr>
                <w:rFonts w:ascii="Arial" w:cs="Arial" w:eastAsia="Arial" w:hAnsi="Arial"/>
                <w:sz w:val="18"/>
                <w:szCs w:val="18"/>
                <w:color w:val="auto"/>
              </w:rPr>
              <w:t>2,914,181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3,206,471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of Class A common stock outstanding -</w:t>
            </w:r>
          </w:p>
        </w:tc>
        <w:tc>
          <w:tcPr>
            <w:tcW w:w="3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103,527,014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74,935,658</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96,631,576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72,539,998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Weighted average number of incremental shares issuable from DSUs,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RSUs, convertible debt, convertible preferred stock and exchangeable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interests</w:t>
            </w:r>
          </w:p>
        </w:tc>
        <w:tc>
          <w:tcPr>
            <w:tcW w:w="1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36,417,296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53,049,161</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12,364,261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600" w:type="dxa"/>
            <w:vAlign w:val="bottom"/>
            <w:gridSpan w:val="2"/>
          </w:tcPr>
          <w:p>
            <w:pPr>
              <w:spacing w:after="0"/>
              <w:rPr>
                <w:sz w:val="20"/>
                <w:szCs w:val="20"/>
                <w:color w:val="auto"/>
              </w:rPr>
            </w:pPr>
            <w:r>
              <w:rPr>
                <w:rFonts w:ascii="Arial" w:cs="Arial" w:eastAsia="Arial" w:hAnsi="Arial"/>
                <w:sz w:val="18"/>
                <w:szCs w:val="18"/>
                <w:color w:val="auto"/>
                <w:w w:val="91"/>
              </w:rPr>
              <w:t>Weighted average number of shares of Class A common stock outstanding -</w:t>
            </w:r>
          </w:p>
        </w:tc>
        <w:tc>
          <w:tcPr>
            <w:tcW w:w="3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139,944,310</w:t>
            </w:r>
          </w:p>
        </w:tc>
        <w:tc>
          <w:tcPr>
            <w:tcW w:w="1060" w:type="dxa"/>
            <w:vAlign w:val="bottom"/>
          </w:tcPr>
          <w:p>
            <w:pPr>
              <w:jc w:val="right"/>
              <w:spacing w:after="0"/>
              <w:rPr>
                <w:sz w:val="20"/>
                <w:szCs w:val="20"/>
                <w:color w:val="auto"/>
              </w:rPr>
            </w:pPr>
            <w:r>
              <w:rPr>
                <w:rFonts w:ascii="Arial" w:cs="Arial" w:eastAsia="Arial" w:hAnsi="Arial"/>
                <w:sz w:val="18"/>
                <w:szCs w:val="18"/>
                <w:color w:val="auto"/>
              </w:rPr>
              <w:t>127,984,819</w:t>
            </w:r>
          </w:p>
        </w:tc>
        <w:tc>
          <w:tcPr>
            <w:tcW w:w="1880" w:type="dxa"/>
            <w:vAlign w:val="bottom"/>
            <w:gridSpan w:val="3"/>
          </w:tcPr>
          <w:p>
            <w:pPr>
              <w:jc w:val="right"/>
              <w:ind w:right="460"/>
              <w:spacing w:after="0"/>
              <w:rPr>
                <w:sz w:val="20"/>
                <w:szCs w:val="20"/>
                <w:color w:val="auto"/>
              </w:rPr>
            </w:pPr>
            <w:r>
              <w:rPr>
                <w:rFonts w:ascii="Arial" w:cs="Arial" w:eastAsia="Arial" w:hAnsi="Arial"/>
                <w:sz w:val="18"/>
                <w:szCs w:val="18"/>
                <w:color w:val="auto"/>
              </w:rPr>
              <w:t>108,995,837</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72,539,998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4"/>
              </w:rPr>
              <w:t>Net income (loss) attributable to Lazard Ltd per share of Class A common</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Basic</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$0.43</w:t>
            </w:r>
          </w:p>
        </w:tc>
        <w:tc>
          <w:tcPr>
            <w:tcW w:w="1060" w:type="dxa"/>
            <w:vAlign w:val="bottom"/>
          </w:tcPr>
          <w:p>
            <w:pPr>
              <w:jc w:val="right"/>
              <w:spacing w:after="0"/>
              <w:rPr>
                <w:sz w:val="20"/>
                <w:szCs w:val="20"/>
                <w:color w:val="auto"/>
              </w:rPr>
            </w:pPr>
            <w:r>
              <w:rPr>
                <w:rFonts w:ascii="Arial" w:cs="Arial" w:eastAsia="Arial" w:hAnsi="Arial"/>
                <w:sz w:val="18"/>
                <w:szCs w:val="18"/>
                <w:color w:val="auto"/>
              </w:rPr>
              <w:t>$0.38</w:t>
            </w:r>
          </w:p>
        </w:tc>
        <w:tc>
          <w:tcPr>
            <w:tcW w:w="1880" w:type="dxa"/>
            <w:vAlign w:val="bottom"/>
            <w:gridSpan w:val="3"/>
          </w:tcPr>
          <w:p>
            <w:pPr>
              <w:jc w:val="right"/>
              <w:ind w:right="460"/>
              <w:spacing w:after="0"/>
              <w:rPr>
                <w:sz w:val="20"/>
                <w:szCs w:val="20"/>
                <w:color w:val="auto"/>
              </w:rPr>
            </w:pPr>
            <w:r>
              <w:rPr>
                <w:rFonts w:ascii="Arial" w:cs="Arial" w:eastAsia="Arial" w:hAnsi="Arial"/>
                <w:sz w:val="18"/>
                <w:szCs w:val="18"/>
                <w:color w:val="auto"/>
              </w:rPr>
              <w:t>$0.11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$0.39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$0.10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vMerge w:val="restart"/>
          </w:tcPr>
          <w:p>
            <w:pPr>
              <w:jc w:val="right"/>
              <w:ind w:right="52"/>
              <w:spacing w:after="0"/>
              <w:rPr>
                <w:sz w:val="20"/>
                <w:szCs w:val="20"/>
                <w:color w:val="auto"/>
              </w:rPr>
            </w:pPr>
            <w:r>
              <w:rPr>
                <w:rFonts w:ascii="Arial" w:cs="Arial" w:eastAsia="Arial" w:hAnsi="Arial"/>
                <w:sz w:val="18"/>
                <w:szCs w:val="18"/>
                <w:color w:val="auto"/>
                <w:w w:val="89"/>
              </w:rPr>
              <w:t>35</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as of June 30, 2010 and December 31, 2009 are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79"/>
              </w:rPr>
              <w:t>June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9"/>
        </w:trPr>
        <w:tc>
          <w:tcPr>
            <w:tcW w:w="9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30,</w:t>
            </w:r>
          </w:p>
        </w:tc>
        <w:tc>
          <w:tcPr>
            <w:tcW w:w="5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9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LFCM Holdings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5,285</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14,212</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1,012</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2"/>
        </w:trPr>
        <w:tc>
          <w:tcPr>
            <w:tcW w:w="956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6,297</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14,415</w:t>
            </w: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LFCM Holdings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17,431</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956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220</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17,450</w:t>
            </w: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5"/>
          <w:szCs w:val="15"/>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9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For the three month and six month periods ended June 30, 2010, amounts recorded by Lazard Group relating to the administrative services agreement amounted to $513 and $1,059, respectively, and net referral fees for underwriting, private placement, M&amp;A and restructuring transactions under the business alliance agreement amounted to $3,384 and $6,729, respectively. For the three month and six month periods ended June 30, 2009, amounts recorded by Lazard Group relating to the administrative services agreement amounted to $1,035 and $2,492, respectively, and net referral fees for underwriting, private placement, M&amp;A and restructuring transactions under the business alliance agreement amounted to $6,431 and $6,588,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Receivables from LFCM Holdings and its subsidiaries as of June 30, 2010 and December 31, 2009 primarily include $808 and $5,891, respectively, related to administrative and support services and reimbursement of expenses incurred on behalf of LFCM Holdings and $3,978 and $6,202, respectively, related to referral fees for underwriting and private placement transactions. Payables to LFCM Holdings and its subsidiaries at June 30, 2010 and December 31, 2009 relate primarily to referral fees for Financial Advisory transactions of $118 and $1,747, respectively, and, at December 31, 2009, obligations pursuant to the tax receivable agreement of $15,684 (see Note 16 of Notes to Condensed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and six month periods ended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June 30, 2010, such charges amounted to $187 and $375, respectively. For the three month and six month periods ended June 30, 2009, such charges amounted to $187 and $375, respectively.</w:t>
      </w:r>
    </w:p>
    <w:p>
      <w:pPr>
        <w:spacing w:after="0" w:line="12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Securities Exchange Act of 1934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June 30, 2010, LFNY’s regulatory net capital was $126,471, which exceeded the minimum requirement by $118,605.</w:t>
      </w:r>
    </w:p>
    <w:p>
      <w:pPr>
        <w:spacing w:after="0" w:line="12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June 30, 2010, the aggregate regulatory net capital of the U.K. Subsidiaries was $139,448, which exceeded the minimum requirement by $98,414.</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June 30, 2010, the consolidated regulatory net capital of CFLF was $179,267, which exceeded the minimum requirement set for regulatory capital levels by $89,473.</w:t>
      </w:r>
    </w:p>
    <w:p>
      <w:pPr>
        <w:spacing w:after="0" w:line="9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2010, for those subsidiaries with regulatory capital requirements, their aggregate net capital was $80,087, which exceeded the minimum required capital by $59,364.</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2010, each of these subsidiaries individually was in compliance with its regulatory capital requirements.</w:t>
      </w:r>
    </w:p>
    <w:p>
      <w:pPr>
        <w:spacing w:after="0" w:line="158"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However, the Dodd-Frank Wall Street Reform and Consumer Protection Act (the “Dodd-Frank Act”), discussed below, will have an impact on the SEC’s SIBHC program.</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December 11, 2009, the U.S. House of Representatives passed The Wall Street Reform and Consumer Protection Act of 2009 (“H.R. 4173”). On May 20, 2010, the U.S. Senate passed the Restoring American Financial Stability Act of 2010 (“S. 3217”). A House-Senate conference committee was established to reconcile the differences between H.R. 4173 and S. 3217. On June 25, 2010, the House-Senate conference committee agreed on a reconciled bill, the Dodd-Frank Act</w:t>
      </w:r>
      <w:r>
        <w:rPr>
          <w:rFonts w:ascii="Arial" w:cs="Arial" w:eastAsia="Arial" w:hAnsi="Arial"/>
          <w:sz w:val="16"/>
          <w:szCs w:val="16"/>
          <w:i w:val="1"/>
          <w:iCs w:val="1"/>
          <w:color w:val="auto"/>
        </w:rPr>
        <w:t>.</w:t>
      </w:r>
      <w:r>
        <w:rPr>
          <w:rFonts w:ascii="Arial" w:cs="Arial" w:eastAsia="Arial" w:hAnsi="Arial"/>
          <w:sz w:val="16"/>
          <w:szCs w:val="16"/>
          <w:color w:val="auto"/>
        </w:rPr>
        <w:t xml:space="preserve"> Congress has enacted the Dodd-Frank Act, and on July 21, 2010, the President signed the Dodd-Frank Act.</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Dodd-Frank Act provides for the eventual elimination of the SEC’s SIBHC program. In addition, the Dodd-Frank Act allows entities seeking consolidated supervision to elect to be regulated by the Federal Reserve. We are currently in the process of examining the potential impact of the elimination of the SIBHC program and the Dodd-Frank Act on us.</w:t>
      </w:r>
    </w:p>
    <w:p>
      <w:pPr>
        <w:spacing w:after="0" w:line="12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general strategic and transaction-specific advice on M&amp;A and other strategic matters, restructurings, capital structure, capital raising and various other corporate finance matters),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05"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2010 and 2009 is prepared using the following methodology:</w:t>
      </w:r>
    </w:p>
    <w:p>
      <w:pPr>
        <w:spacing w:after="0" w:line="37"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245,973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252,024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514,469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4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213,900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205,485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451,700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383,106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31,895</w:t>
            </w: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8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574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189,414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131,543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377,167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233,066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136,886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103,973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266,326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194,413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Operating Income (a)</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7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52,528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27,570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110,841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38,653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78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(16,352)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4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9,221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106,650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 (Loss)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(17,550)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(17,163)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(141,040)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(104,371)</w:t>
            </w: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74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419,035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375,625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857,246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624,020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351,984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318,679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824,676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657,843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Operating Income (Loss) (a)</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7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67,051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56,946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32,570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Financial Advisory</w:t>
            </w:r>
          </w:p>
        </w:tc>
        <w:tc>
          <w:tcPr>
            <w:tcW w:w="5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627,986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Management</w:t>
            </w: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5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1,501,398</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1,738,202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2,808,884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3,147,762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420" w:type="dxa"/>
            <w:vAlign w:val="bottom"/>
            <w:vMerge w:val="restart"/>
          </w:tcPr>
          <w:p>
            <w:pPr>
              <w:jc w:val="right"/>
              <w:ind w:right="3232"/>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right="4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income (loss) for the six month periods ended June 30, 2010 and 2009 was significantly impacted by certain special items related to the three month periods ended March 31, 2010 and 2009, respectively. Such impact, including the amounts attributable to each of the Company’s business segments, is described in the table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Operating income, as reported above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62,769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Special item:</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31,895</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reported above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110,841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Special item: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113,743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Operating loss, as reported above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(141,040)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87,108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Operating loss, excluding impact of special items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(51,545)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Operating income (loss), as reported above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32,570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87,108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04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144,538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ind w:left="562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2009 (the “Form 10-K”). All references to “2010”, “2009”, “second quarter”, “first half”, or “the period” refer to, as the context requires, the three month and six month periods ended June 30, 2010 and June 30, 2009.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24"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SA (“FPG”), our private equity business in France. Such activities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 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Effective September 30, 2009, the Company sold FPG to a fund management company forming part of a group that manages investment companies and funds, in some of which Lazard could earn carried interests. The managing directors and staff conducting this activity were accordingly transferred to the buyer. The sale of FPG did not have a material impact on our financial condition or results of operations. Operating results of FPG have been included in our consolidated financial statements through the effective date of sale.</w:t>
      </w:r>
    </w:p>
    <w:p>
      <w:pPr>
        <w:spacing w:after="0" w:line="10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8 of Notes to Condensed Consolidated Financial Statements). Also, consistent with our obligations to LFCM Holdings, we may explore discrete capital markets opportunities.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consolidated net revenue was derived from the following segments: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2009</w:t>
            </w:r>
          </w:p>
        </w:tc>
        <w:tc>
          <w:tcPr>
            <w:tcW w:w="96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5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67%</w:t>
            </w:r>
          </w:p>
        </w:tc>
        <w:tc>
          <w:tcPr>
            <w:tcW w:w="15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960" w:type="dxa"/>
            <w:vAlign w:val="bottom"/>
          </w:tcPr>
          <w:p>
            <w:pPr>
              <w:spacing w:after="0"/>
              <w:rPr>
                <w:sz w:val="18"/>
                <w:szCs w:val="18"/>
                <w:color w:val="auto"/>
              </w:rPr>
            </w:pPr>
          </w:p>
        </w:tc>
        <w:tc>
          <w:tcPr>
            <w:tcW w:w="1520" w:type="dxa"/>
            <w:vAlign w:val="bottom"/>
            <w:gridSpan w:val="2"/>
          </w:tcPr>
          <w:p>
            <w:pPr>
              <w:jc w:val="right"/>
              <w:ind w:right="912"/>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While economic and market conditions in general in the U.S. and globally showed signs of recovery in the first quarter of 2010, global equity markets and foreign currencies experienced significant volatility in the second quarter primarily due to concerns about the state of public finances of certain Euro economies and its impact on the speed of a global economic recovery. As a result, U.S. and global equity market indices declined from both year-end 2009 as well as March 31, 2010 levels. Partially offsetting this volatility were healthier domestic credit markets, improved corporate earnings and continued low interest rates. However, when compared to the first half of 2009, economic and market conditions have improved substantially, which contributed to the improvement in our operating performance in both Financial Advisory and Asset Management during the 2010 first half. However, we believe that going forward certain vulnerabilities to the global economy and, in turn, to the overall business environment, remain.</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Global and trans-atlantic completed and announced M&amp;A transactions for the first half of 2010 increased versus the corresponding prior year periods, but continue to be at relatively low levels. The following table sets forth industry statistics regarding the value of M&amp;A transactions in the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w w:val="86"/>
              </w:rPr>
              <w:t>Six Months Ended June 30,</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81"/>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40" w:type="dxa"/>
            <w:vAlign w:val="bottom"/>
          </w:tcPr>
          <w:p>
            <w:pPr>
              <w:spacing w:after="0"/>
              <w:rPr>
                <w:sz w:val="15"/>
                <w:szCs w:val="15"/>
                <w:color w:val="auto"/>
              </w:rPr>
            </w:pPr>
          </w:p>
        </w:tc>
        <w:tc>
          <w:tcPr>
            <w:tcW w:w="5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2010</w:t>
            </w:r>
          </w:p>
        </w:tc>
        <w:tc>
          <w:tcPr>
            <w:tcW w:w="560" w:type="dxa"/>
            <w:vAlign w:val="bottom"/>
            <w:vMerge w:val="restart"/>
          </w:tcPr>
          <w:p>
            <w:pPr>
              <w:spacing w:after="0"/>
              <w:rPr>
                <w:sz w:val="15"/>
                <w:szCs w:val="15"/>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Incr /(Decr)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5"/>
                <w:szCs w:val="15"/>
                <w:color w:val="auto"/>
              </w:rPr>
            </w:pPr>
          </w:p>
        </w:tc>
        <w:tc>
          <w:tcPr>
            <w:tcW w:w="440" w:type="dxa"/>
            <w:vAlign w:val="bottom"/>
            <w:vMerge w:val="restart"/>
          </w:tcPr>
          <w:p>
            <w:pPr>
              <w:spacing w:after="0"/>
              <w:rPr>
                <w:sz w:val="15"/>
                <w:szCs w:val="15"/>
                <w:color w:val="auto"/>
              </w:rPr>
            </w:pPr>
          </w:p>
        </w:tc>
        <w:tc>
          <w:tcPr>
            <w:tcW w:w="5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Incr /(Decr)</w:t>
            </w:r>
          </w:p>
        </w:tc>
        <w:tc>
          <w:tcPr>
            <w:tcW w:w="0" w:type="dxa"/>
            <w:vAlign w:val="bottom"/>
          </w:tcPr>
          <w:p>
            <w:pPr>
              <w:spacing w:after="0"/>
              <w:rPr>
                <w:sz w:val="1"/>
                <w:szCs w:val="1"/>
                <w:color w:val="auto"/>
              </w:rPr>
            </w:pPr>
          </w:p>
        </w:tc>
      </w:tr>
      <w:tr>
        <w:trPr>
          <w:trHeight w:val="136"/>
        </w:trPr>
        <w:tc>
          <w:tcPr>
            <w:tcW w:w="454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 in billions)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Global</w:t>
            </w:r>
          </w:p>
        </w:tc>
        <w:tc>
          <w:tcPr>
            <w:tcW w:w="540" w:type="dxa"/>
            <w:vAlign w:val="bottom"/>
          </w:tcPr>
          <w:p>
            <w:pPr>
              <w:jc w:val="right"/>
              <w:spacing w:after="0"/>
              <w:rPr>
                <w:sz w:val="20"/>
                <w:szCs w:val="20"/>
                <w:color w:val="auto"/>
              </w:rPr>
            </w:pPr>
            <w:r>
              <w:rPr>
                <w:rFonts w:ascii="Arial" w:cs="Arial" w:eastAsia="Arial" w:hAnsi="Arial"/>
                <w:sz w:val="18"/>
                <w:szCs w:val="18"/>
                <w:color w:val="auto"/>
              </w:rPr>
              <w:t>$  440</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  303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797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Trans-Atlantic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2"/>
        </w:trPr>
        <w:tc>
          <w:tcPr>
            <w:tcW w:w="454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Global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488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Trans-Atlantic</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30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July 9, 2010</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believe that in the current environment we are relatively well positioned as our clients refinance, restructure and position their asset portfolios for growth. While overall M&amp;A industry statistics regarding the number and size of announced transactions increased modestly in the first half of 2010 as compared to the 2009 period, we continue to remain cautious with respect to the overall economic environment and its impact on the M&amp;A business. Generally, during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Global restructuring activity during the first half of 2010 decreased from record levels in 2009, due to a lower level of corporate debt defaults. According to Moody’s Investors Service, Inc., in the first half of 2010, a total of 26 issuers defaulted as compared to 175 in the corresponding 2009 period. While we believe that the number and value of corporate defaults may continue to decline throughout the year, we expect that our Restructuring business should remain active from the significant level of corporate defaults in 2009, as well as from advising companies during this period of volatility on matters relating to debt and financing restructuring and other on- and off-balance sheet assignments. Our Restructuring assignments normally are executed over a six- to eighteen-month period.</w:t>
      </w:r>
    </w:p>
    <w:p>
      <w:pPr>
        <w:spacing w:after="0" w:line="10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Private Fund Advisory Group, which is part of our Financial Advisory segment and is conducted in the U.S. through Lazard Frères &amp; Co. LLC, an SEC-registered broker-dealer and member of FINRA,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and New Mexico, and similar measures are being considered or have been implemented in other jurisdictions. On June 30, 2010, the SEC approved a rule that, among other things, will prohibit investment advisors from paying a third-party placement agent for soliciting investment advisory business from a U.S. governmental entity, unless the placement agent is (i) an SEC-registered investment advisor or (ii) an SEC-registered broker-dealer that is a member of FINRA and thus subject to FINRA’s forthcoming “pay-to-play” rule. We are continuing to evaluate the potential impact of state, local and other restrictions on our Private Fund Advisory Group.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shown in the table below, major global market indices at June 30, 2010 decreased as compared to such indices at March 31 and December 31, 2009, but increased in most markets as compared to June 30,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Percentage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7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b w:val="1"/>
                <w:bCs w:val="1"/>
                <w:color w:val="auto"/>
              </w:rPr>
              <w:t>June 30, 2010 vs.</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7340" w:type="dxa"/>
            <w:vAlign w:val="bottom"/>
          </w:tcPr>
          <w:p>
            <w:pPr>
              <w:spacing w:after="0"/>
              <w:rPr>
                <w:sz w:val="11"/>
                <w:szCs w:val="11"/>
                <w:color w:val="auto"/>
              </w:rPr>
            </w:pPr>
          </w:p>
        </w:tc>
        <w:tc>
          <w:tcPr>
            <w:tcW w:w="108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2"/>
              </w:rPr>
              <w:t>March 31,</w:t>
            </w:r>
          </w:p>
        </w:tc>
        <w:tc>
          <w:tcPr>
            <w:tcW w:w="480" w:type="dxa"/>
            <w:vAlign w:val="bottom"/>
          </w:tcPr>
          <w:p>
            <w:pPr>
              <w:spacing w:after="0"/>
              <w:rPr>
                <w:sz w:val="11"/>
                <w:szCs w:val="11"/>
                <w:color w:val="auto"/>
              </w:rPr>
            </w:pPr>
          </w:p>
        </w:tc>
        <w:tc>
          <w:tcPr>
            <w:tcW w:w="178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r>
      <w:tr>
        <w:trPr>
          <w:trHeight w:val="161"/>
        </w:trPr>
        <w:tc>
          <w:tcPr>
            <w:tcW w:w="734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2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CAC 40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(13)%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FTSE 100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2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MSCI Emerging Market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2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NASDAQ</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2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r>
    </w:tbl>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While our AUM at June 30, 2010 decreased versus AUM at December 31, 2009, our average AUM during the second quarter and first half of 2010 increased significantly as compared to our average AUM for the corresponding periods of 2009, reflecting significant market appreciation for the last nine months of 2009, and, to a lesser extent, the first three months of 2010, as well as net inflows over the twelve month period ended June 30, 2010. Such increased AUM resulted in higher management fee revenues in the 2010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from public and private securities offerings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Lazard’s Asset Management segment principally includes LAM, Lazard Frères Gestion SAS, FPG (through its disposition on September 30, 2009) and, effective July 15, 2009, Edgewater.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client asset inflows and outflows have a direct effect on Asset Management net revenue and operating income. 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Corporate segment net revenue consists primarily of net interest income, including amounts earned at LFB, and investment gains and losses on the Company’s investment portfolio of LAM-managed equity funds and principal investments in equities, debt securities at LFB and alternative investment funds. Interest expense is also included in Corporate net revenue. Corporate net revenue can fluctuate due to changes in the fair value of investments classified as “trading”, and with respect to “available-for-sale”, when realized, or when a decline is determined to be other than temporary, with respect to “available-for-sale” and “held-to-maturity” investments, as well as due to changes in interest and currency exchange rates and in the levels of cash, investments and indebtedness.</w:t>
      </w:r>
    </w:p>
    <w:p>
      <w:pPr>
        <w:spacing w:after="0" w:line="10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Although Corporate segment net revenue during the first half of 2010 represented (4)% of Lazard’s net revenue, total assets in Corporate represented 53% of Lazard’s consolidated total assets as of June 30, 2010, which is attributable to assets associated with LFB, investments in government bonds, LAM-managed funds, other securities and cash.</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Our compensation and benefits expense includes amortization of the relevant portion of the restricted stock unit awards (“RSUs”) under the Lazard Ltd 2005 Equity Incentive Plan (“2005 Plan”) and the Lazard Ltd 2008 Incentive Compensation Plan (the “2008 Plan”), with such amortization generally determined 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straight-line basis over the vesting periods and not on the basis of revenue recognition. Compensation expense in any given period is dependent on many factors, including general economic and market conditions, our operating and financial performance, staffing levels and competitive pay conditions, as well as the mix between current and deferred compensation. Our compensation expense-to-operating revenue ratio was 60.0% for both the second quarters of 2010 and 2009, and for the six month periods of 2010 and 2009 was 60.2% and 65.9%, respectively (with such ratio in the six month period of 2010 excluding the compensation charge of approximately $25 million in connection with the accelerated vesting of RSUs related to the Company’s change in retirement policy). See Note 13 of Notes to Condensed Consolidated Financial Statements for additional information regarding the Company’s incentive plans.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amortization of intangible assets related to acquisitions and, in the six month periods of 2010 and 2009, restructuring expense. Non-compensation expense includes costs for occupancy and equipment, marketing and business development, technology and information services, professional services, fund administration and outsourced services, and other expenses. Amortization of intangibles related to acquisitions relates primarily to the July 2009 acquisition of Edgewater. Restructuring expense relates to the certain staff reductions and realignment of personnel in the first quarters of 2010 and 2009, and includes severance and related benefits expense, the acceleration of unrecognized expense pertaining to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related to non-U.S. entities and to New York City Unincorporated Business Tax (“UBT”) attributable to Lazard’s operations apportioned to New York City. The Company’s provision for income taxes also includes a U.S. income tax provision attributable to Lazard Ltd’s ownership interest in Lazard Group’s operating income.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records a charge (credit) to noncontrolling interests relating to LAZ-MD Holdings’ ownership interest in the net income (loss) attributable to Lazard Group, which averaged 16%, and 34% for the second quarters of 2010 and 2009 respectively, and 11% and 42% for the six month periods of 2010 and 2009, respectively. Also included in noncontrolling interests in our consolidated financial statements are amounts related to Edgewater and various LAM-related general partnership interests (“GPs”) held directly by certain of our LAM managing directors.</w:t>
      </w:r>
    </w:p>
    <w:p>
      <w:pPr>
        <w:spacing w:after="0" w:line="99" w:lineRule="exact"/>
        <w:rPr>
          <w:sz w:val="20"/>
          <w:szCs w:val="20"/>
          <w:color w:val="auto"/>
        </w:rPr>
      </w:pPr>
    </w:p>
    <w:p>
      <w:pPr>
        <w:ind w:right="1520" w:firstLine="456"/>
        <w:spacing w:after="0" w:line="375" w:lineRule="auto"/>
        <w:rPr>
          <w:sz w:val="20"/>
          <w:szCs w:val="20"/>
          <w:color w:val="auto"/>
        </w:rPr>
      </w:pPr>
      <w:r>
        <w:rPr>
          <w:rFonts w:ascii="Arial" w:cs="Arial" w:eastAsia="Arial" w:hAnsi="Arial"/>
          <w:sz w:val="18"/>
          <w:szCs w:val="18"/>
          <w:color w:val="auto"/>
        </w:rPr>
        <w:t xml:space="preserve">See Note 12 of Notes to Condensed Consolidated Financial Statements for information regarding Company’s noncontrolling interests. </w:t>
      </w:r>
      <w:r>
        <w:rPr>
          <w:rFonts w:ascii="Arial" w:cs="Arial" w:eastAsia="Arial" w:hAnsi="Arial"/>
          <w:sz w:val="18"/>
          <w:szCs w:val="18"/>
          <w:b w:val="1"/>
          <w:bCs w:val="1"/>
          <w:color w:val="auto"/>
        </w:rPr>
        <w:t>Consolidated Results of Operations</w:t>
      </w:r>
    </w:p>
    <w:p>
      <w:pPr>
        <w:spacing w:after="0" w:line="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first quarters of 2010 and 2009 the Company reported certain charges (the “2010 special items” and the “2009 special item,” respectively, and collectively, the “2010 and 2009 special items”) that resulted in a significant adverse impact on its operating results. The impact of such special items on the Company’s condensed consolidated statements of operations for the 2010 and 2009 six month periods is described in more detail in the table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0"/>
              </w:rPr>
              <w:t>Six Months Ended June 30,</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52"/>
              <w:spacing w:after="0" w:line="129" w:lineRule="exact"/>
              <w:rPr>
                <w:sz w:val="20"/>
                <w:szCs w:val="20"/>
                <w:color w:val="auto"/>
              </w:rPr>
            </w:pPr>
            <w:r>
              <w:rPr>
                <w:rFonts w:ascii="Arial" w:cs="Arial" w:eastAsia="Arial" w:hAnsi="Arial"/>
                <w:sz w:val="14"/>
                <w:szCs w:val="14"/>
                <w:b w:val="1"/>
                <w:bCs w:val="1"/>
                <w:color w:val="auto"/>
                <w:w w:val="87"/>
              </w:rPr>
              <w:t>RSU</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tcPr>
          <w:p>
            <w:pPr>
              <w:jc w:val="center"/>
              <w:ind w:right="212"/>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1060" w:type="dxa"/>
            <w:vAlign w:val="bottom"/>
            <w:gridSpan w:val="3"/>
          </w:tcPr>
          <w:p>
            <w:pPr>
              <w:jc w:val="center"/>
              <w:ind w:right="212"/>
              <w:spacing w:after="0" w:line="149" w:lineRule="exact"/>
              <w:rPr>
                <w:sz w:val="20"/>
                <w:szCs w:val="20"/>
                <w:color w:val="auto"/>
              </w:rPr>
            </w:pPr>
            <w:r>
              <w:rPr>
                <w:rFonts w:ascii="Arial" w:cs="Arial" w:eastAsia="Arial" w:hAnsi="Arial"/>
                <w:sz w:val="14"/>
                <w:szCs w:val="14"/>
                <w:b w:val="1"/>
                <w:bCs w:val="1"/>
                <w:color w:val="auto"/>
                <w:w w:val="86"/>
              </w:rPr>
              <w:t>Amendment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w w:val="98"/>
              </w:rPr>
              <w:t>Restructuring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w:t>
            </w: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1220" w:type="dxa"/>
            <w:vAlign w:val="bottom"/>
            <w:gridSpan w:val="4"/>
          </w:tcPr>
          <w:p>
            <w:pPr>
              <w:jc w:val="right"/>
              <w:ind w:right="455"/>
              <w:spacing w:after="0" w:line="142" w:lineRule="exact"/>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87,108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87,108</w:t>
            </w:r>
          </w:p>
        </w:tc>
        <w:tc>
          <w:tcPr>
            <w:tcW w:w="30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(87,108)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(24,860)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(111,968)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(5,680)</w:t>
            </w:r>
          </w:p>
        </w:tc>
        <w:tc>
          <w:tcPr>
            <w:tcW w:w="140" w:type="dxa"/>
            <w:vAlign w:val="bottom"/>
          </w:tcPr>
          <w:p>
            <w:pPr>
              <w:spacing w:after="0"/>
              <w:rPr>
                <w:sz w:val="18"/>
                <w:szCs w:val="18"/>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(1,363)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(7,043)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(Benefit)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(18,400)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(5,988)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(24,388)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(21,075)</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Net Income (Loss) Attributable to Lazard Ltd.</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gridSpan w:val="3"/>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(63,028)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(17,509)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(80,537)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Restructuring plans announced in the first quarters of 2010 and 2009,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Additional amortization expense in connection with the accelerated vesting of RSUs related to the amendment of the Company’s retirement policy.</w:t>
      </w:r>
    </w:p>
    <w:p>
      <w:pPr>
        <w:spacing w:after="0" w:line="17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 discussion of the Company’s consolidated results of operations for the 2010 and 2009 periods is set forth below, followed by a more detailed discussion of business segment results. For comparability purposes in the discussion that follows, the results for the six month periods in 2010 and 2009 are shown in tables below, as applicable, on both an “as reported” U.S. GAAP and “excluding special items” non-U.S. GAAP basis.</w:t>
      </w:r>
    </w:p>
    <w:p>
      <w:pPr>
        <w:spacing w:after="0" w:line="8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-7620</wp:posOffset>
            </wp:positionV>
            <wp:extent cx="12522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w w:val="76"/>
              </w:rPr>
              <w:t>in thousands)</w:t>
            </w:r>
          </w:p>
        </w:tc>
        <w:tc>
          <w:tcPr>
            <w:tcW w:w="6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960" w:type="dxa"/>
            <w:vAlign w:val="bottom"/>
          </w:tcPr>
          <w:p>
            <w:pPr>
              <w:spacing w:after="0"/>
              <w:rPr>
                <w:sz w:val="3"/>
                <w:szCs w:val="3"/>
                <w:color w:val="auto"/>
              </w:rPr>
            </w:pPr>
          </w:p>
        </w:tc>
        <w:tc>
          <w:tcPr>
            <w:tcW w:w="4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419,035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375,625</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4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263,021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239,279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 expense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87,194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4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4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351,984</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318,679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4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260" w:type="dxa"/>
            <w:vAlign w:val="bottom"/>
            <w:vMerge w:val="restart"/>
          </w:tcPr>
          <w:p>
            <w:pPr>
              <w:jc w:val="right"/>
              <w:ind w:right="3352"/>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w w:val="99"/>
              </w:rPr>
              <w:t>Six Months Ended June 30,</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8"/>
              <w:spacing w:after="0" w:line="129" w:lineRule="exact"/>
              <w:rPr>
                <w:sz w:val="20"/>
                <w:szCs w:val="20"/>
                <w:color w:val="auto"/>
              </w:rPr>
            </w:pPr>
            <w:r>
              <w:rPr>
                <w:rFonts w:ascii="Arial" w:cs="Arial" w:eastAsia="Arial" w:hAnsi="Arial"/>
                <w:sz w:val="14"/>
                <w:szCs w:val="14"/>
                <w:b w:val="1"/>
                <w:bCs w:val="1"/>
                <w:color w:val="auto"/>
                <w:w w:val="87"/>
              </w:rPr>
              <w:t>Non-U.S.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87"/>
              </w:rPr>
              <w:t>Non-U.S.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U.S. GAAP</w:t>
            </w: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Impact of</w:t>
            </w:r>
          </w:p>
        </w:tc>
        <w:tc>
          <w:tcPr>
            <w:tcW w:w="140" w:type="dxa"/>
            <w:vAlign w:val="bottom"/>
          </w:tcPr>
          <w:p>
            <w:pPr>
              <w:spacing w:after="0"/>
              <w:rPr>
                <w:sz w:val="12"/>
                <w:szCs w:val="12"/>
                <w:color w:val="auto"/>
              </w:rPr>
            </w:pPr>
          </w:p>
        </w:tc>
        <w:tc>
          <w:tcPr>
            <w:tcW w:w="114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93"/>
              </w:rPr>
              <w:t>GAAP</w:t>
            </w:r>
          </w:p>
        </w:tc>
        <w:tc>
          <w:tcPr>
            <w:tcW w:w="1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U.S. GAAP</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Impact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As</w:t>
            </w:r>
          </w:p>
        </w:tc>
        <w:tc>
          <w:tcPr>
            <w:tcW w:w="8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Special</w:t>
            </w:r>
          </w:p>
        </w:tc>
        <w:tc>
          <w:tcPr>
            <w:tcW w:w="140" w:type="dxa"/>
            <w:vAlign w:val="bottom"/>
          </w:tcPr>
          <w:p>
            <w:pPr>
              <w:spacing w:after="0"/>
              <w:rPr>
                <w:sz w:val="12"/>
                <w:szCs w:val="12"/>
                <w:color w:val="auto"/>
              </w:rPr>
            </w:pPr>
          </w:p>
        </w:tc>
        <w:tc>
          <w:tcPr>
            <w:tcW w:w="114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Excluding</w:t>
            </w:r>
          </w:p>
        </w:tc>
        <w:tc>
          <w:tcPr>
            <w:tcW w:w="16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As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Special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Items (a)</w:t>
            </w:r>
          </w:p>
        </w:tc>
        <w:tc>
          <w:tcPr>
            <w:tcW w:w="3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Special Items (b)</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5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Item (a)</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Special Item (b)</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1140" w:type="dxa"/>
            <w:vAlign w:val="bottom"/>
            <w:gridSpan w:val="3"/>
          </w:tcPr>
          <w:p>
            <w:pPr>
              <w:jc w:val="right"/>
              <w:ind w:right="427"/>
              <w:spacing w:after="0"/>
              <w:rPr>
                <w:sz w:val="20"/>
                <w:szCs w:val="20"/>
                <w:color w:val="auto"/>
              </w:rPr>
            </w:pPr>
            <w:r>
              <w:rPr>
                <w:rFonts w:ascii="Arial" w:cs="Arial" w:eastAsia="Arial" w:hAnsi="Arial"/>
                <w:sz w:val="14"/>
                <w:szCs w:val="14"/>
                <w:b w:val="1"/>
                <w:bCs w:val="1"/>
                <w:color w:val="auto"/>
                <w:w w:val="82"/>
              </w:rPr>
              <w:t>thousands)</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857,246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857,246</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624,020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624,020</w:t>
            </w:r>
          </w:p>
        </w:tc>
        <w:tc>
          <w:tcPr>
            <w:tcW w:w="0" w:type="dxa"/>
            <w:vAlign w:val="bottom"/>
          </w:tcPr>
          <w:p>
            <w:pPr>
              <w:spacing w:after="0"/>
              <w:rPr>
                <w:sz w:val="1"/>
                <w:szCs w:val="1"/>
                <w:color w:val="auto"/>
              </w:rPr>
            </w:pPr>
          </w:p>
        </w:tc>
      </w:tr>
      <w:tr>
        <w:trPr>
          <w:trHeight w:val="290"/>
        </w:trPr>
        <w:tc>
          <w:tcPr>
            <w:tcW w:w="4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563,398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538,538</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442,811</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Non-compensation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170,631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170,631</w:t>
            </w:r>
          </w:p>
        </w:tc>
        <w:tc>
          <w:tcPr>
            <w:tcW w:w="3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151,794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151,794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3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688</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62,550</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$ 62,550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824,676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111,968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712,708</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657,843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595,293</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32,570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(111,968)</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144,538</w:t>
            </w:r>
          </w:p>
        </w:tc>
        <w:tc>
          <w:tcPr>
            <w:tcW w:w="300" w:type="dxa"/>
            <w:vAlign w:val="bottom"/>
          </w:tcPr>
          <w:p>
            <w:pPr>
              <w:spacing w:after="0"/>
              <w:rPr>
                <w:sz w:val="19"/>
                <w:szCs w:val="19"/>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(33,823)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(62,550)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26,979</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9,344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15,745</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12,634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(104,925)</w:t>
            </w:r>
          </w:p>
        </w:tc>
        <w:tc>
          <w:tcPr>
            <w:tcW w:w="140" w:type="dxa"/>
            <w:vAlign w:val="bottom"/>
          </w:tcPr>
          <w:p>
            <w:pPr>
              <w:spacing w:after="0"/>
              <w:rPr>
                <w:sz w:val="19"/>
                <w:szCs w:val="19"/>
                <w:color w:val="auto"/>
              </w:rPr>
            </w:pPr>
          </w:p>
        </w:tc>
        <w:tc>
          <w:tcPr>
            <w:tcW w:w="1140" w:type="dxa"/>
            <w:vAlign w:val="bottom"/>
            <w:gridSpan w:val="2"/>
          </w:tcPr>
          <w:p>
            <w:pPr>
              <w:jc w:val="right"/>
              <w:ind w:right="232"/>
              <w:spacing w:after="0"/>
              <w:rPr>
                <w:sz w:val="20"/>
                <w:szCs w:val="20"/>
                <w:color w:val="auto"/>
              </w:rPr>
            </w:pPr>
            <w:r>
              <w:rPr>
                <w:rFonts w:ascii="Arial" w:cs="Arial" w:eastAsia="Arial" w:hAnsi="Arial"/>
                <w:sz w:val="18"/>
                <w:szCs w:val="18"/>
                <w:color w:val="auto"/>
              </w:rPr>
              <w:t>117,559</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(43,167)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(56,149)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92"/>
              </w:rPr>
              <w:t>Less – Net Income (Loss) Attributable to Noncontrolling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Interests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(24,388)</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25,984</w:t>
            </w:r>
          </w:p>
        </w:tc>
        <w:tc>
          <w:tcPr>
            <w:tcW w:w="3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(17,858)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(21,075)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Income (Loss) Attributable to Lazard Ltd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11,038</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(80,537)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91,575</w:t>
            </w:r>
          </w:p>
        </w:tc>
        <w:tc>
          <w:tcPr>
            <w:tcW w:w="300" w:type="dxa"/>
            <w:vAlign w:val="bottom"/>
          </w:tcPr>
          <w:p>
            <w:pPr>
              <w:spacing w:after="0"/>
              <w:rPr>
                <w:sz w:val="19"/>
                <w:szCs w:val="19"/>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 (25,309)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(35,074)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charges related to the previously described special items. See Notes 13, 15 and 20 of Notes to Condensed Consolidated Financial Statements.</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17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2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in</w:t>
            </w:r>
          </w:p>
        </w:tc>
        <w:tc>
          <w:tcPr>
            <w:tcW w:w="1100" w:type="dxa"/>
            <w:vAlign w:val="bottom"/>
            <w:gridSpan w:val="3"/>
          </w:tcPr>
          <w:p>
            <w:pPr>
              <w:jc w:val="right"/>
              <w:ind w:right="347"/>
              <w:spacing w:after="0" w:line="155" w:lineRule="exact"/>
              <w:rPr>
                <w:sz w:val="20"/>
                <w:szCs w:val="20"/>
                <w:color w:val="auto"/>
              </w:rPr>
            </w:pPr>
            <w:r>
              <w:rPr>
                <w:rFonts w:ascii="Arial" w:cs="Arial" w:eastAsia="Arial" w:hAnsi="Arial"/>
                <w:sz w:val="14"/>
                <w:szCs w:val="14"/>
                <w:b w:val="1"/>
                <w:bCs w:val="1"/>
                <w:color w:val="auto"/>
                <w:w w:val="87"/>
              </w:rPr>
              <w:t>thousands)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$443,153</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$402,733</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$906,961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$678,585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(1,987)</w:t>
            </w: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(3,629)</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(4,546)</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(2,798)</w:t>
            </w:r>
          </w:p>
        </w:tc>
        <w:tc>
          <w:tcPr>
            <w:tcW w:w="9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(257)</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(7,137)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438,368</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398,847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895,278</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671,752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interest expense incurred by LFB is excluded from total revenue because LFB is a commercial bank and we consider its interest expense to be a cost directly related to the conduct of its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 Further, such revenue is offset by a charge or credit to noncontrolling interests.</w:t>
      </w:r>
    </w:p>
    <w:p>
      <w:pPr>
        <w:spacing w:after="0" w:line="1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key ratios, statistics and headcount information for the 2010 and 2009 periods are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1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w w:val="76"/>
              </w:rPr>
              <w:t>2010</w:t>
            </w: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63%</w:t>
            </w:r>
          </w:p>
        </w:tc>
        <w:tc>
          <w:tcPr>
            <w:tcW w:w="11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8"/>
                <w:szCs w:val="18"/>
                <w:color w:val="auto"/>
              </w:rPr>
            </w:pPr>
          </w:p>
        </w:tc>
        <w:tc>
          <w:tcPr>
            <w:tcW w:w="1100" w:type="dxa"/>
            <w:vAlign w:val="bottom"/>
            <w:gridSpan w:val="3"/>
          </w:tcPr>
          <w:p>
            <w:pPr>
              <w:jc w:val="right"/>
              <w:ind w:right="348"/>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1100" w:type="dxa"/>
            <w:vAlign w:val="bottom"/>
            <w:gridSpan w:val="3"/>
          </w:tcPr>
          <w:p>
            <w:pPr>
              <w:jc w:val="right"/>
              <w:ind w:right="348"/>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10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100%</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ind w:right="208"/>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6"/>
          </w:tcPr>
          <w:p>
            <w:pPr>
              <w:ind w:left="3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4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1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1,106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of consolidated results of operations above, charges related to the 2010 and 2009 special items had a significant impact on the Company’s reported operating results for the six month periods in the respective years. Lazard management believes that comparisons between periods are most meaningful after excluding the impact of such items.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2010 versus June 30, 2009</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of $45 million, as compared to net income of $28 million in the 2009 period. The changes in the Company’s operating results during the periods are described below.</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revenue increased $43 million, or 12%, as compared to the 2009 period, with operating revenue increasing $40 million, or 10%. Fees from investment banking and other advisory activities increased $9 million, or 4%, principally due to an increase in M&amp;A and Strategic Advisory fees and from our Private Fund Advisory Group businesses, with the latter due to an increase in the value and number of fund closings, partially offset by a decrease in Restructuring fees. Money management fees, including incentive fees, increased $61 million, or 50%, due to a $40 billion, or 44%, increase in average AUM for the 2010 period, primarily as the result of market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appreciation experienced most significantly in the last nine months of 2009, and, to a lesser extent, the first three months of 2010, and net inflows during such periods. Other revenue decreased $29 million, or 71%, principally due to a decrease in underwriting fees as a result of a decline in equity capital markets transactions, a $10 million decrease principally resulting from foreign exchange losses as compared to gains in the 2009 period and an $8 million net reduction in investment income. Interest expense decreased $3 million, or 11%, principally due to a lower interest rate environment.</w:t>
      </w:r>
    </w:p>
    <w:p>
      <w:pPr>
        <w:spacing w:after="0" w:line="99"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Compensation and benefits expense for the 2010 period increased $24 million, or 10%, principally reflecting an increase in the provision for discretionary compensation and profit pools relating to the increase in operating revenue and a decline in the amortization of share-based and deferred cash incentive awards. Compensation and benefits expense was 60.0% of operating revenue for both the 2010 and 2009 periods.</w:t>
      </w:r>
    </w:p>
    <w:p>
      <w:pPr>
        <w:spacing w:after="0" w:line="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Non-compensation expense increased $8 million, or 10%. Factors contributing to the increase were increased spending on travel and other business development activities, and increased fund administration expenses related to the increased level of business activity and AUM. The ratio of non-compensation expense to operating revenue was 19.9% as compared to 19.8% in the 2009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$1 million principally due to the Edgewater acquisition in July 2009.</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Operating income for the 2010 period was $67 million, as compared to operating income of $57 million in the prior year period and, as a percentage of net revenue, was 16% as compared to 15% in the 2009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was $14 million in both the 2010 and the 2009 periods.</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Net income attributable to noncontrolling interests decreased $6 million, as compared to the 2009 period, principally reflecting a decrease in LAZ-MD Holdings’ ownership interests.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2010 versus June 30, 2009</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reported net income attributable to Lazard Ltd of $11 million, as compared to a net loss of $25 million in the 2009 period. The Company’s results in both periods were adversely affected by the 2010 and the 2009 special items, which served to increase the net loss attributable to Lazard Ltd in the 2010 and 2009 periods by $81 million and $35 million, respectively. Excluding the after-tax impact of the 2010 and 2009 special items in each year, net income attributable to Lazard Ltd in the 2010 period was $92 million, an increase of $82 million as compared to the 2009 period. The changes in the Company’s operating results during the period are described below.</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revenue increased $233 million, or 37%, as compared to the 2009 period, with operating revenue increasing $224 million, or 33%. Fees from investment banking and other advisory activities increased $117 million, or 29%, including increases of $62 million in M&amp;A and Strategic Advisory fees, a $26 million increase in Restructuring fees, and an increase in fees principally from our Private Fund Advisory Group business due to an increase in the value and number of fund closings. Money management fees, including incentive fees, increased $139 million, or 63%, due to a $39 billion, or 44%, increase in average AUM for the 2010 period, primarily as the result of market appreciation experienced most significantly in the last nine months of 2009, and, to a lesser extent, the first three months of 2010, and net inflows during such periods, as well as higher incentive fees earned in the 2010 period. Interest income decreased $3 million, or 20%, due primarily to the lower interest rate environment and lower receivables from banks. Other revenue decreased $24 million, or 51%, principally due to a decrease in underwriting fees as a result of a decline in equity capital markets transactions, a $9 million decrease, principally resulting from foreign exchange losses as compared to gains in the 2009 period, and a $6 million net reduction in investment income, partially offset by increased commission revenue. Interest expense decreased $5 million, or 9%, due to the lower interest rate environment and reduced levels of LFB’s customer deposits.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Compensation and benefits expense for the 2010 period, including the 2010 special item of $25 million, increased $121 million, or 27%. When excluding the 2010 special item, compensation and benefits expense increased $96 million, or 22%, which includes an increase in the provision for discretionary compensation and profit pools relating to the increase in operating revenue and a reduction in the amortization of share-based and deferred cash incentive awards. Compensation and benefits expense, excluding the 2010 special item, was 60.2% and 65.9% of operating revenue for the 2010 and 2009 periods, respectively. The reduction in the compensation ratio for the first half of 2010 is due primarily to execution of our previously announced goal to grow annual compensation expense at a slower rate than operating revenue.</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Non-compensation expense increased $19 million, or 12%. Factors contributing to the increase were increased spending on travel and other business development activities, including technology and increased fund administration expenses related to the increased level of business activity and AUM. The ratio of non-compensation expense to operating revenue was 19.1% as compared to 22.6% of operating revenue for the 2009 period.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$3 million principally due to the Edgewater acquisition in July 2009.</w:t>
      </w:r>
    </w:p>
    <w:p>
      <w:pPr>
        <w:spacing w:after="0" w:line="15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the first quarters of 2010 and 2009, the Company announced plans to reduce certain staff and realign personnel. As a result, the 2010 and 2009 special items include restructuring charges of $87 million and $63 million, respectively, in connection with severance and benefit payments, the acceleration of unrecognized expense pertaining to RSUs previously granted to individuals who were terminated and certain other costs related to the restructuring initiatives.</w:t>
      </w:r>
    </w:p>
    <w:p>
      <w:pPr>
        <w:spacing w:after="0" w:line="9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Operating income for the 2010 period was $33 million, as compared to an operating loss of $34 million in the prior year period (with such amounts including the impact of the 2010 and 2009 special items) and, as a percentage of net revenue, was 4% as compared to (5)% in the 2009 period. Excluding the impact of the 2010 and 2009 special items in each period, operating income was $145 million, an increase of $116 million, as compared to operating income of $29 million in 2009, and, as a percentage of net revenue, was 17%, as compared to 5%, respectively.</w:t>
      </w:r>
    </w:p>
    <w:p>
      <w:pPr>
        <w:spacing w:after="0" w:line="9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provision for income taxes was $20 million, an increase of $11 million, as compared to $9 million in the 2009 period. When excluding the tax benefits of $7 million and $6 million relating to the 2010 and 2009 special items, respectively, the income tax provision was $27 million in the 2010 period compared to approximately $16 million in the 2009 period, with the increase principally due to increases in operating income in 2010.</w:t>
      </w:r>
    </w:p>
    <w:p>
      <w:pPr>
        <w:spacing w:after="0" w:line="9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Net income attributable to noncontrolling interests increased $19 million, as compared to the 2009 period. When excluding the impact of the 2010 and 2009 special items, net income attributable to noncontrolling interests increased $23 million, with such increase principally reflecting the increase in Lazard Group’s net income, partially offset by a decrease in LAZ-MD Holdings’ ownership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are presented, as applicable, on an “as reported” and “excluding special items” basis (see Note 20 of Notes to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Financial Advisory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1"/>
              </w:rPr>
              <w:t>in thousands)</w:t>
            </w:r>
          </w:p>
        </w:tc>
        <w:tc>
          <w:tcPr>
            <w:tcW w:w="6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75"/>
              <w:spacing w:after="0"/>
              <w:rPr>
                <w:sz w:val="20"/>
                <w:szCs w:val="20"/>
                <w:color w:val="auto"/>
              </w:rPr>
            </w:pPr>
            <w:r>
              <w:rPr>
                <w:rFonts w:ascii="Arial" w:cs="Arial" w:eastAsia="Arial" w:hAnsi="Arial"/>
                <w:sz w:val="18"/>
                <w:szCs w:val="18"/>
                <w:color w:val="auto"/>
                <w:w w:val="95"/>
              </w:rPr>
              <w:t>$145,855</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$134,854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3"/>
          </w:tcPr>
          <w:p>
            <w:pPr>
              <w:jc w:val="right"/>
              <w:ind w:right="575"/>
              <w:spacing w:after="0"/>
              <w:rPr>
                <w:sz w:val="20"/>
                <w:szCs w:val="20"/>
                <w:color w:val="auto"/>
              </w:rPr>
            </w:pPr>
            <w:r>
              <w:rPr>
                <w:rFonts w:ascii="Arial" w:cs="Arial" w:eastAsia="Arial" w:hAnsi="Arial"/>
                <w:sz w:val="18"/>
                <w:szCs w:val="18"/>
                <w:color w:val="auto"/>
              </w:rPr>
              <w:t>79,879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93,231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20,239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23,939</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75"/>
              <w:spacing w:after="0"/>
              <w:rPr>
                <w:sz w:val="20"/>
                <w:szCs w:val="20"/>
                <w:color w:val="auto"/>
              </w:rPr>
            </w:pPr>
            <w:r>
              <w:rPr>
                <w:rFonts w:ascii="Arial" w:cs="Arial" w:eastAsia="Arial" w:hAnsi="Arial"/>
                <w:sz w:val="18"/>
                <w:szCs w:val="18"/>
                <w:color w:val="auto"/>
                <w:w w:val="98"/>
              </w:rPr>
              <w:t>245,973</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252,024</w:t>
            </w:r>
          </w:p>
        </w:tc>
        <w:tc>
          <w:tcPr>
            <w:tcW w:w="0" w:type="dxa"/>
            <w:vAlign w:val="bottom"/>
          </w:tcPr>
          <w:p>
            <w:pPr>
              <w:spacing w:after="0"/>
              <w:rPr>
                <w:sz w:val="1"/>
                <w:szCs w:val="1"/>
                <w:color w:val="auto"/>
              </w:rPr>
            </w:pPr>
          </w:p>
        </w:tc>
      </w:tr>
      <w:tr>
        <w:trPr>
          <w:trHeight w:val="218"/>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w w:val="98"/>
              </w:rPr>
              <w:t>213,900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205,485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3"/>
          </w:tcPr>
          <w:p>
            <w:pPr>
              <w:jc w:val="right"/>
              <w:ind w:right="575"/>
              <w:spacing w:after="0"/>
              <w:rPr>
                <w:sz w:val="20"/>
                <w:szCs w:val="20"/>
                <w:color w:val="auto"/>
              </w:rPr>
            </w:pPr>
            <w:r>
              <w:rPr>
                <w:rFonts w:ascii="Arial" w:cs="Arial" w:eastAsia="Arial" w:hAnsi="Arial"/>
                <w:sz w:val="18"/>
                <w:szCs w:val="18"/>
                <w:color w:val="auto"/>
              </w:rPr>
              <w:t>$ 32,073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46,539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Operating Income, As A Percentage Of</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815"/>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w w:val="87"/>
              </w:rPr>
              <w:t>Non-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gridSpan w:val="3"/>
          </w:tcPr>
          <w:p>
            <w:pPr>
              <w:jc w:val="center"/>
              <w:ind w:right="615"/>
              <w:spacing w:after="0" w:line="149" w:lineRule="exact"/>
              <w:rPr>
                <w:sz w:val="20"/>
                <w:szCs w:val="20"/>
                <w:color w:val="auto"/>
              </w:rPr>
            </w:pPr>
            <w:r>
              <w:rPr>
                <w:rFonts w:ascii="Arial" w:cs="Arial" w:eastAsia="Arial" w:hAnsi="Arial"/>
                <w:sz w:val="14"/>
                <w:szCs w:val="14"/>
                <w:b w:val="1"/>
                <w:bCs w:val="1"/>
                <w:color w:val="auto"/>
                <w:w w:val="92"/>
              </w:rPr>
              <w:t>U.S. GAAP</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U.S. GAAP</w:t>
            </w:r>
          </w:p>
        </w:tc>
        <w:tc>
          <w:tcPr>
            <w:tcW w:w="1260" w:type="dxa"/>
            <w:vAlign w:val="bottom"/>
            <w:gridSpan w:val="2"/>
          </w:tcPr>
          <w:p>
            <w:pPr>
              <w:jc w:val="center"/>
              <w:ind w:right="512"/>
              <w:spacing w:after="0" w:line="149" w:lineRule="exact"/>
              <w:rPr>
                <w:sz w:val="20"/>
                <w:szCs w:val="20"/>
                <w:color w:val="auto"/>
              </w:rPr>
            </w:pPr>
            <w:r>
              <w:rPr>
                <w:rFonts w:ascii="Arial" w:cs="Arial" w:eastAsia="Arial" w:hAnsi="Arial"/>
                <w:sz w:val="14"/>
                <w:szCs w:val="14"/>
                <w:b w:val="1"/>
                <w:bCs w:val="1"/>
                <w:color w:val="auto"/>
                <w:w w:val="89"/>
              </w:rPr>
              <w:t>Impact of</w:t>
            </w:r>
          </w:p>
        </w:tc>
        <w:tc>
          <w:tcPr>
            <w:tcW w:w="1380" w:type="dxa"/>
            <w:vAlign w:val="bottom"/>
            <w:gridSpan w:val="3"/>
          </w:tcPr>
          <w:p>
            <w:pPr>
              <w:jc w:val="center"/>
              <w:ind w:right="635"/>
              <w:spacing w:after="0" w:line="149" w:lineRule="exact"/>
              <w:rPr>
                <w:sz w:val="20"/>
                <w:szCs w:val="20"/>
                <w:color w:val="auto"/>
              </w:rPr>
            </w:pPr>
            <w:r>
              <w:rPr>
                <w:rFonts w:ascii="Arial" w:cs="Arial" w:eastAsia="Arial" w:hAnsi="Arial"/>
                <w:sz w:val="14"/>
                <w:szCs w:val="14"/>
                <w:b w:val="1"/>
                <w:bCs w:val="1"/>
                <w:color w:val="auto"/>
                <w:w w:val="89"/>
              </w:rPr>
              <w:t>Excluding</w:t>
            </w: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U.S. GAAP</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77"/>
              </w:rPr>
              <w:t>As</w:t>
            </w:r>
          </w:p>
        </w:tc>
        <w:tc>
          <w:tcPr>
            <w:tcW w:w="1260" w:type="dxa"/>
            <w:vAlign w:val="bottom"/>
            <w:gridSpan w:val="2"/>
          </w:tcPr>
          <w:p>
            <w:pPr>
              <w:jc w:val="center"/>
              <w:ind w:right="532"/>
              <w:spacing w:after="0" w:line="149" w:lineRule="exact"/>
              <w:rPr>
                <w:sz w:val="20"/>
                <w:szCs w:val="20"/>
                <w:color w:val="auto"/>
              </w:rPr>
            </w:pPr>
            <w:r>
              <w:rPr>
                <w:rFonts w:ascii="Arial" w:cs="Arial" w:eastAsia="Arial" w:hAnsi="Arial"/>
                <w:sz w:val="14"/>
                <w:szCs w:val="14"/>
                <w:b w:val="1"/>
                <w:bCs w:val="1"/>
                <w:color w:val="auto"/>
                <w:w w:val="85"/>
              </w:rPr>
              <w:t>Special</w:t>
            </w:r>
          </w:p>
        </w:tc>
        <w:tc>
          <w:tcPr>
            <w:tcW w:w="80" w:type="dxa"/>
            <w:vAlign w:val="bottom"/>
          </w:tcPr>
          <w:p>
            <w:pPr>
              <w:spacing w:after="0"/>
              <w:rPr>
                <w:sz w:val="12"/>
                <w:szCs w:val="12"/>
                <w:color w:val="auto"/>
              </w:rPr>
            </w:pPr>
          </w:p>
        </w:tc>
        <w:tc>
          <w:tcPr>
            <w:tcW w:w="1300" w:type="dxa"/>
            <w:vAlign w:val="bottom"/>
            <w:gridSpan w:val="2"/>
          </w:tcPr>
          <w:p>
            <w:pPr>
              <w:jc w:val="center"/>
              <w:ind w:right="715"/>
              <w:spacing w:after="0" w:line="149" w:lineRule="exact"/>
              <w:rPr>
                <w:sz w:val="20"/>
                <w:szCs w:val="20"/>
                <w:color w:val="auto"/>
              </w:rPr>
            </w:pPr>
            <w:r>
              <w:rPr>
                <w:rFonts w:ascii="Arial" w:cs="Arial" w:eastAsia="Arial" w:hAnsi="Arial"/>
                <w:sz w:val="14"/>
                <w:szCs w:val="14"/>
                <w:b w:val="1"/>
                <w:bCs w:val="1"/>
                <w:color w:val="auto"/>
                <w:w w:val="81"/>
              </w:rPr>
              <w:t>Special</w:t>
            </w: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7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Item (a)</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Item (b)</w:t>
            </w:r>
          </w:p>
        </w:tc>
        <w:tc>
          <w:tcPr>
            <w:tcW w:w="6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40" w:type="dxa"/>
            <w:vAlign w:val="bottom"/>
            <w:gridSpan w:val="3"/>
          </w:tcPr>
          <w:p>
            <w:pPr>
              <w:jc w:val="right"/>
              <w:ind w:right="484"/>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293,411</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$ 293,411</w:t>
            </w:r>
          </w:p>
        </w:tc>
        <w:tc>
          <w:tcPr>
            <w:tcW w:w="6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$231,329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180,067</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180,067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154,160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40,991</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40,991</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4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514,469</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514,469</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415,001</w:t>
            </w:r>
          </w:p>
        </w:tc>
        <w:tc>
          <w:tcPr>
            <w:tcW w:w="0" w:type="dxa"/>
            <w:vAlign w:val="bottom"/>
          </w:tcPr>
          <w:p>
            <w:pPr>
              <w:spacing w:after="0"/>
              <w:rPr>
                <w:sz w:val="1"/>
                <w:szCs w:val="1"/>
                <w:color w:val="auto"/>
              </w:rPr>
            </w:pPr>
          </w:p>
        </w:tc>
      </w:tr>
      <w:tr>
        <w:trPr>
          <w:trHeight w:val="218"/>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(c)</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451,700</w:t>
            </w:r>
          </w:p>
        </w:tc>
        <w:tc>
          <w:tcPr>
            <w:tcW w:w="7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$ 19,571</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432,129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383,106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62,769</w:t>
            </w:r>
          </w:p>
        </w:tc>
        <w:tc>
          <w:tcPr>
            <w:tcW w:w="7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(19,571)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$ 82,340</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31,895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As A Percentage Of</w:t>
            </w:r>
          </w:p>
        </w:tc>
        <w:tc>
          <w:tcPr>
            <w:tcW w:w="6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2620" w:type="dxa"/>
            <w:vAlign w:val="bottom"/>
            <w:gridSpan w:val="2"/>
            <w:shd w:val="clear" w:color="auto" w:fill="CCEEFF"/>
          </w:tcPr>
          <w:p>
            <w:pPr>
              <w:jc w:val="right"/>
              <w:ind w:right="1800"/>
              <w:spacing w:after="0"/>
              <w:rPr>
                <w:sz w:val="20"/>
                <w:szCs w:val="20"/>
                <w:color w:val="auto"/>
              </w:rPr>
            </w:pPr>
            <w:r>
              <w:rPr>
                <w:rFonts w:ascii="Arial" w:cs="Arial" w:eastAsia="Arial" w:hAnsi="Arial"/>
                <w:sz w:val="18"/>
                <w:szCs w:val="18"/>
                <w:color w:val="auto"/>
              </w:rPr>
              <w:t>12%</w:t>
            </w:r>
          </w:p>
        </w:tc>
        <w:tc>
          <w:tcPr>
            <w:tcW w:w="116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11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82"/>
              </w:rPr>
              <w:t>As of June 30,</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3"/>
              </w:rPr>
              <w:t>2009</w:t>
            </w: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(d):</w:t>
            </w:r>
          </w:p>
        </w:tc>
        <w:tc>
          <w:tcPr>
            <w:tcW w:w="6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6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671</w:t>
            </w:r>
          </w:p>
        </w:tc>
      </w:tr>
      <w:tr>
        <w:trPr>
          <w:trHeight w:val="216"/>
        </w:trPr>
        <w:tc>
          <w:tcPr>
            <w:tcW w:w="6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6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2"/>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1,035</w:t>
            </w: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Financial Advisory segment (see Note 20 of Notes to Condensed Consolidated Financial Statements).</w:t>
      </w: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6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88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11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Number of Clients:</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With Fees Greater than $1 million</w:t>
            </w: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1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Number of M&amp;A Transactions Completed Greater than $1 billion (a)</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Financial as of July 9, 2010.</w:t>
      </w:r>
    </w:p>
    <w:p>
      <w:pPr>
        <w:spacing w:after="0" w:line="15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The offices that generate Financial Advisory net revenue are located in the U.S., Europe (principally in the U.K., France, Italy, Spain and Germany) and the rest of the world (principally in Australia).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42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Six Months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w w:val="85"/>
              </w:rPr>
              <w:t>Ended June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87"/>
              </w:rPr>
              <w:t>Ended 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82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40" w:firstLine="456"/>
        <w:spacing w:after="0" w:line="316" w:lineRule="auto"/>
        <w:rPr>
          <w:sz w:val="20"/>
          <w:szCs w:val="20"/>
          <w:color w:val="auto"/>
        </w:rPr>
      </w:pPr>
      <w:r>
        <w:rPr>
          <w:rFonts w:ascii="Arial" w:cs="Arial" w:eastAsia="Arial" w:hAnsi="Arial"/>
          <w:sz w:val="15"/>
          <w:szCs w:val="15"/>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further periods. As reflected in the table of operating results of the Financial Advisory segment above, the portion of the 2010 special item attributable to the Financial Advisory segment had a significant impact on the segment’s reported operating results for the six month period ended June 30, 2010. Lazard management believes that comparisons between periods are most meaningful after excluding the impact of such item.</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2010 versus June 30, 2009</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Financial Advisory net revenue decreased $6 million, or 2%, as compared to the 2009 period, with increases in M&amp;A and Strategic Advisory revenue of $11 million, or 8%, being offset by decreases in Restructuring revenue of $13 million, or 14%, and Capital Markets and Other Advisory net revenue of $4 million, or 15%.</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increase in M&amp;A and Strategic Advisory revenue was principally due to higher average fees per M&amp;A and Strategic Advisory assignment. Our major clients, which in the aggregate represented a significant portion of our M&amp;A and Strategic Advisory revenue for the second quarter of 2010, included the Al Fayed Family Trust, AREVA, AXA Private Equity, Cisco Systems, Continental Airlines, Cote d’Ivoire, Newcrest Mining, OSI Pharmaceuticals, Qwest Communications International and Royal Bank of Scotland Group.</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such as retiree health care obligations. The decrease in Restructuring revenue was principally driven by a decrease in retainer fees, partially offset by an increase in success fees. The decline in retainer fees is related to a lower number of active deals versus that in the 2009 period, consistent with the industry trend previously described. Notable assignments completed in the second quarter of 2010 included Citadel Broadcasting Group, Cooper Standard Automotive, Gala Coral Group, Grupo Reyal Urbis and Smurfit Stone Container. Several of these assignments that were completed in the second quarter of 2010 began in the first half of 2009.</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decrease in Capital Markets and Other Advisory net revenue principally reflected a decrease in underwriting fees from public offerings. Such decrease was partially offset by increased revenue in our Private Fund Advisory Group resulting from an increase in the number and value of fund closings.</w:t>
      </w:r>
    </w:p>
    <w:p>
      <w:pPr>
        <w:spacing w:after="0" w:line="72"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Operating expenses increased $8 million, or 4%, as compared to the 2009 period. Contributing to the increase were higher costs related to travel and other business development expenses, and technology expenses.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Financial Advisory operating income was $32 million, a decrease of $14 million, as compared to the 2009 period, and represented 13% of segment net revenues in the 2010 period as compared to 18% in the 2009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2010 versus June 30, 2009</w:t>
      </w:r>
    </w:p>
    <w:p>
      <w:pPr>
        <w:spacing w:after="0" w:line="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Financial Advisory net revenue increased approximately $99 million, or 24%, as compared to the 2009 period, reflecting increases in M&amp;A and Strategic Advisory revenue of $62 million, or 27%, Restructuring revenue of $26 million, or 17%, and Capital Markets and Other Advisory net revenue of $11 million, or 39%.</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increase in M&amp;A and Strategic Advisory revenue was principally due to an increase in completed transactions in which we were engaged and higher average fees per M&amp;A and Strategic Advisory assignment.</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increase in Restructuring revenue was principally driven by an increase in success fees, with such increase more than offsetting a decline in retainer fees earned. The decline in retainer fees is related to a lower number of active assignments in the six months of 2010 versus that in the 2009 period, consistent with the industry trend previously described.</w:t>
      </w:r>
    </w:p>
    <w:p>
      <w:pPr>
        <w:spacing w:after="0" w:line="12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increase in Capital Markets and Other Advisory net revenue principally reflected increased revenue in our Private Fund Advisory Group, resulting from an increase in the number and value of fund closings, and was partially offset by decreases in underwriting fees from public offerings.</w:t>
      </w:r>
    </w:p>
    <w:p>
      <w:pPr>
        <w:spacing w:after="0" w:line="72"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Operating expenses increased $69 million, or 18%, as compared to the 2009 period. Excluding the impact of the portion of the 2010 special item attributable to the Financial Advisory segment, operating expenses increased $49 million, or 13%. Contributing to the increase was a higher provision for discretionary compensation related to</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operating revenue, and higher costs related to travel and other business development expenses and technology expenses. During the 2010 period, the Company has grown its Financial Advisory compensation expense at a slower rate than our corresponding segment revenue, which is consistent with our previously announced goal as described above.</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Financial Advisory operating income was $63 million, an increase of $31 million, as compared to the 2009 period, and represented 12% of segment net revenues in the 2010 period. Excluding the impact of the portion of the 2010 special item attributable to the Financial Advisory segment, operating income in the 2010 period increased $50 million, and represented 16% of segment net revenues, as compared to 8% in the 2009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7"/>
              </w:rPr>
              <w:t>As of</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2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r>
      <w:tr>
        <w:trPr>
          <w:trHeight w:val="161"/>
        </w:trPr>
        <w:tc>
          <w:tcPr>
            <w:tcW w:w="6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gridSpan w:val="4"/>
          </w:tcPr>
          <w:p>
            <w:pPr>
              <w:jc w:val="right"/>
              <w:ind w:right="494"/>
              <w:spacing w:after="0" w:line="142" w:lineRule="exact"/>
              <w:rPr>
                <w:sz w:val="20"/>
                <w:szCs w:val="20"/>
                <w:color w:val="auto"/>
              </w:rPr>
            </w:pPr>
            <w:r>
              <w:rPr>
                <w:rFonts w:ascii="Arial" w:cs="Arial" w:eastAsia="Arial" w:hAnsi="Arial"/>
                <w:sz w:val="14"/>
                <w:szCs w:val="14"/>
                <w:b w:val="1"/>
                <w:bCs w:val="1"/>
                <w:color w:val="auto"/>
                <w:w w:val="83"/>
              </w:rPr>
              <w:t>in millions)</w:t>
            </w:r>
          </w:p>
        </w:tc>
        <w:tc>
          <w:tcPr>
            <w:tcW w:w="2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International Equities</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26,562</w:t>
            </w: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32,268</w:t>
            </w:r>
          </w:p>
        </w:tc>
        <w:tc>
          <w:tcPr>
            <w:tcW w:w="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58,332</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U.S. Equities</w:t>
            </w: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16,003</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3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102,666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20" w:type="dxa"/>
            <w:vAlign w:val="bottom"/>
          </w:tcPr>
          <w:p>
            <w:pPr>
              <w:spacing w:after="0"/>
              <w:rPr>
                <w:sz w:val="18"/>
                <w:szCs w:val="18"/>
                <w:color w:val="auto"/>
              </w:rPr>
            </w:pPr>
          </w:p>
        </w:tc>
      </w:tr>
      <w:tr>
        <w:trPr>
          <w:trHeight w:val="221"/>
        </w:trPr>
        <w:tc>
          <w:tcPr>
            <w:tcW w:w="620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10,720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13,763</w:t>
            </w:r>
          </w:p>
        </w:tc>
      </w:tr>
      <w:tr>
        <w:trPr>
          <w:trHeight w:val="21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U.S. Fixed Income</w:t>
            </w: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3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20" w:type="dxa"/>
            <w:vAlign w:val="bottom"/>
          </w:tcPr>
          <w:p>
            <w:pPr>
              <w:spacing w:after="0"/>
              <w:rPr>
                <w:sz w:val="18"/>
                <w:szCs w:val="18"/>
                <w:color w:val="auto"/>
              </w:rPr>
            </w:pPr>
          </w:p>
        </w:tc>
      </w:tr>
      <w:tr>
        <w:trPr>
          <w:trHeight w:val="221"/>
        </w:trPr>
        <w:tc>
          <w:tcPr>
            <w:tcW w:w="620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4,336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3,936</w:t>
            </w:r>
          </w:p>
        </w:tc>
      </w:tr>
      <w:tr>
        <w:trPr>
          <w:trHeight w:val="21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Cash Management</w:t>
            </w: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3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123,483</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129,543</w:t>
            </w:r>
          </w:p>
        </w:tc>
        <w:tc>
          <w:tcPr>
            <w:tcW w:w="2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2010 and 2009 periods is set forth below. Average AUM is based on an average of quarterly ending balances for the respective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Three Months Ended</w:t>
            </w:r>
          </w:p>
        </w:tc>
        <w:tc>
          <w:tcPr>
            <w:tcW w:w="1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1220" w:type="dxa"/>
            <w:vAlign w:val="bottom"/>
            <w:gridSpan w:val="4"/>
          </w:tcPr>
          <w:p>
            <w:pPr>
              <w:jc w:val="center"/>
              <w:ind w:left="427"/>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r>
      <w:tr>
        <w:trPr>
          <w:trHeight w:val="142"/>
        </w:trPr>
        <w:tc>
          <w:tcPr>
            <w:tcW w:w="4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ind w:left="440"/>
              <w:spacing w:after="0" w:line="142" w:lineRule="exact"/>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4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$ 129,227</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$ 89,551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$ 129,333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90,071</w:t>
            </w:r>
          </w:p>
        </w:tc>
      </w:tr>
      <w:tr>
        <w:trPr>
          <w:trHeight w:val="20"/>
        </w:trPr>
        <w:tc>
          <w:tcPr>
            <w:tcW w:w="4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Total AUM at June 30, 2010 decreased $6 billion, or 5%, as compared to that at December 31, 2009. Average AUM for both the three month and six month periods in 2010 was 44% higher than the average AUM for the corresponding 2009 periods, principally the result of market appreciation (which was generally consistent with the industry as a whole) for the last nine months of 2009 and, to a lesser extent, the first three months of 2010, and net inflows occurring over the last twelve month period. International, Global and U.S. equities represented 22%, 48% and 13% of total AUM at June 30, 2010, respectively, versus 25%, 45% and 12% of total AUM at December 31, 2009, respectively.</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June 30, 2010 and December 31, 2009, approximately 89% of our AUM was managed on behalf of institutional clients, including corporations, labor unions, public pension funds, insurance companies and banks, and through sub-advisory relationships, mutual fund sponsors, broker-dealers and registered advisors and, as of both such dates, 11% of our AUM was managed on behalf of individual client relationships, which are principally with family offices and high-net worth individuals.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As of June 30, 2010, AUM denominated in foreign currencies represented approximately 42% of our total AUM, as compared to 45% at December 31, 2009. Foreign denominated AUM declines in value with the strengthening of the U.S. dollar and increases in value as the U.S. dollar weakens.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2010 and 2009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70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6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4"/>
          </w:tcPr>
          <w:p>
            <w:pPr>
              <w:jc w:val="right"/>
              <w:ind w:right="900"/>
              <w:spacing w:after="0" w:line="142" w:lineRule="exact"/>
              <w:rPr>
                <w:sz w:val="20"/>
                <w:szCs w:val="20"/>
                <w:color w:val="auto"/>
              </w:rPr>
            </w:pPr>
            <w:r>
              <w:rPr>
                <w:rFonts w:ascii="Arial" w:cs="Arial" w:eastAsia="Arial" w:hAnsi="Arial"/>
                <w:sz w:val="14"/>
                <w:szCs w:val="14"/>
                <w:b w:val="1"/>
                <w:bCs w:val="1"/>
                <w:color w:val="auto"/>
              </w:rPr>
              <w:t>($ 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 - Beginning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$134,972</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$81,084</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$129,543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$91,109</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Net Flows(a)</w:t>
            </w:r>
          </w:p>
        </w:tc>
        <w:tc>
          <w:tcPr>
            <w:tcW w:w="660" w:type="dxa"/>
            <w:vAlign w:val="bottom"/>
          </w:tcPr>
          <w:p>
            <w:pPr>
              <w:jc w:val="right"/>
              <w:spacing w:after="0"/>
              <w:rPr>
                <w:sz w:val="20"/>
                <w:szCs w:val="20"/>
                <w:color w:val="auto"/>
              </w:rPr>
            </w:pPr>
            <w:r>
              <w:rPr>
                <w:rFonts w:ascii="Arial" w:cs="Arial" w:eastAsia="Arial" w:hAnsi="Arial"/>
                <w:sz w:val="18"/>
                <w:szCs w:val="18"/>
                <w:color w:val="auto"/>
              </w:rPr>
              <w:t>2,064</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5,031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(13,553)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(11,091)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AUM - End of Period</w:t>
            </w: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123,483</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98,020</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123,483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98,020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inflows of $9,275 and $5,748 and outflows of $7,211 and $5,395 for the three month periods in 2010 and 2009, respectively, and inflows of $18,281 and $9,289 and outflows of $13,250 and $11,382 for the six month periods in 2010 and 2009, respectively.</w:t>
      </w:r>
    </w:p>
    <w:p>
      <w:pPr>
        <w:spacing w:after="0" w:line="7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Inflows in the first half of 2010 were principally in Global Equity and, to a lesser extent, U.S. Equity products, due to increased investments in existing accounts as well as new accounts gained. Outflows in the period occurred most significantly in Global and International Equity and Fixed Income products.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26, 2010, AUM was $132.8 billion, a $9.3 billion increase since June 30, 2010. The change in AUM was due to market appreciation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$8.8 billion and net inflows of $0.5 billion. Market appreciation was approximately 7% of AUM since June 30, 2010, which was generally consistent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global market indices during that period.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Asset Management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78"/>
              </w:rPr>
              <w:t>in thousands)</w:t>
            </w:r>
          </w:p>
        </w:tc>
        <w:tc>
          <w:tcPr>
            <w:tcW w:w="6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169,389</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186,952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131,286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Noncontrolling Interest Revenue</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189,414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131,543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Expenses (c)</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136,886</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103,973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52,528</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gridSpan w:val="2"/>
            <w:vMerge w:val="continue"/>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580" w:type="dxa"/>
            <w:vAlign w:val="bottom"/>
            <w:vMerge w:val="restart"/>
          </w:tcPr>
          <w:p>
            <w:pPr>
              <w:jc w:val="right"/>
              <w:ind w:right="3352"/>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7"/>
              </w:rPr>
              <w:t>Non-</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Impact of</w:t>
            </w:r>
          </w:p>
        </w:tc>
        <w:tc>
          <w:tcPr>
            <w:tcW w:w="1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U.S. GAAP</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U.S. GAAP</w:t>
            </w:r>
          </w:p>
        </w:tc>
        <w:tc>
          <w:tcPr>
            <w:tcW w:w="78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Special</w:t>
            </w:r>
          </w:p>
        </w:tc>
        <w:tc>
          <w:tcPr>
            <w:tcW w:w="1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Excluding</w:t>
            </w:r>
          </w:p>
        </w:tc>
        <w:tc>
          <w:tcPr>
            <w:tcW w:w="38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U.S. GAAP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As Reported</w:t>
            </w:r>
          </w:p>
        </w:tc>
        <w:tc>
          <w:tcPr>
            <w:tcW w:w="78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Item (a)</w:t>
            </w:r>
          </w:p>
        </w:tc>
        <w:tc>
          <w:tcPr>
            <w:tcW w:w="6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Special Item (b)</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As Reported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gridSpan w:val="3"/>
          </w:tcPr>
          <w:p>
            <w:pPr>
              <w:jc w:val="right"/>
              <w:ind w:right="538"/>
              <w:spacing w:after="0" w:line="155" w:lineRule="exact"/>
              <w:rPr>
                <w:sz w:val="20"/>
                <w:szCs w:val="20"/>
                <w:color w:val="auto"/>
              </w:rPr>
            </w:pPr>
            <w:r>
              <w:rPr>
                <w:rFonts w:ascii="Arial" w:cs="Arial" w:eastAsia="Arial" w:hAnsi="Arial"/>
                <w:sz w:val="14"/>
                <w:szCs w:val="14"/>
                <w:b w:val="1"/>
                <w:bCs w:val="1"/>
                <w:color w:val="auto"/>
                <w:w w:val="88"/>
              </w:rPr>
              <w:t>($ in thousands)</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$ 331,185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331,185</w:t>
            </w:r>
          </w:p>
        </w:tc>
        <w:tc>
          <w:tcPr>
            <w:tcW w:w="38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200,623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26,422</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370,424</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233,879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Noncontrolling Interest Revenue</w:t>
            </w:r>
          </w:p>
        </w:tc>
        <w:tc>
          <w:tcPr>
            <w:tcW w:w="720" w:type="dxa"/>
            <w:vAlign w:val="bottom"/>
          </w:tcPr>
          <w:p>
            <w:pPr>
              <w:jc w:val="right"/>
              <w:spacing w:after="0"/>
              <w:rPr>
                <w:sz w:val="20"/>
                <w:szCs w:val="20"/>
                <w:color w:val="auto"/>
              </w:rPr>
            </w:pPr>
            <w:r>
              <w:rPr>
                <w:rFonts w:ascii="Arial" w:cs="Arial" w:eastAsia="Arial" w:hAnsi="Arial"/>
                <w:sz w:val="18"/>
                <w:szCs w:val="18"/>
                <w:color w:val="auto"/>
              </w:rPr>
              <w:t>6,743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6,743</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377,167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377,167</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233,066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Expenses (c)</w:t>
            </w:r>
          </w:p>
        </w:tc>
        <w:tc>
          <w:tcPr>
            <w:tcW w:w="720" w:type="dxa"/>
            <w:vAlign w:val="bottom"/>
          </w:tcPr>
          <w:p>
            <w:pPr>
              <w:jc w:val="right"/>
              <w:spacing w:after="0"/>
              <w:rPr>
                <w:sz w:val="20"/>
                <w:szCs w:val="20"/>
                <w:color w:val="auto"/>
              </w:rPr>
            </w:pPr>
            <w:r>
              <w:rPr>
                <w:rFonts w:ascii="Arial" w:cs="Arial" w:eastAsia="Arial" w:hAnsi="Arial"/>
                <w:sz w:val="18"/>
                <w:szCs w:val="18"/>
                <w:color w:val="auto"/>
              </w:rPr>
              <w:t>266,326</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2,902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263,424</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194,413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$ 110,841</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7"/>
              </w:rPr>
              <w:t>(2,902)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113,743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Income, As A Percentage of Net Revenue</w:t>
            </w:r>
          </w:p>
        </w:tc>
        <w:tc>
          <w:tcPr>
            <w:tcW w:w="2740" w:type="dxa"/>
            <w:vAlign w:val="bottom"/>
            <w:gridSpan w:val="2"/>
          </w:tcPr>
          <w:p>
            <w:pPr>
              <w:jc w:val="right"/>
              <w:ind w:right="1860"/>
              <w:spacing w:after="0"/>
              <w:rPr>
                <w:sz w:val="20"/>
                <w:szCs w:val="20"/>
                <w:color w:val="auto"/>
              </w:rPr>
            </w:pPr>
            <w:r>
              <w:rPr>
                <w:rFonts w:ascii="Arial" w:cs="Arial" w:eastAsia="Arial" w:hAnsi="Arial"/>
                <w:sz w:val="18"/>
                <w:szCs w:val="18"/>
                <w:color w:val="auto"/>
              </w:rPr>
              <w:t>29%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r>
      <w:tr>
        <w:trPr>
          <w:trHeight w:val="20"/>
        </w:trPr>
        <w:tc>
          <w:tcPr>
            <w:tcW w:w="1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2"/>
        </w:trPr>
        <w:tc>
          <w:tcPr>
            <w:tcW w:w="1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94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Headcount(d):</w:t>
            </w:r>
          </w:p>
        </w:tc>
        <w:tc>
          <w:tcPr>
            <w:tcW w:w="7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r>
      <w:tr>
        <w:trPr>
          <w:trHeight w:val="216"/>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7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6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 functions</w:t>
            </w:r>
          </w:p>
        </w:tc>
        <w:tc>
          <w:tcPr>
            <w:tcW w:w="7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2"/>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618</w:t>
            </w:r>
          </w:p>
        </w:tc>
      </w:tr>
      <w:tr>
        <w:trPr>
          <w:trHeight w:val="20"/>
        </w:trPr>
        <w:tc>
          <w:tcPr>
            <w:tcW w:w="1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49"/>
        </w:trPr>
        <w:tc>
          <w:tcPr>
            <w:tcW w:w="1160" w:type="dxa"/>
            <w:vAlign w:val="bottom"/>
            <w:tcBorders>
              <w:bottom w:val="single" w:sz="8" w:color="auto"/>
            </w:tcBorders>
          </w:tcPr>
          <w:p>
            <w:pPr>
              <w:spacing w:after="0"/>
              <w:rPr>
                <w:sz w:val="4"/>
                <w:szCs w:val="4"/>
                <w:color w:val="auto"/>
              </w:rPr>
            </w:pPr>
          </w:p>
        </w:tc>
        <w:tc>
          <w:tcPr>
            <w:tcW w:w="4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Asset Management segment (see Note 20 of Notes to Condensed Consolidated Financial Statements).</w:t>
      </w: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right="2540" w:hanging="452"/>
        <w:spacing w:after="0" w:line="468" w:lineRule="auto"/>
        <w:tabs>
          <w:tab w:leader="none" w:pos="4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Excludes headcount related to indirect support functions, with such headcount being included in the Corporate segment. The geographical distribution of Asset Management net revenue is set forth below in percentage terms:</w:t>
      </w:r>
    </w:p>
    <w:tbl>
      <w:tblPr>
        <w:tblLayout w:type="fixed"/>
        <w:tblInd w:w="0" w:type="dxa"/>
        <w:tblCellMar>
          <w:top w:w="0" w:type="dxa"/>
          <w:left w:w="0" w:type="dxa"/>
          <w:bottom w:w="0" w:type="dxa"/>
          <w:right w:w="0" w:type="dxa"/>
        </w:tblCellMar>
      </w:tblPr>
      <w:tr>
        <w:trPr>
          <w:trHeight w:val="150"/>
        </w:trPr>
        <w:tc>
          <w:tcPr>
            <w:tcW w:w="33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740" w:type="dxa"/>
            <w:vAlign w:val="bottom"/>
            <w:gridSpan w:val="5"/>
          </w:tcPr>
          <w:p>
            <w:pPr>
              <w:jc w:val="right"/>
              <w:ind w:right="1180"/>
              <w:spacing w:after="0" w:line="149" w:lineRule="exact"/>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tcPr>
          <w:p>
            <w:pPr>
              <w:jc w:val="right"/>
              <w:ind w:right="154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42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520" w:type="dxa"/>
            <w:vAlign w:val="bottom"/>
            <w:vMerge w:val="restart"/>
          </w:tcPr>
          <w:p>
            <w:pPr>
              <w:jc w:val="right"/>
              <w:ind w:right="932"/>
              <w:spacing w:after="0"/>
              <w:rPr>
                <w:sz w:val="20"/>
                <w:szCs w:val="20"/>
                <w:color w:val="auto"/>
              </w:rPr>
            </w:pPr>
            <w:r>
              <w:rPr>
                <w:rFonts w:ascii="Arial" w:cs="Arial" w:eastAsia="Arial" w:hAnsi="Arial"/>
                <w:sz w:val="18"/>
                <w:szCs w:val="18"/>
                <w:color w:val="auto"/>
              </w:rPr>
              <w:t>58</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 Management segment had a significant impact on the segment’s reported operating results for the six month period ended June 30, 2010. Lazard management believes that comparisons between periods are most meaningful after excluding the impact of such item.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2010 versus June 30, 2009</w:t>
      </w:r>
    </w:p>
    <w:p>
      <w:pPr>
        <w:spacing w:after="0" w:line="7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Asset Management net revenue increased $58 million, or 44%, as compared to the 2009 period. Management fees increased $63 million, or 58%, as compared to 2009, driven by a 44% increase in average AUM. This increase was due largely to the increase in equity market indices as described above, net inflows, and changes in the composition of assets managed. Incentive fees, principally relating to traditional long-only investment strategies, decreased $1 million, or 4%, as compared to the 2009 period. Other revenue decreased $4 million as compared to the 2009 period.</w:t>
      </w:r>
    </w:p>
    <w:p>
      <w:pPr>
        <w:spacing w:after="0" w:line="9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Operating expenses increased $33 million, or 32%, as compared to the 2009 period, principally due to a higher provision for discretionary compensation and profit pools related to the increase in operating revenue, as well as higher fees for outsourced services related to higher AUM and an increase in the amortization of intangible assets relating to the Edgewater acquisition.</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Asset Management operating income was $53 million, an increase of $25 million, as compared to $28 million in the 2009 period, and represented 28% of segment net revenue as compared to 21% in the 2009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2010 versus June 30, 2009</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Asset Management net revenue increased $144 million, or 62%, as compared to the 2009 period. Management fees increased $130 million, or 65%, as compared to 2009, driven by a 44% increase in average AUM. This increase was due largely to the increase in equity market indices, net inflows, and changes in the composition of assets managed. Incentive fees, primarily relating to traditional long-only investment strategies, increased $8 million, or 42%, as compared to the 2009 period. Other revenue increased $6 million as compared to the 2009 period, principally due to increased investment and commission income.</w:t>
      </w:r>
    </w:p>
    <w:p>
      <w:pPr>
        <w:spacing w:after="0" w:line="99"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Operating expenses increased $72 million, or 37%, as compared to the 2009 period. When excluding the 2010 special item, operating expenses increased $69 million, or 35%, principally due to a higher provision for discretionary compensation and profit pools related to the increase in operating revenue, as well as higher fees for outsourced services related to higher AUM and an increase in the amortization of intangible assets relating to the Edgewater acquisition. During the 2010 period, the Company has grown its Asset Management segment compensation expense at a slower rate than our corresponding segment revenue, which is consistent with our previously announced goal as described above.</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Asset Management operating income was $111 million, an increase of $72 million, as compared to $39 million in the 2009 period, and represented 29% of segment net revenue. When excluding the impact of the 2010 special item, operating income increased $75 million, and represented 30% of segment net revenue as compared to 17% for the 2009 period.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10"/>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980" w:type="dxa"/>
            <w:vAlign w:val="bottom"/>
            <w:gridSpan w:val="7"/>
          </w:tcPr>
          <w:p>
            <w:pPr>
              <w:jc w:val="right"/>
              <w:ind w:right="272"/>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  3,971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(23,836)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(25,771)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(21,338)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13,396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(7,942)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(17,550)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(17,163)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1"/>
              </w:rPr>
              <w:t>Six Months Ended June 30,</w:t>
            </w: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1"/>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82"/>
              <w:spacing w:after="0" w:line="129" w:lineRule="exact"/>
              <w:rPr>
                <w:sz w:val="20"/>
                <w:szCs w:val="20"/>
                <w:color w:val="auto"/>
              </w:rPr>
            </w:pPr>
            <w:r>
              <w:rPr>
                <w:rFonts w:ascii="Arial" w:cs="Arial" w:eastAsia="Arial" w:hAnsi="Arial"/>
                <w:sz w:val="14"/>
                <w:szCs w:val="14"/>
                <w:b w:val="1"/>
                <w:bCs w:val="1"/>
                <w:color w:val="auto"/>
                <w:w w:val="87"/>
              </w:rPr>
              <w:t>Non-U.S.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4"/>
          </w:tcPr>
          <w:p>
            <w:pPr>
              <w:jc w:val="center"/>
              <w:ind w:right="72"/>
              <w:spacing w:after="0" w:line="129" w:lineRule="exact"/>
              <w:rPr>
                <w:sz w:val="20"/>
                <w:szCs w:val="20"/>
                <w:color w:val="auto"/>
              </w:rPr>
            </w:pPr>
            <w:r>
              <w:rPr>
                <w:rFonts w:ascii="Arial" w:cs="Arial" w:eastAsia="Arial" w:hAnsi="Arial"/>
                <w:sz w:val="14"/>
                <w:szCs w:val="14"/>
                <w:b w:val="1"/>
                <w:bCs w:val="1"/>
                <w:color w:val="auto"/>
                <w:w w:val="87"/>
              </w:rPr>
              <w:t>Non-U.S.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98"/>
              </w:rPr>
              <w:t>GAAP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U.S. GAAP</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Impact of</w:t>
            </w:r>
          </w:p>
        </w:tc>
        <w:tc>
          <w:tcPr>
            <w:tcW w:w="120" w:type="dxa"/>
            <w:vAlign w:val="bottom"/>
          </w:tcPr>
          <w:p>
            <w:pPr>
              <w:spacing w:after="0"/>
              <w:rPr>
                <w:sz w:val="12"/>
                <w:szCs w:val="12"/>
                <w:color w:val="auto"/>
              </w:rPr>
            </w:pPr>
          </w:p>
        </w:tc>
        <w:tc>
          <w:tcPr>
            <w:tcW w:w="108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9"/>
              </w:rPr>
              <w:t>Excluding</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U.S. GAAP</w:t>
            </w:r>
          </w:p>
        </w:tc>
        <w:tc>
          <w:tcPr>
            <w:tcW w:w="920" w:type="dxa"/>
            <w:vAlign w:val="bottom"/>
            <w:gridSpan w:val="4"/>
          </w:tcPr>
          <w:p>
            <w:pPr>
              <w:jc w:val="center"/>
              <w:ind w:right="212"/>
              <w:spacing w:after="0" w:line="149" w:lineRule="exact"/>
              <w:rPr>
                <w:sz w:val="20"/>
                <w:szCs w:val="20"/>
                <w:color w:val="auto"/>
              </w:rPr>
            </w:pPr>
            <w:r>
              <w:rPr>
                <w:rFonts w:ascii="Arial" w:cs="Arial" w:eastAsia="Arial" w:hAnsi="Arial"/>
                <w:sz w:val="14"/>
                <w:szCs w:val="14"/>
                <w:b w:val="1"/>
                <w:bCs w:val="1"/>
                <w:color w:val="auto"/>
                <w:w w:val="89"/>
              </w:rPr>
              <w:t>Impact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As</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Special</w:t>
            </w:r>
          </w:p>
        </w:tc>
        <w:tc>
          <w:tcPr>
            <w:tcW w:w="120" w:type="dxa"/>
            <w:vAlign w:val="bottom"/>
          </w:tcPr>
          <w:p>
            <w:pPr>
              <w:spacing w:after="0"/>
              <w:rPr>
                <w:sz w:val="12"/>
                <w:szCs w:val="12"/>
                <w:color w:val="auto"/>
              </w:rPr>
            </w:pPr>
          </w:p>
        </w:tc>
        <w:tc>
          <w:tcPr>
            <w:tcW w:w="108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1"/>
              </w:rPr>
              <w:t>Special</w:t>
            </w: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7"/>
              </w:rPr>
              <w:t>As</w:t>
            </w:r>
          </w:p>
        </w:tc>
        <w:tc>
          <w:tcPr>
            <w:tcW w:w="920" w:type="dxa"/>
            <w:vAlign w:val="bottom"/>
            <w:gridSpan w:val="4"/>
          </w:tcPr>
          <w:p>
            <w:pPr>
              <w:jc w:val="center"/>
              <w:ind w:right="212"/>
              <w:spacing w:after="0" w:line="149" w:lineRule="exact"/>
              <w:rPr>
                <w:sz w:val="20"/>
                <w:szCs w:val="20"/>
                <w:color w:val="auto"/>
              </w:rPr>
            </w:pPr>
            <w:r>
              <w:rPr>
                <w:rFonts w:ascii="Arial" w:cs="Arial" w:eastAsia="Arial" w:hAnsi="Arial"/>
                <w:sz w:val="14"/>
                <w:szCs w:val="14"/>
                <w:b w:val="1"/>
                <w:bCs w:val="1"/>
                <w:color w:val="auto"/>
                <w:w w:val="81"/>
              </w:rPr>
              <w:t>Special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Reported</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Items (a)</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Items (b)</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Reported</w:t>
            </w: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Item (a)</w:t>
            </w:r>
          </w:p>
        </w:tc>
        <w:tc>
          <w:tcPr>
            <w:tcW w:w="2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92"/>
              <w:spacing w:after="0"/>
              <w:rPr>
                <w:sz w:val="20"/>
                <w:szCs w:val="20"/>
                <w:color w:val="auto"/>
              </w:rPr>
            </w:pPr>
            <w:r>
              <w:rPr>
                <w:rFonts w:ascii="Arial" w:cs="Arial" w:eastAsia="Arial" w:hAnsi="Arial"/>
                <w:sz w:val="14"/>
                <w:szCs w:val="14"/>
                <w:b w:val="1"/>
                <w:bCs w:val="1"/>
                <w:color w:val="auto"/>
                <w:w w:val="94"/>
              </w:rPr>
              <w:t>Item (b)</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1060" w:type="dxa"/>
            <w:vAlign w:val="bottom"/>
            <w:gridSpan w:val="3"/>
          </w:tcPr>
          <w:p>
            <w:pPr>
              <w:jc w:val="right"/>
              <w:ind w:right="377"/>
              <w:spacing w:after="0" w:line="142" w:lineRule="exact"/>
              <w:rPr>
                <w:sz w:val="20"/>
                <w:szCs w:val="20"/>
                <w:color w:val="auto"/>
              </w:rPr>
            </w:pPr>
            <w:r>
              <w:rPr>
                <w:rFonts w:ascii="Arial" w:cs="Arial" w:eastAsia="Arial" w:hAnsi="Arial"/>
                <w:sz w:val="14"/>
                <w:szCs w:val="14"/>
                <w:b w:val="1"/>
                <w:bCs w:val="1"/>
                <w:color w:val="auto"/>
                <w:w w:val="76"/>
              </w:rPr>
              <w:t>thousands)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8,452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10,197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10,197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(48,536)</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92"/>
              <w:spacing w:after="0"/>
              <w:rPr>
                <w:sz w:val="20"/>
                <w:szCs w:val="20"/>
                <w:color w:val="auto"/>
              </w:rPr>
            </w:pPr>
            <w:r>
              <w:rPr>
                <w:rFonts w:ascii="Arial" w:cs="Arial" w:eastAsia="Arial" w:hAnsi="Arial"/>
                <w:sz w:val="18"/>
                <w:szCs w:val="18"/>
                <w:color w:val="auto"/>
              </w:rPr>
              <w:t>(48,536)</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(52,357)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(52,357)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(40,084)</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(40,084)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(42,160)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(42,160)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18,113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(34,390)</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(34,390)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(24,047)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106,650</w:t>
            </w:r>
          </w:p>
        </w:tc>
        <w:tc>
          <w:tcPr>
            <w:tcW w:w="3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1"/>
              </w:rPr>
              <w:t>$ 89,495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80,324</w:t>
            </w:r>
          </w:p>
        </w:tc>
        <w:tc>
          <w:tcPr>
            <w:tcW w:w="3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$ 62,550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17,774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(141,040)</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(89,495)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(51,545)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(104,371)</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(62,550)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(41,821)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88"/>
              </w:rPr>
              <w:t>As of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w w:val="96"/>
              </w:rPr>
              <w:t>2010</w:t>
            </w:r>
          </w:p>
        </w:tc>
        <w:tc>
          <w:tcPr>
            <w:tcW w:w="6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(c):</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10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633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portion of the 2010 and 2009 special items attributable to the Corporate segment (see Note 20 of Notes to Condensed Consolidated Financial Statements).</w:t>
      </w: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1"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2010 and 2009 special items had a significant impact on the segment’s reported operating results in the six month periods of the respective years. Lazard management believes that comparisons between periods are most meaningful after excluding the impact of such items.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2010 versus June 30, 2009</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Net interest expense decreased $1 million, or 7%, as compared to the 2009 period. Other revenue declined $10 million, or 74%, compared to the 2009 period, principally due to lower investment income and a net reduction in foreign exchange gains.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decreased $8 million, principally relating to a reduction in the amortization of share-based compensation.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2010 versus June 30, 2009</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Net interest expense decreased $2 million, or 5%, as compared to the 2009 period. Other revenue declined $12 million, or 69%, compared to the 2009 period, principally due to lower investment income.</w:t>
      </w:r>
    </w:p>
    <w:p>
      <w:pPr>
        <w:spacing w:after="0" w:line="118"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Operating expenses increased $26 million, substantially all of which related to the net impact of the 2010 and 2009 special items attributable to the Corporate segment. When excluding the impact of the 2010 and 2009 special items, operating expenses were unchanged from the 2009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80" w:type="dxa"/>
            <w:vAlign w:val="bottom"/>
            <w:gridSpan w:val="4"/>
          </w:tcPr>
          <w:p>
            <w:pPr>
              <w:jc w:val="right"/>
              <w:ind w:right="333"/>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w w:val="97"/>
              </w:rPr>
              <w:t>221.8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170.5</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87"/>
              </w:rPr>
              <w:t>(325.8)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(used) by operating activities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(91.4)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w w:val="87"/>
              </w:rPr>
              <w:t>(103.7)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(105.9)</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w w:val="87"/>
              </w:rPr>
              <w:t>(119.9)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8"/>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w w:val="97"/>
              </w:rPr>
              <w:t>917.3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909.7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230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$ 797.4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896.0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90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share-based compensation and interest rate hedge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w w:val="97"/>
              </w:rPr>
              <w:t>207.8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159.0</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(Gain) loss on extinguishment of debt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30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$ 221.8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170.5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 principally relating to accrued compensation and benefits and other liabilities.</w:t>
      </w:r>
    </w:p>
    <w:p>
      <w:pPr>
        <w:spacing w:after="0" w:line="15"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Principally relates to purchases and proceeds from sales and maturities of “available-for-sale” and “held-to maturity” securities, and, in the 2010 period, the disposition of our equity method investment in Sapphire (see Note 4 of Notes to Condensed Consolidated Financial Statements).</w:t>
      </w:r>
    </w:p>
    <w:p>
      <w:pPr>
        <w:spacing w:after="0" w:line="1" w:lineRule="exact"/>
        <w:rPr>
          <w:rFonts w:ascii="Arial" w:cs="Arial" w:eastAsia="Arial" w:hAnsi="Arial"/>
          <w:sz w:val="16"/>
          <w:szCs w:val="16"/>
          <w:color w:val="auto"/>
        </w:rPr>
      </w:pPr>
    </w:p>
    <w:p>
      <w:pPr>
        <w:ind w:left="460" w:right="16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Primarily includes distributions to noncontrolling interest holders, settlements of vested RSUs, Class A common stock dividends, repurchases of shares of Class A common stock and activity related to borrowings.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advances during the year on behalf of our managing directors, which serve to reduce their respective incentive compensation payments. We expect this seasonal pattern of cash flow to continue.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June 30, 2010, Lazard had approximately $1 billion of cash and liquid securities, including $148 million of U.S. government debt and agencies securities and $74 million of investments in equity securities. We maintain lines of credit in excess of anticipated liquidity requirements. As of June 30, 2010, Lazard had approximately $259 million in unused lines of credit available to it, including a $150 million, three-year, senior revolving credit facility with a group of lenders that matures in April 2013 (the “Credit Facility”) (see “—Financing” below) and an aggregate of $89 million of unused lines of credit available to LFB and Edgewater. In addition, LFB has access to the Eurosystem Covered Bond Purchase Program of the Banque de France.</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April 29, 2010, Lazard Group entered into the Credit Facility pursuant to an agreement with the banks parties thereto and Citibank, N.A., as administrative agent. The Credit Facility replaces the prior senior revolving credit facility, which was terminated as a condition to effectiveness of the Credit Facility. The Credit Facility contains customary terms and conditions substantially similar to the prior credit facility. Such terms and conditions include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10-Q and in our Form 10-K. The table below sets forth our corporate indebtedness as of June 30, 2010 and December 31, 2009.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1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6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2009</w:t>
            </w:r>
          </w:p>
        </w:tc>
        <w:tc>
          <w:tcPr>
            <w:tcW w:w="66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(Decrease)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56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528.5</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538.5</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6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3.25%(a)</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6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1,226.9</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1,236.9</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Convertible into shares of Class A common stock at an effective conversion price of $57 per share. One third in principal amount became convertible on and after each of July 1, 2008, July 1, 2009, and July 1, 2010, and no principal amount is convertible after June 30, 2011.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2010 Lazard Group was in compliance with such ratios, with its Consolidated Leverage Ratio being 2.20 to 1.00 and its Consolidated Interest Coverage Ratio being 7.03 to 1.00. In any event, no amounts were outstanding under the Credit Facility as of June 30, 2010.</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June 30, 2010,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10 of Notes to Condensed Consolidated Financial Statements for additional information regarding senior and subordinated debt.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June 30, 2010, total stockholders’ equity was $585 million as compared to $523 million at December 31, 2009, including $154 million and $168 million of noncontrolling interests on the respective dates. The net activity in stockholders’ equity in the six month period ended June 30, 2010 is reflected in the table below (in millions of dollars):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 December 31, 2009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0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 awards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Delivery of Class A common stock for settlement of vested RSUs</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decreases in AOCI (including noncontrolling interests’ portion thereof)(*)</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dividends</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Purchase of Class A common stock</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 net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 – June 30, 2010</w:t>
            </w: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gridSpan w:val="2"/>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negative foreign currency translation adjustments</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Net mark-ups and adjustments for items reclassified to earnings related to securities designated as “available-</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for-sale”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Employee benefit plan adjustments</w:t>
            </w:r>
          </w:p>
        </w:tc>
        <w:tc>
          <w:tcPr>
            <w:tcW w:w="2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(see Note 12 of Notes to Condensed Consolidated Financial Statements for information regarding the share repurchase program). During the six month period ended June 30, 2010 the Company repurchased 712,950 shares of Class A common stock, at an aggregate cost of $23 million. Accordingly, at June 30, 2010, $177 million of the share purchase authorization remained available for future repurchases. In addition to the repurchases of 712,950 shares described above, during the six month period ended June 30, 2010, in order, among other reasons, to help neutralize the dilutive effect of our equity-based incentive compensation plans, Lazard Ltd utilized $45 million to satisfy certain employees’ withholding tax obligations on vested RSUs in lieu of issuing 1,288,331 shares.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19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12"/>
          </w:tcPr>
          <w:p>
            <w:pPr>
              <w:jc w:val="center"/>
              <w:ind w:left="557"/>
              <w:spacing w:after="0"/>
              <w:rPr>
                <w:sz w:val="20"/>
                <w:szCs w:val="20"/>
                <w:color w:val="auto"/>
              </w:rPr>
            </w:pPr>
            <w:r>
              <w:rPr>
                <w:rFonts w:ascii="Arial" w:cs="Arial" w:eastAsia="Arial" w:hAnsi="Arial"/>
                <w:sz w:val="14"/>
                <w:szCs w:val="14"/>
                <w:b w:val="1"/>
                <w:bCs w:val="1"/>
                <w:color w:val="auto"/>
                <w:w w:val="87"/>
              </w:rPr>
              <w:t>Contractual Obligations - Payments Due by Period</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2"/>
              </w:rPr>
              <w:t>Less than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2"/>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6"/>
              </w:rPr>
              <w:t>1-3 Years</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3-5 Years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77"/>
              </w:rPr>
              <w:t>($ in thousands)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1,709,750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160,185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$688,685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Operating Leases (exclusive of $93,061 of sublease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61,715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97,598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58,445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(b)</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90,348</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6,044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4,514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(c)</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Total (d)</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2,219,738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152,721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354,347</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w w:val="85"/>
              </w:rPr>
              <w:t>$751,644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$961,026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1160" w:type="dxa"/>
            <w:vAlign w:val="bottom"/>
            <w:tcBorders>
              <w:bottom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For hedge funds, incentive fees are calculated based on a specified percentage of a fund’s net appreciation, in some cases in excess of established benchmarks. The Company records incentive fees on traditional products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June 30, 2010 and December 31, 2009, the Company had receivables past due of approximately $26 and $14 million, respectively, and its allowance for doubtful accounts was $19 and $12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which could materially impact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7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w:t>
      </w:r>
    </w:p>
    <w:p>
      <w:pPr>
        <w:spacing w:after="0" w:line="10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At June 30, 2010, net investments (representing total investments, net of securities sold, not yet purchased of $3 million), totaled $675 million, or 24% of total assets. Included in this amount is $368 million of debt securities, representing 55% of net investments that primarily consist of fixed and floating rate European corporate bonds, U.S. Government and agencies and UK and French government debt securities, all of which subject Lazard to market risk. Approximately 54%, 15%, 12%, 10% and 9% of such debt securities are invested in the government, financial, consumer, industrial and other sectors, respectively. At June 30, 2010, approximately 87% of the corporate bonds held investment grade ratings, and approximately $17 million of pre-tax unrealized losses are included in AOCI related to such portfolio.</w:t>
      </w:r>
    </w:p>
    <w:p>
      <w:pPr>
        <w:spacing w:after="0" w:line="13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Also included in the $675 million of net investments were $71 million, or 10%, of investments in equities (net of securities sold, not yet purchased) all of which subject the Company to market risk. We employ hedging strategies to reduce the market risk and, in turn, the volatility to earnings. Approximately 57% of such amount represents the Company’s investment in marketable equity securities to seed asset management products and was invested 27%, 25%, 11% and 37% in the consumer, financial, industrial and other sectors, respectively. Asset Management fund investments represent the remaining 43% of total equities. The Company’s asset management fund investments are diversified and may incorporate particular strategies; however, there are no investments in funds with single sector specific strategies.</w:t>
      </w:r>
    </w:p>
    <w:p>
      <w:pPr>
        <w:spacing w:after="0" w:line="13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to the equity securities above, at June 30, 2010 Lazard held $72 million, or 11%,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Private equity investments owned by Lazard of $94 million represent approximately 14% of net investments and 3% of total assets at June 30, 2010 and are comprised of investments in private equity funds and direct private equity interests that are generally not subject to short-term market fluctuation, but may subject Lazard to market/credit risk. Private equity investments primarily include (i) a mezzanine fund, which invests in mezzanine debt of a diversified selection of small- to mid-cap European companies (the “mezzanine fund”); (ii) CP II, a private equity fund targeting significant noncontrolling investments in established public and private companies; and (iii) Lazard Senior Housing Partners LP, which acquires companies and assets in the senior housing, extended-stay hotel and shopping center sectors.</w:t>
      </w:r>
    </w:p>
    <w:p>
      <w:pPr>
        <w:spacing w:after="0" w:line="131"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color w:val="auto"/>
        </w:rPr>
        <w:t>The remaining $70 million, or 10%, of net investments at June 30, 2010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“stockholders’ equity” on the consolidated statements of financial condition.</w:t>
      </w:r>
    </w:p>
    <w:p>
      <w:pPr>
        <w:spacing w:after="0" w:line="75"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At December 31, 2009, net investments (net of securities sold, not yet purchased of $5 million), totaled $803 million, or 25% of total assets. Included in this amount is $461 million of debt securities, representing 57% of net investments that primarily consist of fixed and floating rate European corporate bonds, U.S. Government and agencies and French government debt securities, all of which subject Lazard to market risk. Approximately 45%, 21%, 14%, 12% and 8% of such debt securities are invested in the government, financial, consumer, industrial and other sectors, respectively. At December 31, 2009, approximately 85% of the corporate bonds held investment grade ratings, and approximately $19 million of pre-tax unrealized losses are included in AOCI related to such portfolio.</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Also included in the $803 million of net investments were $77 million, or 10%, of investments in equities (net of securities sold, not yet purchased) all of which subject the Company to market risk. Approximately 60% of such amount represents the Company’s investment in marketable equity securities to seed asset management products and was invested 27%, 25%, 10% and 38% in the consumer, financial, industrial and other sectors, respectively. Asset Management fund investments represent the remaining 40% of total equities. The Company’s asset management fund investments are diversified and may incorporate particular strategies; however, there are no investments in funds with single sector specific strategies.</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to the equity securities above, at December 31, 2009 Lazard held $50 million, or 6%,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Private equity investments owned by Lazard of $103 million represent approximately 13% of net investments and 3% of total assets at December 31, 2009 and are comprised of investments in private equity funds and direct private equity interests that are generally not subject to short-term market fluctuation, but may subject Lazard to market/credit risk. Private equity investments primarily include (i) the mezzanine fund; (ii) CP II; and (iii) Lazard Senior Housing Partners LP.</w:t>
      </w:r>
    </w:p>
    <w:p>
      <w:pPr>
        <w:spacing w:after="0" w:line="75"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remaining $112 million, or 14%, of net investments at December 31, 2009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“stockholders’ equity” on the consolidated statements of financial condition.</w:t>
      </w:r>
    </w:p>
    <w:p>
      <w:pPr>
        <w:spacing w:after="0" w:line="7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decrease in the net investments at June 30, 2010 compared to December 31, 2009 of $128 million primarily relates to the disposition of the Company’s investment in Sapphire Industrials Corp. in January 2010 (see Note 4 of Notes to Condensed Consolidated Financial Statements) and sales and maturities in the corporate bond portfolio.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Most of the Company’s investments in corporate bonds are considered Level 2 investments with such fair value based on observable data, principally broker quotes as provided by external pricing services. All other debt securities at fair value are considered Level 1 investments with such fair value based on unadjusted quoted prices in active markets.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right="60" w:hanging="455"/>
        <w:spacing w:after="0" w:line="256"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8" w:lineRule="exact"/>
        <w:rPr>
          <w:rFonts w:ascii="Arial" w:cs="Arial" w:eastAsia="Arial" w:hAnsi="Arial"/>
          <w:sz w:val="18"/>
          <w:szCs w:val="18"/>
          <w:color w:val="auto"/>
        </w:rPr>
      </w:pPr>
    </w:p>
    <w:p>
      <w:pPr>
        <w:ind w:left="1260" w:right="560" w:hanging="455"/>
        <w:spacing w:after="0" w:line="332" w:lineRule="auto"/>
        <w:tabs>
          <w:tab w:leader="none" w:pos="1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was determined to be the primary beneficiary were consolidated in accordance with current accounting guidance. Those VIEs included company-sponsored venture capital investment vehicles established in connection with Lazard’s compensation plans. In connection with the separation, Lazard Group transferred its general partnership interests in those VIEs to a subsidiary of LFCM Holdings. Lazard Group has determined that it is no longer the primary beneficiary with respect to those VIEs and, as a result, the Company no longer consolidates such VIEs.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“—Investments” above.</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June 30, 2010 and December 31, 2009, derivative contracts related primarily to interest rate swaps, equity and foreign currency exchange rate contracts, and are recorded at fair value. Derivative assets amounted to $6 million and $1 million at June 30, 2010 and December 31, 2009, respectively, and derivative liabilities amounted to $17 million at both respective dates.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six month period ended June 30, 2010:</w:t>
      </w:r>
    </w:p>
    <w:p>
      <w:pPr>
        <w:spacing w:after="0" w:line="18"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LFB’s credit spread risk, as measured by a 100+/– basis point change in credit spreads totaled $(8) million and $9 million, respectively.</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$150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$35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June 30, 2010, total receivables amounted to $623 million, net of an allowance for doubtful accounts of $19 million. As of that date, financial advisory fees and asset management fees, inter-bank deposits, customer and related party receivables comprised 63%, 26%, 10% and 1% of total receivables, respectively. At December 31, 2009, total receivables amounted to $669 million, net of an allowance for doubtful accounts of $12 million. As of that date, financial advisory fees and asset management fees, inter-bank deposits, customer and related party receivables comprised 65%, 22%, 11% and 2% of total receivables, respectively. See also “—Revenue Recognition” above and Note 3 of Notes to Condensed Consolidated Financial Statements for additional information regarding receivables.</w:t>
      </w:r>
    </w:p>
    <w:p>
      <w:pPr>
        <w:spacing w:after="0" w:line="105" w:lineRule="exact"/>
        <w:rPr>
          <w:sz w:val="20"/>
          <w:szCs w:val="20"/>
          <w:color w:val="auto"/>
        </w:rPr>
      </w:pPr>
    </w:p>
    <w:p>
      <w:pPr>
        <w:ind w:right="300" w:firstLine="456"/>
        <w:spacing w:after="0" w:line="318" w:lineRule="auto"/>
        <w:rPr>
          <w:sz w:val="20"/>
          <w:szCs w:val="20"/>
          <w:color w:val="auto"/>
        </w:rPr>
      </w:pPr>
      <w:r>
        <w:rPr>
          <w:rFonts w:ascii="Arial" w:cs="Arial" w:eastAsia="Arial" w:hAnsi="Arial"/>
          <w:sz w:val="15"/>
          <w:szCs w:val="15"/>
          <w:color w:val="auto"/>
        </w:rPr>
        <w:t>Receivables from banks represent those related to LFB’s short-term deposits in the inter-bank market and with the Banque de France. The level of these deposits may be driven by the level of LFB customer and bank-related interest-bearing time and demand deposits (which can fluctuate significantly on a daily basis) and by changes in asset allocation. Historically the risk of loss associated with such deposits is extremely low. The Company closely monitors the creditworthiness of counterparties to minimize its exposure to loss in adverse market conditions. Based on its review of its receivables from banks at June 30, 2010 and December 31, 2009, LFB has determined that an allowance for doubtful accounts related to such receivables from banks was not required.</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June 30, 2010, LFB had no exposure to an individual counterparty that exceeded $28 million (with such amount being fully collateralized), excluding deposits with inter-bank counterparties.</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With respect to activities outside LFB, as of June 30, 2010, the Company’s largest individual counterparty exposure was a Financial Advisory-related fee receivable of $20 million, all of which has been collected subsequent to June 30, 2010.</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significant portion of the Company’s liabilities has fixed interest rates, while its cash and short-term investments generally have floating interest rates. Based on account balances as of June 30, 2010, Lazard estimates that its annual operating income relating to cash and short-term investments and corporate indebtedness would increase by approximately $8 million in the event interest rates were to increase by 1% and decrease by approximately $3 million if rates were to decrease by 1%.</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June 30, 2010, the Company’s cash and cash equivalents totaled $797 million. Approximately 29% of this was invested in short-term interest earning accounts at a number of leading banks throughout the world, or short-term certificates of deposit from such banks. The remaining cash and cash equivalents were invested in highly liquid institutional money market funds, a significant majority of which were invested solely in U.S. government or agency securities, or in institutional money market funds. On a regular basis, management reviews and updates its list of approved depositor banks as well as deposit and investment thresholds.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management, including our Chief Executive Officer and Chief Financial Officer, evaluated the effectiveness of our disclosure controls and procedures pursuant to Rule 13a-15 under the Exchange Act as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8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discussed below, there were no material changes from the risk factors previously disclosed in the Company’s Form 10-K.</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previously disclosed, on December 11, 2009, the U.S. House of Representatives passed The Wall Street Reform and Consumer Protection Act of 2009 (“H.R. 4173”). On May 20, 2010, the U.S. Senate passed the Restoring American Financial Stability Act of 2010 (“S. 3217”). A House-Senate conference committee was established to reconcile the differences between H.R. 4173 and S. 3217. On June 25, 2010, the House-Senate conference committee agreed on a reconciled bill titled the “Dodd-Frank Wall Street Reform and Consumer Protection Act” (the “Dodd-Frank Act”). Congress has enacted the Dodd-Frank Act, and on July, 21, 2010, the President signed the Dodd-Frank Act. We are currently in the process of examining the potential impact of the Dodd-Frank Act on 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64"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On February 1, 2010, the Obama Administration presented its 2011 budget proposals to Congress. The budget proposals included several revenue raisers, including proposals to (i) limit the deduction of certain related party interest; (ii) defer the deduction of interest attributable to foreign source income of foreign subsidiaries; and (iii) repeal the exemption under current law from withholding tax for interest and dividends paid by certain types of U.S. corporations. Each of these proposals would be effective only for taxable years beginning after December 31, 2010. In addition, other members of Congress have proposed legislation that, if enacted, would reclassify certain types of publicly-traded entities as U.S. corporations for tax purposes if the management and control of such entities occurs primarily within the U.S.</w:t>
      </w:r>
    </w:p>
    <w:p>
      <w:pPr>
        <w:spacing w:after="0" w:line="13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proposals. If enacted in their current form, however, some of these proposals may increase Lazard’s effective tax rate during future periods.</w:t>
      </w:r>
    </w:p>
    <w:p>
      <w:pPr>
        <w:spacing w:after="0" w:line="112"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We have potential conflicts of interest with LAZ-MD Holdings and LFCM Holdings, and LAZ-MD Holdings and LFCM Holdings could each act in a way that favors its interests to our detriment.</w:t>
      </w:r>
    </w:p>
    <w:p>
      <w:pPr>
        <w:spacing w:after="0" w:line="11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June 30, 2010, LAZ-MD Holdings held approximately 11.0% of Lazard Ltd’s voting power through Lazard Ltd’s single share of Class B common stock and 11.0% of the outstanding Lazard Group common membership interests. In addition, LAZ-MD Holdings’ board of directors is composed of 3 individuals, all of whom are managing directors or officers of Lazard Ltd or its affiliates. Lazard Group’s board of directors and executive officers are the same as those of Lazard Ltd. The voting and equity ownership of LAZ-MD Holdings and its members, and the service of officers and managing directors of our company as directors of LAZ-MD Holdings, could create conflicts of interest when LAZ-MD Holdings and those directors and officers are faced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 decisions that could have different implications for LAZ-MD Holdings and us, including potential acquisitions of businesses, the issuance or disposition of securities by us, the election of new or additional directors of Lazard Ltd, the payment of dividends by Lazard Ltd and Lazard Group, our relationship with LFCM Holdings and other matters.</w:t>
      </w:r>
    </w:p>
    <w:p>
      <w:pPr>
        <w:spacing w:after="0" w:line="12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Since the members of LAZ-MD Holdings who are parties to the LAZ-MD Holdings stockholders’ agreement are entitled to individually direct their proportionate share of the vote of Lazard Ltd’s Class B common stock on an as-if-exchanged basis and also own and control LFCM Holdings, their control of LAZ-MD Holdings and the vote of the share of Lazard Ltd’s Class B common stock gives rise to potential conflicts between LFCM Holdings and LAZ-MD Holdings, on the one hand, and our company, on the other hand, as discussed below.</w:t>
      </w:r>
    </w:p>
    <w:p>
      <w:pPr>
        <w:spacing w:after="0" w:line="124" w:lineRule="exact"/>
        <w:rPr>
          <w:sz w:val="20"/>
          <w:szCs w:val="20"/>
          <w:color w:val="auto"/>
        </w:rPr>
      </w:pPr>
    </w:p>
    <w:p>
      <w:pPr>
        <w:ind w:right="140" w:firstLine="456"/>
        <w:spacing w:after="0" w:line="378" w:lineRule="auto"/>
        <w:rPr>
          <w:sz w:val="20"/>
          <w:szCs w:val="20"/>
          <w:color w:val="auto"/>
        </w:rPr>
      </w:pPr>
      <w:r>
        <w:rPr>
          <w:rFonts w:ascii="Arial" w:cs="Arial" w:eastAsia="Arial" w:hAnsi="Arial"/>
          <w:sz w:val="15"/>
          <w:szCs w:val="15"/>
          <w:b w:val="1"/>
          <w:bCs w:val="1"/>
          <w:color w:val="auto"/>
        </w:rPr>
        <w:t>If LAZ-MD Holdings were deemed an “investment company” under the Investment Company Act as a result of its ownership of Lazard Ltd, applicable restrictions could require us to alter our organizational structure which could result in additional costs or changes in our business activities.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LAZ-MD Holdings has applied for an order exempting it from most provisions of the Investment Company Act as an “employees’ securities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Rule 6b-1 under the Investment Company Act provides that an employees’ securities company that applies for such an order is exempt from all provisions of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 applicable to investment companies, pending a final SEC determination.</w:t>
      </w:r>
    </w:p>
    <w:p>
      <w:pPr>
        <w:spacing w:after="0" w:line="15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Investment Company Act and the rules thereunder contain detailed prescriptions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Lazard Ltd expects that LAZ-MD Holdings will conduct its operations such that LAZ-MD Holdings will not be subject to regulation as an investment company under the Investment Company Act. However, if anything were to happen which would cause LAZ-MD Holdings to be subject to regulation as an investment company under the Investment Company Act, requirements imposed by the Investment Company Act, including limitations on its or our capital structure, ability to transact business with affiliates (including LAZ-MD Holdings or us, as the case may be) and ability to compensate key employees, could make it impractical for us to continue our business as currently conducted, impair the agreements and arrangements, including the Master Separation Agreement and related agreements and the transactions contemplated by those agreements, between and among Lazard Ltd, Lazard Group, LAZ-MD Holdings and LFCM Holdings or any combination thereof and materially adversely affect our business, financial condition and results of operations.</w:t>
      </w:r>
    </w:p>
    <w:p>
      <w:pPr>
        <w:spacing w:after="0" w:line="1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second quarter of 2010, Lazard Ltd issued 11,427,979 shares of Class A common stock in reliance on Section 4(2) of the Securities Act of 1933 in connection with the exchange of 11,427,979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second quarter of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Total Number</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of Shares</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0" w:type="dxa"/>
            <w:vAlign w:val="bottom"/>
          </w:tcPr>
          <w:p>
            <w:pPr>
              <w:spacing w:after="0"/>
              <w:rPr>
                <w:sz w:val="12"/>
                <w:szCs w:val="12"/>
                <w:color w:val="auto"/>
              </w:rPr>
            </w:pPr>
          </w:p>
        </w:tc>
        <w:tc>
          <w:tcPr>
            <w:tcW w:w="11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Part of</w:t>
            </w:r>
          </w:p>
        </w:tc>
        <w:tc>
          <w:tcPr>
            <w:tcW w:w="80" w:type="dxa"/>
            <w:vAlign w:val="bottom"/>
          </w:tcPr>
          <w:p>
            <w:pPr>
              <w:spacing w:after="0"/>
              <w:rPr>
                <w:sz w:val="12"/>
                <w:szCs w:val="12"/>
                <w:color w:val="auto"/>
              </w:rPr>
            </w:pPr>
          </w:p>
        </w:tc>
        <w:tc>
          <w:tcPr>
            <w:tcW w:w="11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3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Publicly</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w:t>
            </w:r>
          </w:p>
        </w:tc>
        <w:tc>
          <w:tcPr>
            <w:tcW w:w="3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Announced</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3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w:t>
            </w:r>
          </w:p>
        </w:tc>
        <w:tc>
          <w:tcPr>
            <w:tcW w:w="3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Plans or</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1"/>
        </w:trPr>
        <w:tc>
          <w:tcPr>
            <w:tcW w:w="70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3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2"/>
              </w:rPr>
              <w:t>Share</w:t>
            </w:r>
          </w:p>
        </w:tc>
        <w:tc>
          <w:tcPr>
            <w:tcW w:w="3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Programs</w:t>
            </w:r>
          </w:p>
        </w:tc>
        <w:tc>
          <w:tcPr>
            <w:tcW w:w="80" w:type="dxa"/>
            <w:vAlign w:val="bottom"/>
          </w:tcPr>
          <w:p>
            <w:pPr>
              <w:spacing w:after="0"/>
              <w:rPr>
                <w:sz w:val="14"/>
                <w:szCs w:val="14"/>
                <w:color w:val="auto"/>
              </w:rPr>
            </w:pPr>
          </w:p>
        </w:tc>
        <w:tc>
          <w:tcPr>
            <w:tcW w:w="114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April 1, 2010 – April 30, 2010</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199.0 million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44,478</w:t>
            </w:r>
          </w:p>
        </w:tc>
        <w:tc>
          <w:tcPr>
            <w:tcW w:w="8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$ 40.43</w:t>
            </w:r>
          </w:p>
        </w:tc>
        <w:tc>
          <w:tcPr>
            <w:tcW w:w="1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May 1, 2010 – May 31, 2010</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337,200</w:t>
            </w:r>
          </w:p>
        </w:tc>
        <w:tc>
          <w:tcPr>
            <w:tcW w:w="8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$ 32.09</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337,200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110,640</w:t>
            </w:r>
          </w:p>
        </w:tc>
        <w:tc>
          <w:tcPr>
            <w:tcW w:w="8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$ 35.00</w:t>
            </w:r>
          </w:p>
        </w:tc>
        <w:tc>
          <w:tcPr>
            <w:tcW w:w="12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1, 2010 – June 30, 2010</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350,100</w:t>
            </w:r>
          </w:p>
        </w:tc>
        <w:tc>
          <w:tcPr>
            <w:tcW w:w="8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$ 31.22</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350,100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177.3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239,619</w:t>
            </w:r>
          </w:p>
        </w:tc>
        <w:tc>
          <w:tcPr>
            <w:tcW w:w="8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$ 27.66</w:t>
            </w:r>
          </w:p>
        </w:tc>
        <w:tc>
          <w:tcPr>
            <w:tcW w:w="1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687,300</w:t>
            </w:r>
          </w:p>
        </w:tc>
        <w:tc>
          <w:tcPr>
            <w:tcW w:w="8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$ 31.65</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687,300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394,737</w:t>
            </w:r>
          </w:p>
        </w:tc>
        <w:tc>
          <w:tcPr>
            <w:tcW w:w="8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$ 31.16</w:t>
            </w:r>
          </w:p>
        </w:tc>
        <w:tc>
          <w:tcPr>
            <w:tcW w:w="12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60" w:hanging="452"/>
        <w:spacing w:after="0" w:line="283"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January 27, 2010, the Board of Directors of Lazard Ltd authorized, on a cumulative basis, the repurchase of up to $200 million in aggregate cost of Lazard Ltd Class A common stock and Lazard Group common membership interests through December 31, 2011. The share repurchase program will be used primarily to offset a portion of the shares to be issued under Lazard Ltd’s 2005 Plan and 2008 Plan. Purchases under the share repurchase program may be made in the open market or through privately negotiated transactions. Amounts shown in this line item include repurchases of both Class A common stock and Lazard Group common membership interests, and exclude the shares of Class A common stock withheld by the Company to cover estimated income taxes as described below.</w:t>
      </w:r>
    </w:p>
    <w:p>
      <w:pPr>
        <w:spacing w:after="0" w:line="1"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 the terms of the 2005 Plan and the 2008 Plan, upon the vesting of RSUs, shares of Class A common stock may be withheld by the Company to cover estimated income taxes. During the three month period ended June 30, 2010, the Company withheld 394,737 shares to cover estimated taxes upon the vesting of 1,184,149 RSUs.</w:t>
      </w:r>
    </w:p>
    <w:p>
      <w:pPr>
        <w:spacing w:after="0" w:line="1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center"/>
              <w:ind w:right="152"/>
              <w:spacing w:after="0"/>
              <w:rPr>
                <w:sz w:val="20"/>
                <w:szCs w:val="20"/>
                <w:color w:val="auto"/>
              </w:rPr>
            </w:pPr>
            <w:r>
              <w:rPr>
                <w:rFonts w:ascii="Arial" w:cs="Arial" w:eastAsia="Arial" w:hAnsi="Arial"/>
                <w:sz w:val="18"/>
                <w:szCs w:val="18"/>
                <w:b w:val="1"/>
                <w:bCs w:val="1"/>
                <w:color w:val="auto"/>
                <w:w w:val="94"/>
              </w:rPr>
              <w:t>Item 6.</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5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7"/>
              </w:rPr>
              <w:t>2.1</w:t>
            </w:r>
          </w:p>
        </w:tc>
        <w:tc>
          <w:tcPr>
            <w:tcW w:w="10640" w:type="dxa"/>
            <w:vAlign w:val="bottom"/>
          </w:tcPr>
          <w:p>
            <w:pPr>
              <w:ind w:left="480"/>
              <w:spacing w:after="0"/>
              <w:rPr>
                <w:sz w:val="20"/>
                <w:szCs w:val="20"/>
                <w:color w:val="auto"/>
              </w:rPr>
            </w:pPr>
            <w:r>
              <w:rPr>
                <w:rFonts w:ascii="Arial" w:cs="Arial" w:eastAsia="Arial" w:hAnsi="Arial"/>
                <w:sz w:val="18"/>
                <w:szCs w:val="18"/>
                <w:color w:val="auto"/>
                <w:w w:val="94"/>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w w:val="92"/>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7"/>
              </w:rPr>
              <w:t>2.2</w:t>
            </w:r>
          </w:p>
        </w:tc>
        <w:tc>
          <w:tcPr>
            <w:tcW w:w="1064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7"/>
              </w:rPr>
              <w:t>2.3</w:t>
            </w:r>
          </w:p>
        </w:tc>
        <w:tc>
          <w:tcPr>
            <w:tcW w:w="10640" w:type="dxa"/>
            <w:vAlign w:val="bottom"/>
          </w:tcPr>
          <w:p>
            <w:pPr>
              <w:ind w:left="48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Lazard</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w w:val="91"/>
              </w:rPr>
              <w:t>Ltd, Lazard Group LLC and LAZ-MD Holdings LLC (incorporated by reference to Exhibit 2.1 to the Registrant’s Current Report on Form 8-K</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(File No. 001-32492) filed on May 8, 2008).</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7"/>
              </w:rPr>
              <w:t>2.4</w:t>
            </w:r>
          </w:p>
        </w:tc>
        <w:tc>
          <w:tcPr>
            <w:tcW w:w="1064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7"/>
              </w:rPr>
              <w:t>3.1</w:t>
            </w:r>
          </w:p>
        </w:tc>
        <w:tc>
          <w:tcPr>
            <w:tcW w:w="1064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7"/>
              </w:rPr>
              <w:t>3.2</w:t>
            </w:r>
          </w:p>
        </w:tc>
        <w:tc>
          <w:tcPr>
            <w:tcW w:w="10640" w:type="dxa"/>
            <w:vAlign w:val="bottom"/>
          </w:tcPr>
          <w:p>
            <w:pPr>
              <w:ind w:left="480"/>
              <w:spacing w:after="0"/>
              <w:rPr>
                <w:sz w:val="20"/>
                <w:szCs w:val="20"/>
                <w:color w:val="auto"/>
              </w:rPr>
            </w:pPr>
            <w:r>
              <w:rPr>
                <w:rFonts w:ascii="Arial" w:cs="Arial" w:eastAsia="Arial" w:hAnsi="Arial"/>
                <w:sz w:val="18"/>
                <w:szCs w:val="18"/>
                <w:color w:val="auto"/>
                <w:w w:val="93"/>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40" w:type="dxa"/>
            <w:vAlign w:val="bottom"/>
          </w:tcPr>
          <w:p>
            <w:pPr>
              <w:ind w:left="480"/>
              <w:spacing w:after="0"/>
              <w:rPr>
                <w:sz w:val="20"/>
                <w:szCs w:val="20"/>
                <w:color w:val="auto"/>
              </w:rPr>
            </w:pPr>
            <w:r>
              <w:rPr>
                <w:rFonts w:ascii="Arial" w:cs="Arial" w:eastAsia="Arial" w:hAnsi="Arial"/>
                <w:sz w:val="18"/>
                <w:szCs w:val="18"/>
                <w:color w:val="auto"/>
                <w:w w:val="91"/>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640" w:type="dxa"/>
            <w:vAlign w:val="bottom"/>
          </w:tcPr>
          <w:p>
            <w:pPr>
              <w:ind w:left="480"/>
              <w:spacing w:after="0"/>
              <w:rPr>
                <w:sz w:val="20"/>
                <w:szCs w:val="20"/>
                <w:color w:val="auto"/>
              </w:rPr>
            </w:pPr>
            <w:r>
              <w:rPr>
                <w:rFonts w:ascii="Arial" w:cs="Arial" w:eastAsia="Arial" w:hAnsi="Arial"/>
                <w:sz w:val="18"/>
                <w:szCs w:val="18"/>
                <w:color w:val="auto"/>
                <w:w w:val="92"/>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center"/>
              <w:ind w:right="192"/>
              <w:spacing w:after="0"/>
              <w:rPr>
                <w:sz w:val="20"/>
                <w:szCs w:val="20"/>
                <w:color w:val="auto"/>
              </w:rPr>
            </w:pPr>
            <w:r>
              <w:rPr>
                <w:rFonts w:ascii="Arial" w:cs="Arial" w:eastAsia="Arial" w:hAnsi="Arial"/>
                <w:sz w:val="18"/>
                <w:szCs w:val="18"/>
                <w:color w:val="auto"/>
                <w:w w:val="87"/>
              </w:rPr>
              <w:t>3.5</w:t>
            </w:r>
          </w:p>
        </w:tc>
        <w:tc>
          <w:tcPr>
            <w:tcW w:w="10640" w:type="dxa"/>
            <w:vAlign w:val="bottom"/>
          </w:tcPr>
          <w:p>
            <w:pPr>
              <w:ind w:left="480"/>
              <w:spacing w:after="0"/>
              <w:rPr>
                <w:sz w:val="20"/>
                <w:szCs w:val="20"/>
                <w:color w:val="auto"/>
              </w:rPr>
            </w:pPr>
            <w:r>
              <w:rPr>
                <w:rFonts w:ascii="Arial" w:cs="Arial" w:eastAsia="Arial" w:hAnsi="Arial"/>
                <w:sz w:val="18"/>
                <w:szCs w:val="18"/>
                <w:color w:val="auto"/>
                <w:w w:val="94"/>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40" w:type="dxa"/>
            <w:vAlign w:val="bottom"/>
          </w:tcPr>
          <w:p>
            <w:pPr>
              <w:ind w:left="480"/>
              <w:spacing w:after="0"/>
              <w:rPr>
                <w:sz w:val="20"/>
                <w:szCs w:val="20"/>
                <w:color w:val="auto"/>
              </w:rPr>
            </w:pPr>
            <w:r>
              <w:rPr>
                <w:rFonts w:ascii="Arial" w:cs="Arial" w:eastAsia="Arial" w:hAnsi="Arial"/>
                <w:sz w:val="18"/>
                <w:szCs w:val="18"/>
                <w:color w:val="auto"/>
                <w:w w:val="91"/>
              </w:rPr>
              <w:t>Form of Specimen Certificate for Class A common stock (incorporated by reference to Exhibit 4.1 to the Registrant’s Registration Statement</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40" w:type="dxa"/>
            <w:vAlign w:val="bottom"/>
          </w:tcPr>
          <w:p>
            <w:pPr>
              <w:ind w:left="480"/>
              <w:spacing w:after="0"/>
              <w:rPr>
                <w:sz w:val="20"/>
                <w:szCs w:val="20"/>
                <w:color w:val="auto"/>
              </w:rPr>
            </w:pPr>
            <w:r>
              <w:rPr>
                <w:rFonts w:ascii="Arial" w:cs="Arial" w:eastAsia="Arial" w:hAnsi="Arial"/>
                <w:sz w:val="18"/>
                <w:szCs w:val="18"/>
                <w:color w:val="auto"/>
                <w:w w:val="89"/>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40" w:type="dxa"/>
            <w:vAlign w:val="bottom"/>
          </w:tcPr>
          <w:p>
            <w:pPr>
              <w:ind w:left="480"/>
              <w:spacing w:after="0"/>
              <w:rPr>
                <w:sz w:val="20"/>
                <w:szCs w:val="20"/>
                <w:color w:val="auto"/>
              </w:rPr>
            </w:pPr>
            <w:r>
              <w:rPr>
                <w:rFonts w:ascii="Arial" w:cs="Arial" w:eastAsia="Arial" w:hAnsi="Arial"/>
                <w:sz w:val="18"/>
                <w:szCs w:val="18"/>
                <w:color w:val="auto"/>
                <w:w w:val="92"/>
              </w:rPr>
              <w:t>Amended and Restated Third Supplemental Indenture, dated as of May 15, 2008, by and among Lazard Group LLC and The Bank of New</w:t>
            </w:r>
          </w:p>
        </w:tc>
      </w:tr>
      <w:tr>
        <w:trPr>
          <w:trHeight w:val="216"/>
        </w:trPr>
        <w:tc>
          <w:tcPr>
            <w:tcW w:w="780" w:type="dxa"/>
            <w:vAlign w:val="bottom"/>
          </w:tcPr>
          <w:p>
            <w:pPr>
              <w:spacing w:after="0"/>
              <w:rPr>
                <w:sz w:val="18"/>
                <w:szCs w:val="18"/>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w w:val="93"/>
              </w:rPr>
              <w:t>York, as trustee (and incorporated by reference to Exhibit 4.1 to the Registrants’ Current Report on Form 8-K (Commission File No. 333-</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126751) filed on 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4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64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4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 4.3).</w:t>
            </w:r>
          </w:p>
        </w:tc>
      </w:tr>
      <w:tr>
        <w:trPr>
          <w:trHeight w:val="365"/>
        </w:trPr>
        <w:tc>
          <w:tcPr>
            <w:tcW w:w="780" w:type="dxa"/>
            <w:vAlign w:val="bottom"/>
          </w:tcPr>
          <w:p>
            <w:pPr>
              <w:spacing w:after="0"/>
              <w:rPr>
                <w:sz w:val="24"/>
                <w:szCs w:val="24"/>
                <w:color w:val="auto"/>
              </w:rPr>
            </w:pPr>
          </w:p>
        </w:tc>
        <w:tc>
          <w:tcPr>
            <w:tcW w:w="10640" w:type="dxa"/>
            <w:vAlign w:val="bottom"/>
          </w:tcPr>
          <w:p>
            <w:pPr>
              <w:ind w:left="48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7,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6"/>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Group LLC and LFCM Holdings LLC (incorporated by reference to Exhibit 10.12 to Registrant’s Annual Report (File No. 001-32492) on Form</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10-K filed on March 2,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65"/>
        </w:trPr>
        <w:tc>
          <w:tcPr>
            <w:tcW w:w="840" w:type="dxa"/>
            <w:vAlign w:val="bottom"/>
          </w:tcPr>
          <w:p>
            <w:pPr>
              <w:spacing w:after="0"/>
              <w:rPr>
                <w:sz w:val="24"/>
                <w:szCs w:val="24"/>
                <w:color w:val="auto"/>
              </w:rPr>
            </w:pPr>
          </w:p>
        </w:tc>
        <w:tc>
          <w:tcPr>
            <w:tcW w:w="10540" w:type="dxa"/>
            <w:vAlign w:val="bottom"/>
          </w:tcPr>
          <w:p>
            <w:pPr>
              <w:ind w:left="478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Schedule I for, each of Michael J. Castellano, Scott D. Hoffman and Charles G. Ward III (incorporated by reference to Exhibit 10.26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May 4, 2005, for each of Michael J. Castellano, Scott D. Hoffman and Charles G. Ward, III (incorporated by reference to Exhibit 10.2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May 8,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26, 2009,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of May 4, 2005 (as amended from time to time), for Michael J. Castellano (incorporated by reference to Exhibit 10.26 to Registrant’s Annual</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Form of Agreements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Registrant’s Annual Report (File No. 001-32492) on Form 10-K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October 4, 2004, with Alexander F. Stern (incorporated by reference to Exhibit 10.2 to the Registrant’s Current Report on Form 8-K (File No.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65"/>
        </w:trPr>
        <w:tc>
          <w:tcPr>
            <w:tcW w:w="88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10.28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Letter Agreement, dated as of May 10, 2005, with Bruce Wasserstein family trusts (incorporated by reference to Exhibit 10.31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Letter Agreement, dated as of March 16, 2010, among Lazard Ltd, Lazard Group LLC and the Cranberry Dune 1998 Long-Term Trust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10.1 to the Registrant’s Current Report on Form 8-K (File No. 001-32492) filed on March 22,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10.41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10.42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Termination Agreement, dated as of March 31, 2006, by and among Banca Intesa S.p.A., Lazard Group LLC and Lazard &amp; Co. S.r.l.</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10.1 to the Registrant’s Current Report on Form 8-K (File No. 001-32492) filed on April 4,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Amended and Restated $150 Million Subordinated Convertible Promissory Note due 2018, issued by Lazard Funding LLC to Banca Intesa</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S.p.A. (incorporated by reference to Exhibit 10.3 to the Registrant’s Current Report on Form 8-K (File No. 001-32492) filed on May 17,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Amended and Restated Guaranty of Lazard Group LLC to Banca Intesa S.p.A., dated as of May 15, 2006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10.4 to the Registrant’s Current Report on Form 8-K (File No. 001-32492) filed on May 17, 2006).</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10.43*</w:t>
            </w:r>
          </w:p>
        </w:tc>
        <w:tc>
          <w:tcPr>
            <w:tcW w:w="10380" w:type="dxa"/>
            <w:vAlign w:val="bottom"/>
          </w:tcPr>
          <w:p>
            <w:pPr>
              <w:ind w:left="220"/>
              <w:spacing w:after="0"/>
              <w:rPr>
                <w:sz w:val="20"/>
                <w:szCs w:val="20"/>
                <w:color w:val="auto"/>
              </w:rPr>
            </w:pPr>
            <w:r>
              <w:rPr>
                <w:rFonts w:ascii="Arial" w:cs="Arial" w:eastAsia="Arial" w:hAnsi="Arial"/>
                <w:sz w:val="18"/>
                <w:szCs w:val="18"/>
                <w:color w:val="auto"/>
                <w:w w:val="91"/>
              </w:rPr>
              <w:t>Directors’ Fee Deferral Unit Plan (incorporated by reference to Exhibit 10.39 to Registrant’s Quarterly Report (File No. 001-32492) on Form</w:t>
            </w:r>
          </w:p>
        </w:tc>
      </w:tr>
      <w:tr>
        <w:trPr>
          <w:trHeight w:val="222"/>
        </w:trPr>
        <w:tc>
          <w:tcPr>
            <w:tcW w:w="94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rPr>
              <w:t>10-Q filed on May 11,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10.44*</w:t>
            </w:r>
          </w:p>
        </w:tc>
        <w:tc>
          <w:tcPr>
            <w:tcW w:w="10380" w:type="dxa"/>
            <w:vAlign w:val="bottom"/>
          </w:tcPr>
          <w:p>
            <w:pPr>
              <w:ind w:left="22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94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w w:val="92"/>
              </w:rPr>
              <w:t>Plan (incorporated by reference to Exhibit 10.43 to Registrant’s Annual Report (File No. 001-32492) on Form 10-K filed on March 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10.45</w:t>
            </w:r>
          </w:p>
        </w:tc>
        <w:tc>
          <w:tcPr>
            <w:tcW w:w="10380" w:type="dxa"/>
            <w:vAlign w:val="bottom"/>
          </w:tcPr>
          <w:p>
            <w:pPr>
              <w:ind w:left="22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940" w:type="dxa"/>
            <w:vAlign w:val="bottom"/>
          </w:tcPr>
          <w:p>
            <w:pPr>
              <w:spacing w:after="0"/>
              <w:rPr>
                <w:sz w:val="18"/>
                <w:szCs w:val="18"/>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94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rPr>
              <w:t>on August 15,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10.46*</w:t>
            </w:r>
          </w:p>
        </w:tc>
        <w:tc>
          <w:tcPr>
            <w:tcW w:w="10380" w:type="dxa"/>
            <w:vAlign w:val="bottom"/>
          </w:tcPr>
          <w:p>
            <w:pPr>
              <w:ind w:left="22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 to</w:t>
            </w:r>
          </w:p>
        </w:tc>
      </w:tr>
      <w:tr>
        <w:trPr>
          <w:trHeight w:val="222"/>
        </w:trPr>
        <w:tc>
          <w:tcPr>
            <w:tcW w:w="94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rPr>
              <w:t>Exhibit 10.53 to the Registrant’s Quarterly Report (File No. 001-32492) on Form 10-Q filed on April 30,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10.47</w:t>
            </w:r>
          </w:p>
        </w:tc>
        <w:tc>
          <w:tcPr>
            <w:tcW w:w="10380" w:type="dxa"/>
            <w:vAlign w:val="bottom"/>
          </w:tcPr>
          <w:p>
            <w:pPr>
              <w:ind w:left="220"/>
              <w:spacing w:after="0"/>
              <w:rPr>
                <w:sz w:val="20"/>
                <w:szCs w:val="20"/>
                <w:color w:val="auto"/>
              </w:rPr>
            </w:pPr>
            <w:r>
              <w:rPr>
                <w:rFonts w:ascii="Arial" w:cs="Arial" w:eastAsia="Arial" w:hAnsi="Arial"/>
                <w:sz w:val="18"/>
                <w:szCs w:val="18"/>
                <w:color w:val="auto"/>
                <w:w w:val="91"/>
              </w:rPr>
              <w:t>Senior Revolving Credit Agreement, dated as of April 29, 2010, among Lazard Group LLC, the Banks from time to time parties thereto, and</w:t>
            </w:r>
          </w:p>
        </w:tc>
      </w:tr>
      <w:tr>
        <w:trPr>
          <w:trHeight w:val="216"/>
        </w:trPr>
        <w:tc>
          <w:tcPr>
            <w:tcW w:w="940" w:type="dxa"/>
            <w:vAlign w:val="bottom"/>
          </w:tcPr>
          <w:p>
            <w:pPr>
              <w:spacing w:after="0"/>
              <w:rPr>
                <w:sz w:val="18"/>
                <w:szCs w:val="18"/>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w w:val="91"/>
              </w:rPr>
              <w:t>Citibank, N.A., as Administrative Agent (incorporated by reference to Exhibit 10.54 to the Registrant’s Quarterly Report (File No. 001-32492)</w:t>
            </w:r>
          </w:p>
        </w:tc>
      </w:tr>
      <w:tr>
        <w:trPr>
          <w:trHeight w:val="222"/>
        </w:trPr>
        <w:tc>
          <w:tcPr>
            <w:tcW w:w="94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rPr>
              <w:t>on Form 10-Q filed on April 30,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10.48*</w:t>
            </w:r>
          </w:p>
        </w:tc>
        <w:tc>
          <w:tcPr>
            <w:tcW w:w="10380" w:type="dxa"/>
            <w:vAlign w:val="bottom"/>
          </w:tcPr>
          <w:p>
            <w:pPr>
              <w:ind w:left="22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94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10.49*</w:t>
            </w:r>
          </w:p>
        </w:tc>
        <w:tc>
          <w:tcPr>
            <w:tcW w:w="10380" w:type="dxa"/>
            <w:vAlign w:val="bottom"/>
          </w:tcPr>
          <w:p>
            <w:pPr>
              <w:ind w:left="220"/>
              <w:spacing w:after="0"/>
              <w:rPr>
                <w:sz w:val="20"/>
                <w:szCs w:val="20"/>
                <w:color w:val="auto"/>
              </w:rPr>
            </w:pPr>
            <w:r>
              <w:rPr>
                <w:rFonts w:ascii="Arial" w:cs="Arial" w:eastAsia="Arial" w:hAnsi="Arial"/>
                <w:sz w:val="18"/>
                <w:szCs w:val="18"/>
                <w:color w:val="auto"/>
                <w:w w:val="92"/>
              </w:rPr>
              <w:t>Letter Agreement, dated as of June 14, 2010, between Lazard Frères &amp; Co. LLC, Lazard Group LLC, Lazard Ltd and Charles G. Ward, III</w:t>
            </w:r>
          </w:p>
        </w:tc>
      </w:tr>
      <w:tr>
        <w:trPr>
          <w:trHeight w:val="222"/>
        </w:trPr>
        <w:tc>
          <w:tcPr>
            <w:tcW w:w="94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w w:val="94"/>
              </w:rPr>
              <w:t>(incorporated by reference to Exhibit 10.1 to the Registrant’s Current Report on Form 8-K (File No. 001-32492) filed on June 15, 2010).</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12.1</w:t>
            </w:r>
          </w:p>
        </w:tc>
        <w:tc>
          <w:tcPr>
            <w:tcW w:w="10380" w:type="dxa"/>
            <w:vAlign w:val="bottom"/>
          </w:tcPr>
          <w:p>
            <w:pPr>
              <w:ind w:left="22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22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220"/>
              <w:spacing w:after="0"/>
              <w:rPr>
                <w:sz w:val="20"/>
                <w:szCs w:val="20"/>
                <w:color w:val="auto"/>
              </w:rPr>
            </w:pPr>
            <w:r>
              <w:rPr>
                <w:rFonts w:ascii="Arial" w:cs="Arial" w:eastAsia="Arial" w:hAnsi="Arial"/>
                <w:sz w:val="18"/>
                <w:szCs w:val="18"/>
                <w:color w:val="auto"/>
              </w:rPr>
              <w:t>Rule 13a-14(a) Certification of Michael J. Castellano.</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22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tcPr>
          <w:p>
            <w:pPr>
              <w:ind w:left="220"/>
              <w:spacing w:after="0"/>
              <w:rPr>
                <w:sz w:val="20"/>
                <w:szCs w:val="20"/>
                <w:color w:val="auto"/>
              </w:rPr>
            </w:pPr>
            <w:r>
              <w:rPr>
                <w:rFonts w:ascii="Arial" w:cs="Arial" w:eastAsia="Arial" w:hAnsi="Arial"/>
                <w:sz w:val="18"/>
                <w:szCs w:val="18"/>
                <w:color w:val="auto"/>
              </w:rPr>
              <w:t>Section 1350 Certification for Michael J. Castellano.</w:t>
            </w:r>
          </w:p>
        </w:tc>
      </w:tr>
      <w:tr>
        <w:trPr>
          <w:trHeight w:val="324"/>
        </w:trPr>
        <w:tc>
          <w:tcPr>
            <w:tcW w:w="940" w:type="dxa"/>
            <w:vAlign w:val="bottom"/>
          </w:tcPr>
          <w:p>
            <w:pPr>
              <w:jc w:val="right"/>
              <w:ind w:right="132"/>
              <w:spacing w:after="0"/>
              <w:rPr>
                <w:sz w:val="20"/>
                <w:szCs w:val="20"/>
                <w:color w:val="auto"/>
              </w:rPr>
            </w:pPr>
            <w:r>
              <w:rPr>
                <w:rFonts w:ascii="Arial" w:cs="Arial" w:eastAsia="Arial" w:hAnsi="Arial"/>
                <w:sz w:val="18"/>
                <w:szCs w:val="18"/>
                <w:color w:val="auto"/>
              </w:rPr>
              <w:t>101.INS</w:t>
            </w:r>
          </w:p>
        </w:tc>
        <w:tc>
          <w:tcPr>
            <w:tcW w:w="1038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5"/>
              </w:rPr>
              <w:t>101.SCH</w:t>
            </w:r>
          </w:p>
        </w:tc>
        <w:tc>
          <w:tcPr>
            <w:tcW w:w="1038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9"/>
              </w:rPr>
              <w:t>101.CAL</w:t>
            </w:r>
          </w:p>
        </w:tc>
        <w:tc>
          <w:tcPr>
            <w:tcW w:w="1038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8"/>
              </w:rPr>
              <w:t>101.DEF</w:t>
            </w:r>
          </w:p>
        </w:tc>
        <w:tc>
          <w:tcPr>
            <w:tcW w:w="1038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40" w:type="dxa"/>
            <w:vAlign w:val="bottom"/>
          </w:tcPr>
          <w:p>
            <w:pPr>
              <w:jc w:val="right"/>
              <w:ind w:right="132"/>
              <w:spacing w:after="0"/>
              <w:rPr>
                <w:sz w:val="20"/>
                <w:szCs w:val="20"/>
                <w:color w:val="auto"/>
              </w:rPr>
            </w:pPr>
            <w:r>
              <w:rPr>
                <w:rFonts w:ascii="Arial" w:cs="Arial" w:eastAsia="Arial" w:hAnsi="Arial"/>
                <w:sz w:val="18"/>
                <w:szCs w:val="18"/>
                <w:color w:val="auto"/>
              </w:rPr>
              <w:t>101.LAB</w:t>
            </w:r>
          </w:p>
        </w:tc>
        <w:tc>
          <w:tcPr>
            <w:tcW w:w="1038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40" w:type="dxa"/>
            <w:vAlign w:val="bottom"/>
          </w:tcPr>
          <w:p>
            <w:pPr>
              <w:jc w:val="right"/>
              <w:ind w:right="132"/>
              <w:spacing w:after="0"/>
              <w:rPr>
                <w:sz w:val="20"/>
                <w:szCs w:val="20"/>
                <w:color w:val="auto"/>
              </w:rPr>
            </w:pPr>
            <w:r>
              <w:rPr>
                <w:rFonts w:ascii="Arial" w:cs="Arial" w:eastAsia="Arial" w:hAnsi="Arial"/>
                <w:sz w:val="18"/>
                <w:szCs w:val="18"/>
                <w:color w:val="auto"/>
                <w:w w:val="97"/>
              </w:rPr>
              <w:t>101.PRE</w:t>
            </w:r>
          </w:p>
        </w:tc>
        <w:tc>
          <w:tcPr>
            <w:tcW w:w="1038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2010</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Kenneth M. Jacobs</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Chairman and Chief Executive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Michael J. Castellano</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(a)(b)</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Six 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7"/>
          </w:tcPr>
          <w:p>
            <w:pPr>
              <w:jc w:val="center"/>
              <w:ind w:left="198"/>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640"/>
              <w:spacing w:after="0" w:line="135" w:lineRule="exact"/>
              <w:rPr>
                <w:sz w:val="20"/>
                <w:szCs w:val="20"/>
                <w:color w:val="auto"/>
              </w:rPr>
            </w:pPr>
            <w:r>
              <w:rPr>
                <w:rFonts w:ascii="Arial" w:cs="Arial" w:eastAsia="Arial" w:hAnsi="Arial"/>
                <w:sz w:val="14"/>
                <w:szCs w:val="14"/>
                <w:b w:val="1"/>
                <w:bCs w:val="1"/>
                <w:color w:val="auto"/>
                <w:w w:val="84"/>
              </w:rPr>
              <w:t>Ended</w:t>
            </w:r>
          </w:p>
        </w:tc>
        <w:tc>
          <w:tcPr>
            <w:tcW w:w="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0" w:type="dxa"/>
            <w:vAlign w:val="bottom"/>
            <w:gridSpan w:val="4"/>
          </w:tcPr>
          <w:p>
            <w:pPr>
              <w:jc w:val="center"/>
              <w:ind w:right="520"/>
              <w:spacing w:after="0" w:line="12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2010</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7"/>
          </w:tcPr>
          <w:p>
            <w:pPr>
              <w:jc w:val="center"/>
              <w:ind w:left="198"/>
              <w:spacing w:after="0"/>
              <w:rPr>
                <w:sz w:val="20"/>
                <w:szCs w:val="20"/>
                <w:color w:val="auto"/>
              </w:rPr>
            </w:pPr>
            <w:r>
              <w:rPr>
                <w:rFonts w:ascii="Arial" w:cs="Arial" w:eastAsia="Arial" w:hAnsi="Arial"/>
                <w:sz w:val="14"/>
                <w:szCs w:val="14"/>
                <w:b w:val="1"/>
                <w:bCs w:val="1"/>
                <w:color w:val="auto"/>
                <w:w w:val="86"/>
              </w:rPr>
              <w:t>(dollars in thousands)</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32,570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8"/>
              </w:rPr>
              <w:t>(182,234)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$418,295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$327,209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342,362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Add - Fixed charges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59,238</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127,398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160,154</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155,374</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119,606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94,651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 before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91,808</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(54,836)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185,294</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$573,669</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$446,815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437,013</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Interest (c)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49,715</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107,890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139,899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2"/>
              </w:rPr>
              <w:t>$ 137,110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$104,254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78,365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59,238</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127,398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160,154</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$155,374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$ 119,606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1.55(f)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(g)</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1.16(h)</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4.62(e)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Deficiency in the coverage of operating income (loss) from</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continuing operations before fixed charges to total fixed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182,234</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-1905000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-1905000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-1905000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-1905000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-1905000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-1905000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-1905000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-1905000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-1905000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-1905000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-1905000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-1905000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-1905000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-1905000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-1905000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-1905000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-1905000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-1905000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-1047750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-1047750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-1047750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-1047750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-1047750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-1047750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-1047750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-1047750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-1047750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-1047750</wp:posOffset>
            </wp:positionV>
            <wp:extent cx="4330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-1047750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-1047750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-1047750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-1047750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-1047750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-1047750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-747395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-747395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-747395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-747395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-747395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-747395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-747395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-747395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-747395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-747395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-747395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-747395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-747395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-747395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-747395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-747395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-747395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-747395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-172720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-172720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-172720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Data presented relates to the Company’s continuing operations.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6" w:lineRule="exact"/>
        <w:rPr>
          <w:rFonts w:ascii="Arial" w:cs="Arial" w:eastAsia="Arial" w:hAnsi="Arial"/>
          <w:sz w:val="18"/>
          <w:szCs w:val="18"/>
          <w:color w:val="auto"/>
        </w:rPr>
      </w:pPr>
    </w:p>
    <w:p>
      <w:pPr>
        <w:ind w:left="780" w:right="80" w:hanging="326"/>
        <w:spacing w:after="0" w:line="306" w:lineRule="auto"/>
        <w:tabs>
          <w:tab w:leader="none" w:pos="7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earnings for the six month period ended June 30, 2010 and for the years ended December 31, 2009, 2008, 2007, 2006 and 2005 represent income from continuing operations before income taxes, and, for the period prior to May 10, 2005, the date of Lazard Ltd’s equity public offering, before distributions for services rendered by managing directors and employee members of LAM, and before fixed charges, and</w:t>
      </w:r>
    </w:p>
    <w:p>
      <w:pPr>
        <w:spacing w:after="0" w:line="12" w:lineRule="exact"/>
        <w:rPr>
          <w:rFonts w:ascii="Arial" w:cs="Arial" w:eastAsia="Arial" w:hAnsi="Arial"/>
          <w:sz w:val="16"/>
          <w:szCs w:val="16"/>
          <w:color w:val="auto"/>
        </w:rPr>
      </w:pPr>
    </w:p>
    <w:p>
      <w:pPr>
        <w:ind w:left="780" w:right="100" w:hanging="326"/>
        <w:spacing w:after="0" w:line="268" w:lineRule="auto"/>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fixed charges represent the interest expense from continuing operations and the portion of rental expense from continuing operations which represents an appropriate interest factor.</w:t>
      </w:r>
    </w:p>
    <w:p>
      <w:pPr>
        <w:spacing w:after="0" w:line="3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results of operations for the period prior to Lazard Ltd’s equity public offering and the financing transactions on May 10, 2005 are not comparable to results of operations for subsequent periods as described below:</w:t>
      </w:r>
    </w:p>
    <w:p>
      <w:pPr>
        <w:spacing w:after="0" w:line="37" w:lineRule="exact"/>
        <w:rPr>
          <w:rFonts w:ascii="Arial" w:cs="Arial" w:eastAsia="Arial" w:hAnsi="Arial"/>
          <w:sz w:val="18"/>
          <w:szCs w:val="18"/>
          <w:color w:val="auto"/>
        </w:rPr>
      </w:pPr>
    </w:p>
    <w:p>
      <w:pPr>
        <w:ind w:left="780" w:right="80" w:hanging="326"/>
        <w:spacing w:after="0" w:line="294" w:lineRule="auto"/>
        <w:tabs>
          <w:tab w:leader="none" w:pos="7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payment for services rendered by Lazard Ltd’s managing directors, which, as a result of Lazard Ltd operating as a limited liability company, historically had been accounted for as distributions from members’ capital, or in some cases as net income attributable to noncontrolling interests, rather than as compensation and benefits expense. As a result, Lazard Ltd’s operating income historically has not reflected payments for services rendered by its managing directors. For periods subsequent to the consummation of the equity public offering, the consolidated financial statements of Lazard Ltd include all payments for services rendered by its managing directors in compensation and benefits expense;</w:t>
      </w:r>
    </w:p>
    <w:p>
      <w:pPr>
        <w:spacing w:after="0" w:line="21" w:lineRule="exact"/>
        <w:rPr>
          <w:rFonts w:ascii="Arial" w:cs="Arial" w:eastAsia="Arial" w:hAnsi="Arial"/>
          <w:sz w:val="16"/>
          <w:szCs w:val="16"/>
          <w:color w:val="auto"/>
        </w:rPr>
      </w:pPr>
    </w:p>
    <w:p>
      <w:pPr>
        <w:ind w:left="780" w:hanging="326"/>
        <w:spacing w:after="0"/>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net incremental expense related to the financing transactions.</w:t>
      </w:r>
    </w:p>
    <w:p>
      <w:pPr>
        <w:spacing w:after="0" w:line="103"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income for the six month period ended June 30, 2010 is presented after giving effect to (i) a restructuring expense of $87,108 in the first quarter of 2010 and (ii) a charge of $24,860 in the first</w:t>
      </w:r>
    </w:p>
    <w:p>
      <w:pPr>
        <w:sectPr>
          <w:pgSz w:w="11900" w:h="16838" w:orient="portrait"/>
          <w:cols w:equalWidth="0" w:num="1">
            <w:col w:w="11420"/>
          </w:cols>
          <w:pgMar w:left="240" w:top="125" w:right="239" w:bottom="1440" w:gutter="0" w:footer="0" w:header="0"/>
        </w:sectPr>
      </w:pPr>
    </w:p>
    <w:bookmarkStart w:id="86" w:name="page87"/>
    <w:bookmarkEnd w:id="86"/>
    <w:p>
      <w:pPr>
        <w:ind w:left="452"/>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 of 2010 relating to the amendment of Lazard’s retirement policy with respect to RSU awards in such period. Excluding the impact of such items, the ratio of earnings to fixed charges would have been 3.44.</w:t>
      </w:r>
    </w:p>
    <w:p>
      <w:pPr>
        <w:ind w:left="452" w:right="180" w:hanging="452"/>
        <w:spacing w:after="0" w:line="250"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income (loss) for the year ended December 31, 2009 is presented after giving effect to (i) a restructuring expense of $62,550 in the first quarter of 2009, (ii) the acceleration of amortization expense of $86,514 relating to the vesting of RSUs held by Lazard’s former Chairman and Chief Executive Officer as the result of his death in October 2009 and (iii) the acceleration of amortization expense of $60,512 in the fourth quarter of 2009 relating to the accelerated vesting of the unamortized portion of previously awarded deferred cash incentive awards. Excluding the impact of such items, the ratio of earnings to fixed charges would have been 1.21.</w:t>
      </w:r>
    </w:p>
    <w:p>
      <w:pPr>
        <w:spacing w:after="0" w:line="2" w:lineRule="exact"/>
        <w:rPr>
          <w:rFonts w:ascii="Arial" w:cs="Arial" w:eastAsia="Arial" w:hAnsi="Arial"/>
          <w:sz w:val="18"/>
          <w:szCs w:val="18"/>
          <w:color w:val="auto"/>
        </w:rPr>
      </w:pPr>
    </w:p>
    <w:p>
      <w:pPr>
        <w:ind w:left="452" w:right="20" w:hanging="452"/>
        <w:spacing w:after="0" w:line="261"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412"/>
          </w:cols>
          <w:pgMar w:left="248" w:top="2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2010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2010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4"/>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7"/>
    </w:lvl>
  </w:abstractNum>
  <w:abstractNum w:abstractNumId="11">
    <w:nsid w:val="737B8DDC"/>
    <w:multiLevelType w:val="hybridMultilevel"/>
    <w:lvl w:ilvl="0">
      <w:lvlJc w:val="left"/>
      <w:lvlText w:val="%1."/>
      <w:numFmt w:val="decimal"/>
      <w:start w:val="8"/>
    </w:lvl>
  </w:abstractNum>
  <w:abstractNum w:abstractNumId="12">
    <w:nsid w:val="6CEAF087"/>
    <w:multiLevelType w:val="hybridMultilevel"/>
    <w:lvl w:ilvl="0">
      <w:lvlJc w:val="left"/>
      <w:lvlText w:val="%1"/>
      <w:numFmt w:val="decimal"/>
      <w:start w:val="1"/>
    </w:lvl>
    <w:lvl w:ilvl="1">
      <w:lvlJc w:val="left"/>
      <w:lvlText w:val="(%2)"/>
      <w:numFmt w:val="lowerLetter"/>
      <w:start w:val="1"/>
    </w:lvl>
  </w:abstractNum>
  <w:abstractNum w:abstractNumId="13">
    <w:nsid w:val="22221A70"/>
    <w:multiLevelType w:val="hybridMultilevel"/>
    <w:lvl w:ilvl="0">
      <w:lvlJc w:val="left"/>
      <w:lvlText w:val="%1."/>
      <w:numFmt w:val="decimal"/>
      <w:start w:val="10"/>
    </w:lvl>
    <w:lvl w:ilvl="1">
      <w:lvlJc w:val="left"/>
      <w:lvlText w:val="%2"/>
      <w:numFmt w:val="lowerLetter"/>
      <w:start w:val="1"/>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decimal"/>
      <w:start w:val="11"/>
    </w:lvl>
  </w:abstractNum>
  <w:abstractNum w:abstractNumId="16">
    <w:nsid w:val="614FD4A1"/>
    <w:multiLevelType w:val="hybridMultilevel"/>
    <w:lvl w:ilvl="0">
      <w:lvlJc w:val="left"/>
      <w:lvlText w:val="%1."/>
      <w:numFmt w:val="decimal"/>
      <w:start w:val="12"/>
    </w:lvl>
  </w:abstractNum>
  <w:abstractNum w:abstractNumId="17">
    <w:nsid w:val="419AC241"/>
    <w:multiLevelType w:val="hybridMultilevel"/>
    <w:lvl w:ilvl="0">
      <w:lvlJc w:val="left"/>
      <w:lvlText w:val="%1."/>
      <w:numFmt w:val="decimal"/>
      <w:start w:val="13"/>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decimal"/>
      <w:start w:val="14"/>
    </w:lvl>
  </w:abstractNum>
  <w:abstractNum w:abstractNumId="20">
    <w:nsid w:val="5072367"/>
    <w:multiLevelType w:val="hybridMultilevel"/>
    <w:lvl w:ilvl="0">
      <w:lvlJc w:val="left"/>
      <w:lvlText w:val="%1."/>
      <w:numFmt w:val="decimal"/>
      <w:start w:val="15"/>
    </w:lvl>
  </w:abstractNum>
  <w:abstractNum w:abstractNumId="21">
    <w:nsid w:val="3804823E"/>
    <w:multiLevelType w:val="hybridMultilevel"/>
    <w:lvl w:ilvl="0">
      <w:lvlJc w:val="left"/>
      <w:lvlText w:val="%1."/>
      <w:numFmt w:val="decimal"/>
      <w:start w:val="16"/>
    </w:lvl>
  </w:abstractNum>
  <w:abstractNum w:abstractNumId="22">
    <w:nsid w:val="77465F01"/>
    <w:multiLevelType w:val="hybridMultilevel"/>
    <w:lvl w:ilvl="0">
      <w:lvlJc w:val="left"/>
      <w:lvlText w:val="%1."/>
      <w:numFmt w:val="decimal"/>
      <w:start w:val="17"/>
    </w:lvl>
  </w:abstractNum>
  <w:abstractNum w:abstractNumId="23">
    <w:nsid w:val="7724C67E"/>
    <w:multiLevelType w:val="hybridMultilevel"/>
    <w:lvl w:ilvl="0">
      <w:lvlJc w:val="left"/>
      <w:lvlText w:val="%1."/>
      <w:numFmt w:val="decimal"/>
      <w:start w:val="18"/>
    </w:lvl>
  </w:abstractNum>
  <w:abstractNum w:abstractNumId="24">
    <w:nsid w:val="5C482A97"/>
    <w:multiLevelType w:val="hybridMultilevel"/>
    <w:lvl w:ilvl="0">
      <w:lvlJc w:val="left"/>
      <w:lvlText w:val="%1."/>
      <w:numFmt w:val="decimal"/>
      <w:start w:val="19"/>
    </w:lvl>
  </w:abstractNum>
  <w:abstractNum w:abstractNumId="25">
    <w:nsid w:val="2463B9EA"/>
    <w:multiLevelType w:val="hybridMultilevel"/>
    <w:lvl w:ilvl="0">
      <w:lvlJc w:val="left"/>
      <w:lvlText w:val="%1."/>
      <w:numFmt w:val="decimal"/>
      <w:start w:val="20"/>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2"/>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2"/>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lowerLetter"/>
      <w:start w:val="1"/>
    </w:lvl>
    <w:lvl w:ilvl="1">
      <w:lvlJc w:val="left"/>
      <w:lvlText w:val="•"/>
      <w:numFmt w:val="bullet"/>
      <w:start w:val="1"/>
    </w:lvl>
  </w:abstractNum>
  <w:abstractNum w:abstractNumId="48">
    <w:nsid w:val="749ABB43"/>
    <w:multiLevelType w:val="hybridMultilevel"/>
    <w:lvl w:ilvl="0">
      <w:lvlJc w:val="left"/>
      <w:lvlText w:val="(%1)"/>
      <w:numFmt w:val="lowerLetter"/>
      <w:start w:val="7"/>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2019-12-11T00:32:43Z</dcterms:created>
  <dcterms:modified xsi:type="dcterms:W3CDTF">2019-12-11T00:32:43Z</dcterms:modified>
</cp:coreProperties>
</file>