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1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1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2780" w:type="dxa"/>
            <w:vAlign w:val="bottom"/>
          </w:tcPr>
          <w:p>
            <w:pPr>
              <w:jc w:val="center"/>
              <w:ind w:right="105"/>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right"/>
              <w:ind w:right="438"/>
              <w:spacing w:after="0"/>
              <w:rPr>
                <w:sz w:val="20"/>
                <w:szCs w:val="20"/>
                <w:color w:val="auto"/>
              </w:rPr>
            </w:pPr>
            <w:r>
              <w:rPr>
                <w:rFonts w:ascii="Arial" w:cs="Arial" w:eastAsia="Arial" w:hAnsi="Arial"/>
                <w:sz w:val="18"/>
                <w:szCs w:val="18"/>
                <w:b w:val="1"/>
                <w:bCs w:val="1"/>
                <w:color w:val="auto"/>
              </w:rPr>
              <w:t>51-0278097</w:t>
            </w:r>
          </w:p>
        </w:tc>
        <w:tc>
          <w:tcPr>
            <w:tcW w:w="0" w:type="dxa"/>
            <w:vAlign w:val="bottom"/>
          </w:tcPr>
          <w:p>
            <w:pPr>
              <w:spacing w:after="0"/>
              <w:rPr>
                <w:sz w:val="1"/>
                <w:szCs w:val="1"/>
                <w:color w:val="auto"/>
              </w:rPr>
            </w:pPr>
          </w:p>
        </w:tc>
      </w:tr>
      <w:tr>
        <w:trPr>
          <w:trHeight w:val="149"/>
        </w:trPr>
        <w:tc>
          <w:tcPr>
            <w:tcW w:w="27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5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2780" w:type="dxa"/>
            <w:vAlign w:val="bottom"/>
          </w:tcPr>
          <w:p>
            <w:pPr>
              <w:jc w:val="center"/>
              <w:ind w:right="85"/>
              <w:spacing w:after="0"/>
              <w:rPr>
                <w:sz w:val="20"/>
                <w:szCs w:val="20"/>
                <w:color w:val="auto"/>
              </w:rPr>
            </w:pPr>
            <w:r>
              <w:rPr>
                <w:rFonts w:ascii="Arial" w:cs="Arial" w:eastAsia="Arial" w:hAnsi="Arial"/>
                <w:sz w:val="14"/>
                <w:szCs w:val="14"/>
                <w:b w:val="1"/>
                <w:bCs w:val="1"/>
                <w:color w:val="auto"/>
                <w:w w:val="90"/>
              </w:rPr>
              <w:t>or Organization)</w:t>
            </w:r>
          </w:p>
        </w:tc>
        <w:tc>
          <w:tcPr>
            <w:tcW w:w="5260" w:type="dxa"/>
            <w:vAlign w:val="bottom"/>
            <w:vMerge w:val="restart"/>
          </w:tcPr>
          <w:p>
            <w:pPr>
              <w:jc w:val="center"/>
              <w:ind w:right="2438"/>
              <w:spacing w:after="0"/>
              <w:rPr>
                <w:sz w:val="20"/>
                <w:szCs w:val="20"/>
                <w:color w:val="auto"/>
              </w:rPr>
            </w:pPr>
            <w:r>
              <w:rPr>
                <w:rFonts w:ascii="Arial" w:cs="Arial" w:eastAsia="Arial" w:hAnsi="Arial"/>
                <w:sz w:val="18"/>
                <w:szCs w:val="18"/>
                <w:b w:val="1"/>
                <w:bCs w:val="1"/>
                <w:color w:val="auto"/>
                <w:w w:val="91"/>
              </w:rPr>
              <w:t>30 Rockefeller Plaza</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5260" w:type="dxa"/>
            <w:vAlign w:val="bottom"/>
          </w:tcPr>
          <w:p>
            <w:pPr>
              <w:jc w:val="center"/>
              <w:ind w:right="2418"/>
              <w:spacing w:after="0"/>
              <w:rPr>
                <w:sz w:val="20"/>
                <w:szCs w:val="20"/>
                <w:color w:val="auto"/>
              </w:rPr>
            </w:pPr>
            <w:r>
              <w:rPr>
                <w:rFonts w:ascii="Arial" w:cs="Arial" w:eastAsia="Arial" w:hAnsi="Arial"/>
                <w:sz w:val="18"/>
                <w:szCs w:val="18"/>
                <w:b w:val="1"/>
                <w:bCs w:val="1"/>
                <w:color w:val="auto"/>
                <w:w w:val="92"/>
              </w:rPr>
              <w:t>New York, NY 10112</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5260" w:type="dxa"/>
            <w:vAlign w:val="bottom"/>
          </w:tcPr>
          <w:p>
            <w:pPr>
              <w:jc w:val="center"/>
              <w:ind w:right="24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00" w:firstLine="518"/>
        <w:spacing w:after="0" w:line="32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140"/>
          </w:cols>
          <w:pgMar w:left="240" w:top="571" w:right="519" w:bottom="1440" w:gutter="0" w:footer="0" w:header="0"/>
        </w:sectPr>
      </w:pPr>
    </w:p>
    <w:p>
      <w:pPr>
        <w:spacing w:after="0" w:line="105"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74"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3">
            <w:col w:w="4540" w:space="720"/>
            <w:col w:w="1760" w:space="80"/>
            <w:col w:w="4040"/>
          </w:cols>
          <w:pgMar w:left="240" w:top="571" w:right="519" w:bottom="1440" w:gutter="0" w:footer="0" w:header="0"/>
          <w:type w:val="continuous"/>
        </w:sectPr>
      </w:pPr>
    </w:p>
    <w:p>
      <w:pPr>
        <w:ind w:left="520" w:right="220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21, 2016,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571"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September 30, 2016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60" w:type="dxa"/>
            <w:vAlign w:val="bottom"/>
            <w:gridSpan w:val="6"/>
          </w:tcPr>
          <w:p>
            <w:pPr>
              <w:ind w:left="18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gridSpan w:val="7"/>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7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2016 and December 31, 2015</w:t>
              </w:r>
            </w:hyperlink>
          </w:p>
        </w:tc>
        <w:tc>
          <w:tcPr>
            <w:tcW w:w="290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9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2016 and 2015</w:t>
              </w:r>
            </w:hyperlink>
          </w:p>
        </w:tc>
        <w:tc>
          <w:tcPr>
            <w:tcW w:w="134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10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2016 and 2015</w:t>
              </w:r>
            </w:hyperlink>
          </w:p>
        </w:tc>
        <w:tc>
          <w:tcPr>
            <w:tcW w:w="42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83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2016 and 2015</w:t>
              </w:r>
            </w:hyperlink>
          </w:p>
        </w:tc>
        <w:tc>
          <w:tcPr>
            <w:tcW w:w="250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nine month periods ended September 30, 2016 and 2015</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962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24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8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833,143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1,025,844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534,865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34,948</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$12,967 and $12,882 at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September 30, 2016 and December 31, 2015,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440,384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423,817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108,817</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563,996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606,030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530,712</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$289,390 and $265,505</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September 30, 2016 and December 31, 2015,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204,273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$59,281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$57,561 at September 30, 2016 and December 31, 2015,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330,162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326,976</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209,948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214,823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3,227,606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3,389,054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00" w:type="dxa"/>
            <w:vAlign w:val="bottom"/>
            <w:tcBorders>
              <w:bottom w:val="single" w:sz="8" w:color="CFF0FC"/>
            </w:tcBorders>
          </w:tcPr>
          <w:p>
            <w:pPr>
              <w:spacing w:after="0"/>
              <w:rPr>
                <w:sz w:val="14"/>
                <w:szCs w:val="14"/>
                <w:color w:val="auto"/>
              </w:rPr>
            </w:pPr>
          </w:p>
        </w:tc>
        <w:tc>
          <w:tcPr>
            <w:tcW w:w="39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3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Liabilities: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4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587,059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374,796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3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104,893</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3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3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494,697</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2,531,411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2,686,154</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Members' equity (net of 4,847,094 and 3,322,385</w:t>
            </w:r>
          </w:p>
        </w:tc>
        <w:tc>
          <w:tcPr>
            <w:tcW w:w="4180" w:type="dxa"/>
            <w:vAlign w:val="bottom"/>
            <w:gridSpan w:val="2"/>
            <w:shd w:val="clear" w:color="auto" w:fill="CFF0FC"/>
          </w:tcPr>
          <w:p>
            <w:pPr>
              <w:jc w:val="right"/>
              <w:ind w:right="1950"/>
              <w:spacing w:after="0"/>
              <w:rPr>
                <w:sz w:val="20"/>
                <w:szCs w:val="20"/>
                <w:color w:val="auto"/>
              </w:rPr>
            </w:pPr>
            <w:r>
              <w:rPr>
                <w:rFonts w:ascii="Arial" w:cs="Arial" w:eastAsia="Arial" w:hAnsi="Arial"/>
                <w:sz w:val="18"/>
                <w:szCs w:val="18"/>
                <w:color w:val="auto"/>
                <w:w w:val="91"/>
              </w:rPr>
              <w:t>shares of Lazard Ltd Class A</w:t>
            </w: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common stock, at a cost of $174,766 and $161,288 at September 30, 2016 and</w:t>
            </w: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December 31, 2015, respectively)</w:t>
            </w:r>
          </w:p>
        </w:tc>
        <w:tc>
          <w:tcPr>
            <w:tcW w:w="3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836,010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839,517</w:t>
            </w:r>
          </w:p>
        </w:tc>
        <w:tc>
          <w:tcPr>
            <w:tcW w:w="120" w:type="dxa"/>
            <w:vAlign w:val="bottom"/>
            <w:shd w:val="clear" w:color="auto" w:fill="CFF0FC"/>
          </w:tcPr>
          <w:p>
            <w:pPr>
              <w:spacing w:after="0"/>
              <w:rPr>
                <w:sz w:val="20"/>
                <w:szCs w:val="20"/>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w w:val="90"/>
              </w:rPr>
              <w:t>Accumulated other comprehensive loss, net of tax</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(197,072)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(189,758)</w:t>
            </w:r>
          </w:p>
        </w:tc>
      </w:tr>
      <w:tr>
        <w:trPr>
          <w:trHeight w:val="223"/>
        </w:trPr>
        <w:tc>
          <w:tcPr>
            <w:tcW w:w="3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Group LLC Members’ Equity</w:t>
            </w:r>
          </w:p>
        </w:tc>
        <w:tc>
          <w:tcPr>
            <w:tcW w:w="3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638,938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649,759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3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53,141</w:t>
            </w:r>
          </w:p>
        </w:tc>
        <w:tc>
          <w:tcPr>
            <w:tcW w:w="12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3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702,900</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3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3,227,606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3,389,054</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343,154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330,408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894,906</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946,057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254,551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729,679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65,863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620,945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585,480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1,677,784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1,799,937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572,852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1,639,192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1,757,656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353,468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319,478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958,962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984,675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16,891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60,456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55,758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71,402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28,609</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90,678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422,884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1,278,178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1,365,941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391,715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338,806</w:t>
            </w:r>
          </w:p>
        </w:tc>
        <w:tc>
          <w:tcPr>
            <w:tcW w:w="100" w:type="dxa"/>
            <w:vAlign w:val="bottom"/>
            <w:shd w:val="clear" w:color="auto" w:fill="CFF0FC"/>
          </w:tcPr>
          <w:p>
            <w:pPr>
              <w:spacing w:after="0"/>
              <w:rPr>
                <w:sz w:val="19"/>
                <w:szCs w:val="19"/>
                <w:color w:val="auto"/>
              </w:rPr>
            </w:pPr>
          </w:p>
        </w:tc>
      </w:tr>
      <w:tr>
        <w:trPr>
          <w:trHeight w:val="211"/>
        </w:trPr>
        <w:tc>
          <w:tcPr>
            <w:tcW w:w="596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bottom w:val="single" w:sz="8" w:color="CFF0FC"/>
            </w:tcBorders>
          </w:tcPr>
          <w:p>
            <w:pPr>
              <w:spacing w:after="0"/>
              <w:rPr>
                <w:sz w:val="20"/>
                <w:szCs w:val="20"/>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121,713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306,915</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329,802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122,981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338,806</w:t>
            </w:r>
          </w:p>
        </w:tc>
        <w:tc>
          <w:tcPr>
            <w:tcW w:w="100" w:type="dxa"/>
            <w:vAlign w:val="bottom"/>
            <w:shd w:val="clear" w:color="auto" w:fill="CFF0FC"/>
          </w:tcPr>
          <w:p>
            <w:pPr>
              <w:spacing w:after="0"/>
              <w:rPr>
                <w:sz w:val="19"/>
                <w:szCs w:val="19"/>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(including a tax expense of</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 for the three months ended September 30, 2016,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$9 for the nine months ended September 30, 2016)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(1,828)</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(13,677)</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(10,106)</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(31,991)</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$(17)</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$253 for the three months ended September 30,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2016 and 2015, respectively, and $(315) and $(7,753) for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the nine months ended September 30, 2016 and 2015,</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(649)</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(14,140)</w:t>
            </w:r>
          </w:p>
        </w:tc>
      </w:tr>
      <w:tr>
        <w:trPr>
          <w:trHeight w:val="215"/>
        </w:trPr>
        <w:tc>
          <w:tcPr>
            <w:tcW w:w="59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expense of $375 and $368 for the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September 30, 2016 and 2015, respectively, and $1,171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and $1,469 for the nine months ended September 30,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2016 and 2015, respectively)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tcPr>
          <w:p>
            <w:pPr>
              <w:spacing w:after="0"/>
              <w:rPr>
                <w:sz w:val="20"/>
                <w:szCs w:val="20"/>
                <w:color w:val="auto"/>
              </w:rPr>
            </w:pPr>
          </w:p>
        </w:tc>
      </w:tr>
      <w:tr>
        <w:trPr>
          <w:trHeight w:val="205"/>
        </w:trPr>
        <w:tc>
          <w:tcPr>
            <w:tcW w:w="59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OTHER COMPREHENSIVE LOSS, NET OF</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TAX</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(727)</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(11,819)</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(7,314)</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(42,374)</w:t>
            </w: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111,162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296,432</w:t>
            </w:r>
          </w:p>
        </w:tc>
        <w:tc>
          <w:tcPr>
            <w:tcW w:w="100" w:type="dxa"/>
            <w:vAlign w:val="bottom"/>
          </w:tcPr>
          <w:p>
            <w:pPr>
              <w:spacing w:after="0"/>
              <w:rPr>
                <w:sz w:val="19"/>
                <w:szCs w:val="19"/>
                <w:color w:val="auto"/>
              </w:rPr>
            </w:pPr>
          </w:p>
        </w:tc>
      </w:tr>
      <w:tr>
        <w:trPr>
          <w:trHeight w:val="211"/>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9,003</w:t>
            </w:r>
          </w:p>
        </w:tc>
        <w:tc>
          <w:tcPr>
            <w:tcW w:w="100" w:type="dxa"/>
            <w:vAlign w:val="bottom"/>
            <w:shd w:val="clear" w:color="auto" w:fill="CFF0FC"/>
          </w:tcPr>
          <w:p>
            <w:pPr>
              <w:spacing w:after="0"/>
              <w:rPr>
                <w:sz w:val="20"/>
                <w:szCs w:val="20"/>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127,171</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109,894</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299,601</w:t>
            </w:r>
          </w:p>
        </w:tc>
        <w:tc>
          <w:tcPr>
            <w:tcW w:w="260" w:type="dxa"/>
            <w:vAlign w:val="bottom"/>
          </w:tcPr>
          <w:p>
            <w:pPr>
              <w:spacing w:after="0"/>
              <w:rPr>
                <w:sz w:val="20"/>
                <w:szCs w:val="20"/>
                <w:color w:val="auto"/>
              </w:rPr>
            </w:pPr>
          </w:p>
        </w:tc>
        <w:tc>
          <w:tcPr>
            <w:tcW w:w="3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287,429</w:t>
            </w:r>
          </w:p>
        </w:tc>
        <w:tc>
          <w:tcPr>
            <w:tcW w:w="10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311,904</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338,806</w:t>
            </w:r>
          </w:p>
        </w:tc>
        <w:tc>
          <w:tcPr>
            <w:tcW w:w="120" w:type="dxa"/>
            <w:vAlign w:val="bottom"/>
          </w:tcPr>
          <w:p>
            <w:pPr>
              <w:spacing w:after="0"/>
              <w:rPr>
                <w:sz w:val="19"/>
                <w:szCs w:val="19"/>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(used in)</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24,251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245,416</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Amortization and other acquisition-related costs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 benefit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(4,537)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(8,530)</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60,219</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on disposal of subsidiaries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(24,388)</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(Increase) decrease in operating assets: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 with banks and short-term investments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(135,152)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(84,386)</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7,413</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Receivables-net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34,115</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(54,409)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(104,949)</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Increase (decrease) in operating liabilities: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 and other payables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83,874</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Accrued compensation and benefits and other liabilities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(225,337)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(99,696)</w:t>
            </w:r>
          </w:p>
        </w:tc>
      </w:tr>
      <w:tr>
        <w:trPr>
          <w:trHeight w:val="223"/>
        </w:trPr>
        <w:tc>
          <w:tcPr>
            <w:tcW w:w="69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333,951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(22,070)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(18,479)</w:t>
            </w: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Disposals of property</w:t>
            </w:r>
          </w:p>
        </w:tc>
        <w:tc>
          <w:tcPr>
            <w:tcW w:w="9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(18,008)</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Contributions from noncontrolling interests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senior debt, net of expenses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396,272</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Excess tax benefits from share-based incentive compensation</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financing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Payments for: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Senior debt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(509,098)</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Capital lease obligations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noncontrolling interests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(15,357)</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Purchase of Lazard Ltd Class A common stock</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(228,865)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(189,861)</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 to members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(248,742)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(85,435)</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Settlement of vested share-based incentive compensation</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(55,562)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(105,007)</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financing activities</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(3,080)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(2,008)</w:t>
            </w:r>
          </w:p>
        </w:tc>
      </w:tr>
      <w:tr>
        <w:trPr>
          <w:trHeight w:val="223"/>
        </w:trPr>
        <w:tc>
          <w:tcPr>
            <w:tcW w:w="69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(502,145)</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(192,701)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(70,786)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9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1,025,844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917,212</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9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846,426</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Lazard Group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Members’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Members’</w:t>
            </w:r>
          </w:p>
        </w:tc>
      </w:tr>
      <w:tr>
        <w:trPr>
          <w:trHeight w:val="161"/>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2015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594,834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(163,288)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431,546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62,593</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494,139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338,806</w:t>
            </w:r>
          </w:p>
        </w:tc>
        <w:tc>
          <w:tcPr>
            <w:tcW w:w="120" w:type="dxa"/>
            <w:vAlign w:val="bottom"/>
            <w:shd w:val="clear" w:color="auto" w:fill="CFF0FC"/>
          </w:tcPr>
          <w:p>
            <w:pPr>
              <w:spacing w:after="0"/>
              <w:rPr>
                <w:sz w:val="19"/>
                <w:szCs w:val="19"/>
                <w:color w:val="auto"/>
              </w:rPr>
            </w:pPr>
          </w:p>
        </w:tc>
      </w:tr>
      <w:tr>
        <w:trPr>
          <w:trHeight w:val="213"/>
        </w:trPr>
        <w:tc>
          <w:tcPr>
            <w:tcW w:w="462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(42,373)</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(42,373)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(42,374)</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120" w:type="dxa"/>
            <w:vAlign w:val="bottom"/>
            <w:shd w:val="clear" w:color="auto" w:fill="CFF0FC"/>
          </w:tcPr>
          <w:p>
            <w:pPr>
              <w:spacing w:after="0"/>
              <w:rPr>
                <w:sz w:val="19"/>
                <w:szCs w:val="19"/>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(85,435)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(85,435)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(15,089)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(100,524)</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(189,861)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(189,861)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(189,861)</w:t>
            </w:r>
          </w:p>
        </w:tc>
      </w:tr>
      <w:tr>
        <w:trPr>
          <w:trHeight w:val="206"/>
        </w:trPr>
        <w:tc>
          <w:tcPr>
            <w:tcW w:w="46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 of $9,495</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(95,512)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(95,512)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(95,512)</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(2,008)</w:t>
            </w: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2015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726,643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(205,661)</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520,982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56,507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577,489</w:t>
            </w:r>
          </w:p>
        </w:tc>
        <w:tc>
          <w:tcPr>
            <w:tcW w:w="1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7"/>
        </w:trPr>
        <w:tc>
          <w:tcPr>
            <w:tcW w:w="940" w:type="dxa"/>
            <w:vAlign w:val="bottom"/>
            <w:tcBorders>
              <w:bottom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6" w:lineRule="exact"/>
        <w:rPr>
          <w:sz w:val="20"/>
          <w:szCs w:val="20"/>
          <w:color w:val="auto"/>
        </w:rPr>
      </w:pPr>
    </w:p>
    <w:p>
      <w:pPr>
        <w:ind w:right="60" w:firstLine="8"/>
        <w:spacing w:after="0" w:line="293"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129,766,090 common membership interests issued at both January 1, 2015 and September 30, 2015. Also includes profit participation interests and two managing member interests.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Lazard Group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Members’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Members’</w:t>
            </w:r>
          </w:p>
        </w:tc>
      </w:tr>
      <w:tr>
        <w:trPr>
          <w:trHeight w:val="161"/>
        </w:trPr>
        <w:tc>
          <w:tcPr>
            <w:tcW w:w="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2016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839,517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(189,758)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649,759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53,141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702,900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311,904</w:t>
            </w:r>
          </w:p>
        </w:tc>
        <w:tc>
          <w:tcPr>
            <w:tcW w:w="120" w:type="dxa"/>
            <w:vAlign w:val="bottom"/>
            <w:shd w:val="clear" w:color="auto" w:fill="CFF0FC"/>
          </w:tcPr>
          <w:p>
            <w:pPr>
              <w:spacing w:after="0"/>
              <w:rPr>
                <w:sz w:val="19"/>
                <w:szCs w:val="19"/>
                <w:color w:val="auto"/>
              </w:rPr>
            </w:pPr>
          </w:p>
        </w:tc>
      </w:tr>
      <w:tr>
        <w:trPr>
          <w:trHeight w:val="213"/>
        </w:trPr>
        <w:tc>
          <w:tcPr>
            <w:tcW w:w="462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(7,314)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(7,314)</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20" w:type="dxa"/>
            <w:vAlign w:val="bottom"/>
            <w:shd w:val="clear" w:color="auto" w:fill="CFF0FC"/>
          </w:tcPr>
          <w:p>
            <w:pPr>
              <w:spacing w:after="0"/>
              <w:rPr>
                <w:sz w:val="19"/>
                <w:szCs w:val="19"/>
                <w:color w:val="auto"/>
              </w:rPr>
            </w:pPr>
          </w:p>
        </w:tc>
      </w:tr>
      <w:tr>
        <w:trPr>
          <w:trHeight w:val="213"/>
        </w:trPr>
        <w:tc>
          <w:tcPr>
            <w:tcW w:w="46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(248,742)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(248,742)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(249,615)</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(228,865)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(228,865)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(228,865)</w:t>
            </w:r>
          </w:p>
        </w:tc>
      </w:tr>
      <w:tr>
        <w:trPr>
          <w:trHeight w:val="206"/>
        </w:trPr>
        <w:tc>
          <w:tcPr>
            <w:tcW w:w="46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of $140</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(55,422)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(55,422)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(55,422)</w:t>
            </w: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4620" w:type="dxa"/>
            <w:vAlign w:val="bottom"/>
            <w:gridSpan w:val="2"/>
          </w:tcPr>
          <w:p>
            <w:pPr>
              <w:ind w:left="260"/>
              <w:spacing w:after="0"/>
              <w:rPr>
                <w:sz w:val="20"/>
                <w:szCs w:val="20"/>
                <w:color w:val="auto"/>
              </w:rPr>
            </w:pPr>
            <w:r>
              <w:rPr>
                <w:rFonts w:ascii="Arial" w:cs="Arial" w:eastAsia="Arial" w:hAnsi="Arial"/>
                <w:sz w:val="16"/>
                <w:szCs w:val="16"/>
                <w:color w:val="auto"/>
              </w:rPr>
              <w:t>Delivery of Lazard Ltd Class A common stock and tax benefit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620" w:type="dxa"/>
            <w:vAlign w:val="bottom"/>
            <w:gridSpan w:val="2"/>
          </w:tcPr>
          <w:p>
            <w:pPr>
              <w:ind w:left="260"/>
              <w:spacing w:after="0"/>
              <w:rPr>
                <w:sz w:val="20"/>
                <w:szCs w:val="20"/>
                <w:color w:val="auto"/>
              </w:rPr>
            </w:pPr>
            <w:r>
              <w:rPr>
                <w:rFonts w:ascii="Arial" w:cs="Arial" w:eastAsia="Arial" w:hAnsi="Arial"/>
                <w:sz w:val="16"/>
                <w:szCs w:val="16"/>
                <w:color w:val="auto"/>
              </w:rPr>
              <w:t>of $144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2,984</w:t>
            </w:r>
          </w:p>
        </w:tc>
        <w:tc>
          <w:tcPr>
            <w:tcW w:w="120" w:type="dxa"/>
            <w:vAlign w:val="bottom"/>
          </w:tcPr>
          <w:p>
            <w:pPr>
              <w:spacing w:after="0"/>
              <w:rPr>
                <w:sz w:val="18"/>
                <w:szCs w:val="18"/>
                <w:color w:val="auto"/>
              </w:rPr>
            </w:pPr>
          </w:p>
        </w:tc>
      </w:tr>
      <w:tr>
        <w:trPr>
          <w:trHeight w:val="219"/>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20" w:type="dxa"/>
            <w:vAlign w:val="bottom"/>
            <w:shd w:val="clear" w:color="auto" w:fill="CFF0FC"/>
          </w:tcPr>
          <w:p>
            <w:pPr>
              <w:spacing w:after="0"/>
              <w:rPr>
                <w:sz w:val="19"/>
                <w:szCs w:val="19"/>
                <w:color w:val="auto"/>
              </w:rPr>
            </w:pP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2016 (*)</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836,010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(197,072)</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638,938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57,257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696,195</w:t>
            </w:r>
          </w:p>
        </w:tc>
        <w:tc>
          <w:tcPr>
            <w:tcW w:w="1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7"/>
        </w:trPr>
        <w:tc>
          <w:tcPr>
            <w:tcW w:w="940" w:type="dxa"/>
            <w:vAlign w:val="bottom"/>
            <w:tcBorders>
              <w:bottom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At both January 1, 2016 and September 30, 2016,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Ltd indirectly held 100% of all outstanding Lazard Group common membership interests as of September 30, 2016 and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Lazard Ltd, through its control of the managing members of Lazard Group, controls Lazard Group.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jc w:val="both"/>
        <w:ind w:left="900" w:right="1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2015. The accompanying December 31, 2015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2016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8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8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31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Financial Accounting Standards Board (the “FASB”) issued comprehensive new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During 2016, the FASB issued additional clarifications for certain aspects of the new revenue recognition guidance. The Company is currently evaluating the new guidance.</w:t>
      </w:r>
    </w:p>
    <w:p>
      <w:pPr>
        <w:spacing w:after="0" w:line="17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i w:val="1"/>
          <w:iCs w:val="1"/>
          <w:color w:val="auto"/>
        </w:rPr>
        <w:t>Amendments to the Consolidation Analysis</w:t>
      </w:r>
      <w:r>
        <w:rPr>
          <w:rFonts w:ascii="Arial" w:cs="Arial" w:eastAsia="Arial" w:hAnsi="Arial"/>
          <w:sz w:val="16"/>
          <w:szCs w:val="16"/>
          <w:color w:val="auto"/>
        </w:rPr>
        <w:t>—In February 2015, the FASB issued updated guidance for the consolidation of certain legal entities.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adopted this guidance using the modified retrospective method with an effective adoption date of January 1, 2016. The adoption of this guidance did not have a material impact on our consolidated financial statements or related disclosures.</w:t>
      </w:r>
    </w:p>
    <w:p>
      <w:pPr>
        <w:spacing w:after="0" w:line="15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—In April 2015, the FASB issued updated guidance which requires a company to classify debt issuance costs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 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w:t>
      </w:r>
      <w:r>
        <w:rPr>
          <w:rFonts w:ascii="Arial" w:cs="Arial" w:eastAsia="Arial" w:hAnsi="Arial"/>
          <w:sz w:val="16"/>
          <w:szCs w:val="16"/>
          <w:i w:val="1"/>
          <w:iCs w:val="1"/>
          <w:color w:val="auto"/>
        </w:rPr>
        <w:t xml:space="preserve"> Customers Accounting for Fees Paid in a Cloud Computing Arrangement</w:t>
      </w:r>
      <w:r>
        <w:rPr>
          <w:rFonts w:ascii="Arial" w:cs="Arial" w:eastAsia="Arial" w:hAnsi="Arial"/>
          <w:sz w:val="16"/>
          <w:szCs w:val="16"/>
          <w:color w:val="auto"/>
        </w:rPr>
        <w:t>—In April 2015,</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asset 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6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—In March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18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2016, the FASB issued updated guidance which clarifies how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should classify certain cash receipts and cash payments on the statement of cash flows. The new guidance is effective for annual and interim periods beginning after December 15, 2017 and early adoption is permitted. The new guidance is to be applied on a retrospective basis. The Company is currently evaluating the new guidance.</w:t>
      </w:r>
    </w:p>
    <w:p>
      <w:pPr>
        <w:spacing w:after="0" w:line="37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2016 and 2015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(2,147)</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(4,039)</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September 30, 2016 and December 31, 2015, the Company had receivables past due or deemed uncollectible of $21,580 and $19,923, respectively.</w:t>
      </w:r>
    </w:p>
    <w:p>
      <w:pPr>
        <w:spacing w:after="0" w:line="248"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Of the Company’s fee receivables at September 30, 2016 and December 31, 2015, $77,056 and $81,774, respectively, represented interest-bearing financing receivables. In addition, at September 30, 2016 and December 31, 2015, the Company had interest-bearing receivables from Lazard Ltd subsidiaries of $16,642 and $106,567,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$470,298 and $417,689 at September 30, 2016 and December 31, 2015,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2016 and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454,973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20" w:hanging="512"/>
        <w:spacing w:after="0" w:line="25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$15,011, $38,071 and $129,530, respectively, at September 30,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nine month period ended September 30, 2015.</w:t>
      </w:r>
    </w:p>
    <w:p>
      <w:pPr>
        <w:spacing w:after="0" w:line="16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three month and nine month periods ended September 30, 2016 and 2015, the Company reported in “revenue-other” on its condensed consolidated statements of operations net unrealized investment gains and losses pertaining to “trading” securities still held as of the reporting date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7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Arial" w:cs="Arial" w:eastAsia="Arial" w:hAnsi="Arial"/>
                <w:sz w:val="18"/>
                <w:szCs w:val="18"/>
                <w:color w:val="auto"/>
              </w:rPr>
              <w:t>Net unrealized investment gains (losses)</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9,975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(24,805)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15,221</w:t>
            </w:r>
          </w:p>
        </w:tc>
        <w:tc>
          <w:tcPr>
            <w:tcW w:w="2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4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50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1040" w:right="14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The fair value of investments in private equity funds were classified as Level 3 for certain investments that were valued based on a potential transaction value as of September 30,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8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following tables present, as of September 30,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170,372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139,934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186,196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342,902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520" w:right="60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6"/>
          </w:tcPr>
          <w:p>
            <w:pPr>
              <w:jc w:val="center"/>
              <w:ind w:left="520"/>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5"/>
          </w:tcPr>
          <w:p>
            <w:pPr>
              <w:ind w:left="40"/>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Included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In Earnings (b)</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jc w:val="right"/>
              <w:ind w:right="4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Level 3 Assets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13"/>
          </w:tcPr>
          <w:p>
            <w:pPr>
              <w:jc w:val="center"/>
              <w:ind w:left="680"/>
              <w:spacing w:after="0"/>
              <w:rPr>
                <w:sz w:val="20"/>
                <w:szCs w:val="20"/>
                <w:color w:val="auto"/>
              </w:rPr>
            </w:pPr>
            <w:r>
              <w:rPr>
                <w:rFonts w:ascii="Arial" w:cs="Arial" w:eastAsia="Arial" w:hAnsi="Arial"/>
                <w:sz w:val="14"/>
                <w:szCs w:val="14"/>
                <w:b w:val="1"/>
                <w:bCs w:val="1"/>
                <w:color w:val="auto"/>
                <w:w w:val="93"/>
              </w:rPr>
              <w:t>Nine Months Ended September 30, 2016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Included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Earnings (b)</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Dispositions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9"/>
                <w:szCs w:val="19"/>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Level 3 Assets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6"/>
          </w:tcPr>
          <w:p>
            <w:pPr>
              <w:jc w:val="center"/>
              <w:ind w:left="520"/>
              <w:spacing w:after="0"/>
              <w:rPr>
                <w:sz w:val="20"/>
                <w:szCs w:val="20"/>
                <w:color w:val="auto"/>
              </w:rPr>
            </w:pPr>
            <w:r>
              <w:rPr>
                <w:rFonts w:ascii="Arial" w:cs="Arial" w:eastAsia="Arial" w:hAnsi="Arial"/>
                <w:sz w:val="14"/>
                <w:szCs w:val="14"/>
                <w:b w:val="1"/>
                <w:bCs w:val="1"/>
                <w:color w:val="auto"/>
                <w:w w:val="93"/>
              </w:rPr>
              <w:t>Three Months Ended September 30, 2015 (a)</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5"/>
          </w:tcPr>
          <w:p>
            <w:pPr>
              <w:ind w:left="40"/>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Included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In Earnings (b)</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jc w:val="right"/>
              <w:ind w:right="4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 funds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60"/>
              <w:spacing w:after="0"/>
              <w:rPr>
                <w:sz w:val="20"/>
                <w:szCs w:val="20"/>
                <w:color w:val="auto"/>
              </w:rPr>
            </w:pPr>
            <w:r>
              <w:rPr>
                <w:rFonts w:ascii="Arial" w:cs="Arial" w:eastAsia="Arial" w:hAnsi="Arial"/>
                <w:sz w:val="18"/>
                <w:szCs w:val="18"/>
                <w:color w:val="auto"/>
              </w:rPr>
              <w:t>Total Level 3 Assets</w:t>
            </w:r>
          </w:p>
        </w:tc>
        <w:tc>
          <w:tcPr>
            <w:tcW w:w="15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gridSpan w:val="2"/>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16"/>
          </w:tcPr>
          <w:p>
            <w:pPr>
              <w:jc w:val="center"/>
              <w:ind w:left="520"/>
              <w:spacing w:after="0"/>
              <w:rPr>
                <w:sz w:val="20"/>
                <w:szCs w:val="20"/>
                <w:color w:val="auto"/>
              </w:rPr>
            </w:pPr>
            <w:r>
              <w:rPr>
                <w:rFonts w:ascii="Arial" w:cs="Arial" w:eastAsia="Arial" w:hAnsi="Arial"/>
                <w:sz w:val="14"/>
                <w:szCs w:val="14"/>
                <w:b w:val="1"/>
                <w:bCs w:val="1"/>
                <w:color w:val="auto"/>
                <w:w w:val="93"/>
              </w:rPr>
              <w:t>Nine Months Ended September 30, 2015 (a)</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5"/>
          </w:tcPr>
          <w:p>
            <w:pPr>
              <w:ind w:left="40"/>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Included</w:t>
            </w:r>
          </w:p>
        </w:tc>
        <w:tc>
          <w:tcPr>
            <w:tcW w:w="160" w:type="dxa"/>
            <w:vAlign w:val="bottom"/>
          </w:tcPr>
          <w:p>
            <w:pPr>
              <w:spacing w:after="0"/>
              <w:rPr>
                <w:sz w:val="12"/>
                <w:szCs w:val="12"/>
                <w:color w:val="auto"/>
              </w:rPr>
            </w:pPr>
          </w:p>
        </w:tc>
        <w:tc>
          <w:tcPr>
            <w:tcW w:w="9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In Earnings (b)</w:t>
            </w:r>
          </w:p>
        </w:tc>
        <w:tc>
          <w:tcPr>
            <w:tcW w:w="16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Transfers (c)</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jc w:val="right"/>
              <w:ind w:right="4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 funds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60"/>
              <w:spacing w:after="0"/>
              <w:rPr>
                <w:sz w:val="20"/>
                <w:szCs w:val="20"/>
                <w:color w:val="auto"/>
              </w:rPr>
            </w:pPr>
            <w:r>
              <w:rPr>
                <w:rFonts w:ascii="Arial" w:cs="Arial" w:eastAsia="Arial" w:hAnsi="Arial"/>
                <w:sz w:val="18"/>
                <w:szCs w:val="18"/>
                <w:color w:val="auto"/>
              </w:rPr>
              <w:t>Total Level 3 Assets</w:t>
            </w:r>
          </w:p>
        </w:tc>
        <w:tc>
          <w:tcPr>
            <w:tcW w:w="15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520" w:right="42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tables for the three month and nine month periods ended September 30, 2015 reflect the retrospective application of new disclosure guidance adopted by the Company for investments using NAV or its equivalent as a practical expedient when measuring fair value. See Note 2.</w:t>
      </w:r>
    </w:p>
    <w:p>
      <w:pPr>
        <w:spacing w:after="0" w:line="29" w:lineRule="exact"/>
        <w:rPr>
          <w:rFonts w:ascii="Arial" w:cs="Arial" w:eastAsia="Arial" w:hAnsi="Arial"/>
          <w:sz w:val="16"/>
          <w:szCs w:val="16"/>
          <w:color w:val="auto"/>
        </w:rPr>
      </w:pPr>
    </w:p>
    <w:p>
      <w:pPr>
        <w:ind w:left="520" w:right="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and private equity funds for the three month and nine month periods ended September 30, 2016 and the three month and nine month periods ended September 30, 2015 include net unrealized gains of $2, $7, $635 and $3,416, respectively.</w:t>
      </w:r>
    </w:p>
    <w:p>
      <w:pPr>
        <w:spacing w:after="0" w:line="73" w:lineRule="exact"/>
        <w:rPr>
          <w:rFonts w:ascii="Arial" w:cs="Arial" w:eastAsia="Arial" w:hAnsi="Arial"/>
          <w:sz w:val="18"/>
          <w:szCs w:val="18"/>
          <w:color w:val="auto"/>
        </w:rPr>
      </w:pPr>
    </w:p>
    <w:p>
      <w:pPr>
        <w:ind w:left="520" w:right="44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investments that were valued at NAV as of December 31, 2014 of $19,255 were transferred to Level 3 from the NAV category in the nine months ended September 30, 2015 as these investments were valued based on potential transaction value as of September 30, 2015.</w:t>
      </w:r>
    </w:p>
    <w:p>
      <w:pPr>
        <w:spacing w:after="0" w:line="12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2016 and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2016 and December 31, 2015,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September 30,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7"/>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11,874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Pr>
          <w:p>
            <w:pPr>
              <w:ind w:left="100"/>
              <w:spacing w:after="0"/>
              <w:rPr>
                <w:sz w:val="20"/>
                <w:szCs w:val="20"/>
                <w:color w:val="auto"/>
              </w:rPr>
            </w:pPr>
            <w:r>
              <w:rPr>
                <w:rFonts w:ascii="Arial" w:cs="Arial" w:eastAsia="Arial" w:hAnsi="Arial"/>
                <w:sz w:val="16"/>
                <w:szCs w:val="16"/>
                <w:color w:val="auto"/>
              </w:rPr>
              <w:t>(f)</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33,552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139,934</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(80%), monthly (1%) and quarterly (19%)</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(3%) and monthly (97%)</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$6,724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20,410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10,242</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10,242</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8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2016,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condensed consolidated statements of operations.</w:t>
      </w:r>
    </w:p>
    <w:p>
      <w:pPr>
        <w:spacing w:after="0" w:line="17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September 30, 2016 and December 31,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175,270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520" w:right="340" w:hanging="512"/>
        <w:spacing w:after="0" w:line="259"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$324 and $9,377 as of September 30, 2016, respectively, and $460 and $958 as of December 31, 2015, respectively, for contracts with the same counterparty under legally enforceable master netting agreements. Such amounts are recorded “net” in “other assets”, with receivables for net cash collateral under such contracts of $17,210 and $9,636 as of September 30, 2016 and December 31, 2015, respectively.</w:t>
      </w:r>
    </w:p>
    <w:p>
      <w:pPr>
        <w:spacing w:after="0" w:line="200"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2016 and 2015,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(6,909)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(3,674)</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(3,880)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2016 and December 31, 2015, property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167,838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289,390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204,273</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18</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2016 and December 31, 2015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325,667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330,162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2016 and December 31, 2015, goodwill of $261,126 and $256,220,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2016 and 2015 are as follows:</w:t>
      </w:r>
    </w:p>
    <w:p>
      <w:pPr>
        <w:spacing w:after="0" w:line="230"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Nine Months Ended</w:t>
      </w:r>
    </w:p>
    <w:p>
      <w:pPr>
        <w:jc w:val="center"/>
        <w:ind w:left="6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(18,413)</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2016 and 2015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2016 and December 31, 2015,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Performance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380"/>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costs” in the condensed consolidated statements of operations, for the three month and nine month periods ended September 30, 2016 was $746 and $1,720, respectively, and for the three month and nine month periods ended September 30, 2015 was $511 and $3,401,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2016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660" w:hanging="504"/>
        <w:spacing w:after="0"/>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w w:val="90"/>
              </w:rPr>
              <w:t>September 30, 2016</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Maturity</w:t>
            </w:r>
          </w:p>
        </w:tc>
        <w:tc>
          <w:tcPr>
            <w:tcW w:w="88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Rate(b)</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Debt Costs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Debt Costs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w w:val="91"/>
              </w:rPr>
              <w:t>Lazard Group 2017</w:t>
            </w:r>
          </w:p>
        </w:tc>
        <w:tc>
          <w:tcPr>
            <w:tcW w:w="1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600,000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6/15/17</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w w:val="91"/>
              </w:rPr>
              <w:t>Lazard Group 2020</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496,200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w w:val="91"/>
              </w:rPr>
              <w:t>Lazard Group 2025</w:t>
            </w:r>
          </w:p>
        </w:tc>
        <w:tc>
          <w:tcPr>
            <w:tcW w:w="1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396,015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395,658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26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998,350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990,488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998,350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989,358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80" w:hanging="512"/>
        <w:spacing w:after="0" w:line="293"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condensed consolidated statement of operations for the nine month period ended September 30, 2015.</w:t>
      </w:r>
    </w:p>
    <w:p>
      <w:pPr>
        <w:spacing w:after="0" w:line="70" w:lineRule="exact"/>
        <w:rPr>
          <w:rFonts w:ascii="Arial" w:cs="Arial" w:eastAsia="Arial" w:hAnsi="Arial"/>
          <w:sz w:val="16"/>
          <w:szCs w:val="16"/>
          <w:color w:val="auto"/>
        </w:rPr>
      </w:pPr>
    </w:p>
    <w:p>
      <w:pPr>
        <w:ind w:left="520" w:right="1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the 2017 Notes, Lazard Group’s 4.25% senior notes due November 14, 2020 (the “2020 Notes”) and the 2025 Notes are 6.96%, 4.43% and 3.87%, respectively.</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table, as of December 31, 2015, reflects the retrospective application of new guidance adopted by the Company for debt issuance costs. See Note 2.</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2016 and December 31, 2015,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2016, the Company was in compliance with such provisions. All of the Company’s senior debt obligations are unsecured.</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September 30, 2016, the Company had approximately $164,000 in unused lines of credit available to it, including the credit facility provided under the Amended and Restated Credit Agreement, and unused lines of credit available to LFB of approximately $11,000 (at September 30, 2016 exchange rates).</w:t>
      </w:r>
    </w:p>
    <w:p>
      <w:pPr>
        <w:spacing w:after="0" w:line="181"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The Company’s senior debt at September 30, 2016 and December 31, 2015 is carried at historical amounts of $990,488 and $989,358, respectively. At those dates, the fair value of such senior debt was approximately $1,061,000 and $994,000, respectively. The fair value of the Company’s senior debt is based on market quotations. The Company’s senior debt would be categorized within Level 2 of the hierarchy of fair value measurements if carried at fair value.</w:t>
      </w:r>
    </w:p>
    <w:p>
      <w:pPr>
        <w:spacing w:after="0" w:line="33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2016, LFB had $3,809 of such indemnifications and held $3,723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collateral/counter-guarantees to secure these commitments. The Company believes the likelihood of loss with respect to these indemnities is remote.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liability is recorded in the condensed consolidated statement of financial condition.</w:t>
      </w:r>
    </w:p>
    <w:p>
      <w:pPr>
        <w:spacing w:after="0" w:line="21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b w:val="1"/>
          <w:bCs w:val="1"/>
          <w:i w:val="1"/>
          <w:iCs w:val="1"/>
          <w:color w:val="auto"/>
        </w:rPr>
        <w:t>Certain Business Acquisitions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8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were subject to earnout criteria and payable over time. The Earnout Shares were to be issued only if certain performance thresholds were met. As of December 31, 2015, 913,722 shares were issuable on a contingent basis. As of September 30, 2016 and December 31, 2105, 2,285,714 and 1,371,992 shares, respectively, had been earned and settled because applicable performance thresholds had been satisfied. During the nine month period ended September 30, 2016, the delivery of 913,722 shares of Class A common stock resulted in a non-cash tax benefit of $12,653 recorded in deferred tax assets.</w:t>
      </w:r>
    </w:p>
    <w:p>
      <w:pPr>
        <w:spacing w:after="0" w:line="18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Other Business Acquisitions</w:t>
      </w:r>
      <w:r>
        <w:rPr>
          <w:rFonts w:ascii="Arial" w:cs="Arial" w:eastAsia="Arial" w:hAnsi="Arial"/>
          <w:sz w:val="18"/>
          <w:szCs w:val="18"/>
          <w:color w:val="auto"/>
        </w:rPr>
        <w:t>— For a business acquired in 2012, at December 31, 2012, 170,988 shares of Class A common stock (including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87" w:lineRule="exact"/>
        <w:rPr>
          <w:sz w:val="20"/>
          <w:szCs w:val="20"/>
          <w:color w:val="auto"/>
        </w:rPr>
      </w:pPr>
    </w:p>
    <w:p>
      <w:pPr>
        <w:ind w:right="80" w:firstLine="563"/>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2016, LFB and LFNY had no such underwriting commitments.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5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During the nine month periods ended September 30, 2016 and 2015, Lazard Group distributed $248,742 and $85,435, respectively, to the subsidiaries of Lazard Ltd.</w:t>
      </w:r>
    </w:p>
    <w:p>
      <w:pPr>
        <w:spacing w:after="0" w:line="62"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2016 and since 2013,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Repurchase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5"/>
        </w:trPr>
        <w:tc>
          <w:tcPr>
            <w:tcW w:w="368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380" w:type="dxa"/>
            <w:vAlign w:val="bottom"/>
            <w:tcBorders>
              <w:top w:val="single" w:sz="8" w:color="CFF0FC"/>
            </w:tcBorders>
            <w:shd w:val="clear" w:color="auto" w:fill="CFF0FC"/>
          </w:tcPr>
          <w:p>
            <w:pPr>
              <w:spacing w:after="0"/>
              <w:rPr>
                <w:sz w:val="18"/>
                <w:szCs w:val="18"/>
                <w:color w:val="auto"/>
              </w:rPr>
            </w:pPr>
          </w:p>
        </w:tc>
        <w:tc>
          <w:tcPr>
            <w:tcW w:w="2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2013</w:t>
            </w:r>
          </w:p>
        </w:tc>
        <w:tc>
          <w:tcPr>
            <w:tcW w:w="2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April, 2014</w:t>
            </w:r>
          </w:p>
        </w:tc>
        <w:tc>
          <w:tcPr>
            <w:tcW w:w="2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January, 2016</w:t>
            </w:r>
          </w:p>
        </w:tc>
        <w:tc>
          <w:tcPr>
            <w:tcW w:w="2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Nine Months Ended September 30:</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bottom w:val="single" w:sz="8" w:color="CFF0FC"/>
            </w:tcBorders>
          </w:tcPr>
          <w:p>
            <w:pPr>
              <w:spacing w:after="0" w:line="20" w:lineRule="exact"/>
              <w:rPr>
                <w:sz w:val="1"/>
                <w:szCs w:val="1"/>
                <w:color w:val="auto"/>
              </w:rPr>
            </w:pPr>
          </w:p>
        </w:tc>
        <w:tc>
          <w:tcPr>
            <w:tcW w:w="38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6,656,250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During the nine month periods ended September 30, 2016 and 2015,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the estimated amount of such tax. In addition, during the nine month period ended September 30, 2016, the Company purchased shares of Lazard Ltd Class A common stock from an executive officer. The aggregate value of all such purchases during the nine month periods ended September 30, 2016 and 2015 was approximately $4,900 and $17,700, respectively.</w:t>
      </w:r>
    </w:p>
    <w:p>
      <w:pPr>
        <w:spacing w:after="0" w:line="260" w:lineRule="exact"/>
        <w:rPr>
          <w:sz w:val="20"/>
          <w:szCs w:val="20"/>
          <w:color w:val="auto"/>
        </w:rPr>
      </w:pPr>
    </w:p>
    <w:p>
      <w:pPr>
        <w:ind w:right="660" w:firstLine="518"/>
        <w:spacing w:after="0" w:line="308" w:lineRule="auto"/>
        <w:rPr>
          <w:sz w:val="20"/>
          <w:szCs w:val="20"/>
          <w:color w:val="auto"/>
        </w:rPr>
      </w:pPr>
      <w:r>
        <w:rPr>
          <w:rFonts w:ascii="Arial" w:cs="Arial" w:eastAsia="Arial" w:hAnsi="Arial"/>
          <w:sz w:val="17"/>
          <w:szCs w:val="17"/>
          <w:color w:val="auto"/>
        </w:rPr>
        <w:t>During the nine month period ended September 30, 2015, Lazard Group purchased 605,192 shares of Lazard Ltd Class A common stock from subsidiaries of Lazard Ltd for $32,601. There were no such purchases during the nine month period ended September 30, 2016.</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September 30, 2016, a total of $190,477 of share repurchase authorization remained available under Lazard Ltd’s share repurchase program, which will expire on December 31, 2017.</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2016, Lazard Ltd had in place trading plans under Rule 10b5-1 of the Securities Exchange Act of 1934,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 and activity during the nine month periods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September 30,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(10,755)</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earnings, 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(134,281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(197,074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(197,072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September 30, 2015:</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(31,991)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(14,140)</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(46,131)</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(46,130)</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earnings, 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September 30, 2015</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(40,616)</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(165,048</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(205,664</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(205,661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table below reflects adjustments for items reclassified out of AOCI, by component, for the three month and nine month periods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1,509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1,134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520" w:right="42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2016 and 2015 and noncontrolling interests as of September 30, 2016 and December 31, 2015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960" w:type="dxa"/>
            <w:vAlign w:val="bottom"/>
          </w:tcPr>
          <w:p>
            <w:pPr>
              <w:spacing w:after="0"/>
              <w:rPr>
                <w:sz w:val="11"/>
                <w:szCs w:val="11"/>
                <w:color w:val="auto"/>
              </w:rPr>
            </w:pPr>
          </w:p>
        </w:tc>
        <w:tc>
          <w:tcPr>
            <w:tcW w:w="2120" w:type="dxa"/>
            <w:vAlign w:val="bottom"/>
            <w:gridSpan w:val="5"/>
          </w:tcPr>
          <w:p>
            <w:pPr>
              <w:jc w:val="center"/>
              <w:ind w:left="327"/>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6"/>
          </w:tcPr>
          <w:p>
            <w:pPr>
              <w:jc w:val="right"/>
              <w:ind w:right="5"/>
              <w:spacing w:after="0" w:line="133"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left="339"/>
              <w:spacing w:after="0" w:line="155"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1,268</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4,988</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1,268</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4,989</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25"/>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tcPr>
          <w:p>
            <w:pPr>
              <w:jc w:val="right"/>
              <w:ind w:right="29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1"/>
                <w:szCs w:val="11"/>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57,249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53,132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57,257</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53,141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and nine month periods ended September 30, 2016 and 2015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39,447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38,156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134,419</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129,490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174,110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2016 and 2015, dividend participation rights required the issuance of 969,054 and 603,608 RSUs, respectively.</w:t>
      </w:r>
    </w:p>
    <w:p>
      <w:pPr>
        <w:spacing w:after="0" w:line="208"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38,771 and 23,961 DSUs granted in connection with annual compensation during the nine month periods ended September 30, 2016 and 2015,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7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2016 and 2015, 7,407 and 1,761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969,054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6,649,625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46,178</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(181,337)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(4,527,559)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11,540,387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2015</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13,529,116</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286,227</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603,608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4,111,619</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(461,297)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(7,159,642)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10,019,796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nine month periods ended September 30, 2016 and 2015, the Company satisfied its minimum statutory tax withholding requirements in lieu of delivering 1,416,643 and 1,940,996 shares of Class A common stock during such respective nine month periods. Accordingly, 3,110,916 and 5,218,646 shares of Class A common stock held by the Company were delivered during the nine month periods ended September 30, 2016 and 2015, respectively.</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September 30, 2016, estimated unrecognized RSU compensation expense was approximately $174,364, with such expense expected to be recognized over a weighted average period of approximately 0.9 years subsequent to September 30, 2016.</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2016 and 2015:</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(33,943)</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(802,276)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1,672,777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729,827</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576,886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(45,500)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(512,516)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September 30,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748,697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2016 and 2015, the Company satisfied its minimum statutory tax withholding requirements in lieu of delivering 132,984 and 94,745 shares of Class A common stock during such respective nine month periods. Accordingly, 669,292 and 417,771 shares of Class A common stock held by the Company were delivered during the nine month periods ended September 30, 2016 and 2015,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September 30, 2016, estimated unrecognized restricted stock expense was approximately $38,512, with such expense to be recognized over a weighted average period of approximately 1.0 years subsequent to September 30, 2016.</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2016 and 2015:</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1,229,973</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1,347,148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(696,499)</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PRSUs that vested during the nine month periods ended September 30, 2016 and 2015, the Company satisfied its minimum statutory tax withholding requirements in lieu of delivering 64,169 and 32,086 shares of Class A common stock during such respective nine month periods. Accordingly, 352,852 and 664,413 shares of Class A common stock held by the Company were delivered during the nine month periods ended September 30, 2016 and 2015.</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2016, the total estimated unrecognized compensation expense was approximately $17,330, and the Company expects to amortize such expense over a weighted-average period of approximately 0.7 years subsequent to September 30, 2016.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(75,583)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(94,899)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(3,610)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(64,136)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September 30, 2016.</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2016 and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73"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420"/>
              <w:spacing w:after="0" w:line="155" w:lineRule="exact"/>
              <w:rPr>
                <w:sz w:val="20"/>
                <w:szCs w:val="20"/>
                <w:color w:val="auto"/>
              </w:rPr>
            </w:pPr>
            <w:r>
              <w:rPr>
                <w:rFonts w:ascii="Arial" w:cs="Arial" w:eastAsia="Arial" w:hAnsi="Arial"/>
                <w:sz w:val="14"/>
                <w:szCs w:val="14"/>
                <w:b w:val="1"/>
                <w:bCs w:val="1"/>
                <w:color w:val="auto"/>
                <w:w w:val="99"/>
              </w:rPr>
              <w:t>Three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(6,648)</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(7,146)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460"/>
              <w:spacing w:after="0" w:line="155" w:lineRule="exact"/>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(21,047)</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(21,236)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vMerge w:val="continue"/>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recorded income tax provisions of $21,653 and $49,110 for the three month and nine month periods ended September 30, 2016, respectively, and $26,987 and $52,909 for the three month and nine month periods ended September 30, 2015, respectively, representing effective tax rates of 14.5%, 13.6%, 18.0% and 13.5%,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payable to foreign jurisdictions and (iv) U.S. state and local taxes (primarily UBT), which are incremental to the U.S. federal statutory tax rate.</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370"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 Group’s receivables from subsidiaries of Lazard Ltd at September 30, 2016 and December 31, 2015 included interest- bearing loans of $16,642 and $106,567, respectively, including accrued interest thereon. Interest income relating to interest-bearing loans with subsidiaries of Lazard Ltd amounted to $23 and $233 for the three month and nine month periods ended September 30, 2016 and $164 for both the three month and nine month periods ended September 30, 2015.</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of September 30, 2016 and December 31, 2015, Lazard Group’s payables to subsidiaries of Lazard Ltd included interest-bearing loans, including interest thereon, of approximately $63,000 and $102,000, respectively. Interest expense relating to interest-bearing loans with subsidiaries of Lazard Ltd amounted to $875 and $2,604 for the three month and nine month periods ended September 2016, respectively, and $941 and $2,987 for the three month and nine month periods ended September 30,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$130,546 and $374,250 for the three month and nine month periods ended September 30, 2016, respectively, and $129,524 and $405,145 for the three month and nine month periods ended September 30, 2015, respectively, and are included in “asset management fees” on the condensed consolidated statements of operations. Of such amounts, $54,979 and $42,002 remained as receivables at September 30, 2016 and December 31, 2015, respectively, and are included in “fees receivable” on the condensed consolidated statements of financial condition.</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 and subsidiaries of Lazard Ltd.</w:t>
      </w:r>
    </w:p>
    <w:p>
      <w:pPr>
        <w:spacing w:after="0" w:line="36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2016, LFNY’s regulatory net capital was $73,105, which exceeded the minimum requirement by $69,178. LFNY’s aggregate indebtedness to net capital ratio was 0.81:1 as of September 30, 2016.</w:t>
      </w:r>
    </w:p>
    <w:p>
      <w:pPr>
        <w:spacing w:after="0" w:line="193"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2016, the aggregate regulatory net capital of the U.K. Subsidiaries was $131,370, which exceeded the minimum requirement by $116,180.</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September 30, 2016,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consolidated regulatory net capital of CFLF was $133,377, which exceeded the minimum requirement set for regulatory capital levels by $88,653.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2016, the regulatory net capital of the combined European regulated group was $176,187, which exceeded the minimum requirement set for regulatory capital levels by $98,533.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8"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2016, for those subsidiaries with regulatory capital requirements, their aggregate net capital was $110,833, which exceeded the minimum required capital by $84,709.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2016,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2016 and 2015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9"/>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9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330,832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948,735</w:t>
            </w:r>
          </w:p>
        </w:tc>
        <w:tc>
          <w:tcPr>
            <w:tcW w:w="120" w:type="dxa"/>
            <w:vAlign w:val="bottom"/>
            <w:shd w:val="clear" w:color="auto" w:fill="CFF0FC"/>
          </w:tcPr>
          <w:p>
            <w:pPr>
              <w:spacing w:after="0"/>
              <w:rPr>
                <w:sz w:val="19"/>
                <w:szCs w:val="19"/>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257,561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718,366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68,880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178,101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190,627</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267,725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264,581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767,610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850,226</w:t>
            </w:r>
          </w:p>
        </w:tc>
        <w:tc>
          <w:tcPr>
            <w:tcW w:w="1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185,753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179,155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543,616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554,738</w:t>
            </w:r>
          </w:p>
        </w:tc>
        <w:tc>
          <w:tcPr>
            <w:tcW w:w="120" w:type="dxa"/>
            <w:vAlign w:val="bottom"/>
          </w:tcPr>
          <w:p>
            <w:pPr>
              <w:spacing w:after="0"/>
              <w:rPr>
                <w:sz w:val="20"/>
                <w:szCs w:val="20"/>
                <w:color w:val="auto"/>
              </w:rPr>
            </w:pPr>
          </w:p>
        </w:tc>
      </w:tr>
      <w:tr>
        <w:trPr>
          <w:trHeight w:val="223"/>
        </w:trPr>
        <w:tc>
          <w:tcPr>
            <w:tcW w:w="19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85,426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223,994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295,488</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(24,885)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(41,305)</w:t>
            </w:r>
          </w:p>
        </w:tc>
        <w:tc>
          <w:tcPr>
            <w:tcW w:w="120" w:type="dxa"/>
            <w:vAlign w:val="bottom"/>
            <w:shd w:val="clear" w:color="auto" w:fill="CFF0FC"/>
          </w:tcPr>
          <w:p>
            <w:pPr>
              <w:spacing w:after="0"/>
              <w:rPr>
                <w:sz w:val="19"/>
                <w:szCs w:val="19"/>
                <w:color w:val="auto"/>
              </w:rPr>
            </w:pPr>
          </w:p>
        </w:tc>
      </w:tr>
      <w:tr>
        <w:trPr>
          <w:trHeight w:val="230"/>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(18,223)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16,196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53,095</w:t>
            </w:r>
          </w:p>
        </w:tc>
        <w:tc>
          <w:tcPr>
            <w:tcW w:w="120" w:type="dxa"/>
            <w:vAlign w:val="bottom"/>
            <w:shd w:val="clear" w:color="auto" w:fill="CFF0FC"/>
          </w:tcPr>
          <w:p>
            <w:pPr>
              <w:spacing w:after="0"/>
              <w:rPr>
                <w:sz w:val="19"/>
                <w:szCs w:val="19"/>
                <w:color w:val="auto"/>
              </w:rPr>
            </w:pPr>
          </w:p>
        </w:tc>
      </w:tr>
      <w:tr>
        <w:trPr>
          <w:trHeight w:val="223"/>
        </w:trPr>
        <w:tc>
          <w:tcPr>
            <w:tcW w:w="19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(41,081)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572,852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1,639,192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1,757,656</w:t>
            </w:r>
          </w:p>
        </w:tc>
        <w:tc>
          <w:tcPr>
            <w:tcW w:w="1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422,884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1,278,178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1,365,941</w:t>
            </w:r>
          </w:p>
        </w:tc>
        <w:tc>
          <w:tcPr>
            <w:tcW w:w="12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149,633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149,968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361,014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391,715</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1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292"/>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5"/>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23"/>
        </w:trPr>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gridSpan w:val="2"/>
          </w:tcPr>
          <w:p>
            <w:pPr>
              <w:ind w:left="26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733,549</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763,374</w:t>
            </w:r>
          </w:p>
        </w:tc>
        <w:tc>
          <w:tcPr>
            <w:tcW w:w="120" w:type="dxa"/>
            <w:vAlign w:val="bottom"/>
          </w:tcPr>
          <w:p>
            <w:pPr>
              <w:spacing w:after="0"/>
              <w:rPr>
                <w:sz w:val="19"/>
                <w:szCs w:val="19"/>
                <w:color w:val="auto"/>
              </w:rPr>
            </w:pPr>
          </w:p>
        </w:tc>
      </w:tr>
      <w:tr>
        <w:trPr>
          <w:trHeight w:val="230"/>
        </w:trPr>
        <w:tc>
          <w:tcPr>
            <w:tcW w:w="2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620,554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640,034</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 (a)</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1,873,503</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1,985,646</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3,227,606</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3,389,054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4" w:lineRule="exact"/>
        <w:rPr>
          <w:sz w:val="20"/>
          <w:szCs w:val="20"/>
          <w:color w:val="auto"/>
        </w:rPr>
      </w:pPr>
    </w:p>
    <w:p>
      <w:pPr>
        <w:ind w:left="520" w:right="6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2015, reflects the retrospective application of new disclosure guidance adopted by the Company for debt issuance costs. See Note 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“third quarter,” “first nine months” or “the period” refer to, as the context requires, the three month and nine month periods ended September 30, 2016 and September 30,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and in our Forms 10-Q for the quarters ended March 31, 2016 and June 30, 2016 under the caption “Risk Factors,” including the following:</w:t>
      </w:r>
    </w:p>
    <w:p>
      <w:pPr>
        <w:spacing w:after="0" w:line="74"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risks and uncertainties are not exhaustive. Other sections of the Form 10-K and our Forms 10-Q for the quarters ended March 31, 2016 and June 30, 2016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4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jc w:val="both"/>
        <w:ind w:left="900" w:right="6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jc w:val="both"/>
        <w:ind w:left="900" w:right="16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100" w:firstLine="51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Equity market indices for developed markets at September 30, 2016 were mixed, with U.S. indices generally increasing and European indices generally decreasing as compared to such indices at September 30, 2015 and December 31, 2015. Emerging markets equity indices at September 30, 2016 increased as compared to September 30, 2015 and December 31, 2015. In the global M&amp;A markets during the first nine months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nine months of 2016, global restructuring activity, as measured by the number of corporate defaults, increased as compared to the first nine months of 2015, primarily due to a higher level of defaults in the commodity sector.</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nine months of 2016, volatile market conditions continued. On an ongoing basis, volatile conditions may persist, and regional macroeconomic and geopolitical factors, including the United Kingdom’s vote to leave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20" w:hanging="379"/>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Advisory</w:t>
      </w:r>
      <w:r>
        <w:rPr>
          <w:rFonts w:ascii="Arial" w:cs="Arial" w:eastAsia="Arial" w:hAnsi="Arial"/>
          <w:sz w:val="18"/>
          <w:szCs w:val="18"/>
          <w:color w:val="auto"/>
        </w:rPr>
        <w:t>—The fundamentals for continued M&amp;A activity appear to remain in place. Demand continues for expert,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Lazard Ltd expanded its North American Financial Advisory business through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left="900" w:right="280"/>
        <w:spacing w:after="0" w:line="264" w:lineRule="auto"/>
        <w:rPr>
          <w:sz w:val="20"/>
          <w:szCs w:val="20"/>
          <w:color w:val="auto"/>
        </w:rPr>
      </w:pPr>
      <w:r>
        <w:rPr>
          <w:rFonts w:ascii="Arial" w:cs="Arial" w:eastAsia="Arial" w:hAnsi="Arial"/>
          <w:sz w:val="18"/>
          <w:szCs w:val="18"/>
          <w:color w:val="auto"/>
        </w:rPr>
        <w:t>acquisition of an independent financial advisory firm based in Canada. In addition, in October 2016, we acquired the portion of MBA Lazard that we did not already own, thereby fully integrating our Latin American operations. We believe that these transactions have augmented the strength of our Financial Advisory business throughout the Americas.</w:t>
      </w:r>
    </w:p>
    <w:p>
      <w:pPr>
        <w:spacing w:after="0" w:line="73" w:lineRule="exact"/>
        <w:rPr>
          <w:sz w:val="20"/>
          <w:szCs w:val="20"/>
          <w:color w:val="auto"/>
        </w:rPr>
      </w:pPr>
    </w:p>
    <w:p>
      <w:pPr>
        <w:ind w:left="900" w:right="40" w:hanging="379"/>
        <w:spacing w:after="0" w:line="270"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and Middle East North African Equities.</w:t>
      </w:r>
    </w:p>
    <w:p>
      <w:pPr>
        <w:spacing w:after="0" w:line="17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and our Forms 10-Q for the quarters ended March 31, 2016 and June 30, 2016. Furthermore, net income and revenue in any period may not be indicative of full-year results or the results of any other period and may vary significantly from year to year and quarter to quarter.</w:t>
      </w:r>
    </w:p>
    <w:p>
      <w:pPr>
        <w:spacing w:after="0" w:line="158"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jc w:val="both"/>
        <w:ind w:right="2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nine months of 2016 as compared to 2015. With respect to announced M&amp;A transactions, the value and number of all transactions, including announced transactions with values greater than $500 million, also decreased in the first nine months of 2016 as compared to 2015.</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ind w:left="620"/>
              <w:spacing w:after="0" w:line="155" w:lineRule="exact"/>
              <w:rPr>
                <w:sz w:val="20"/>
                <w:szCs w:val="20"/>
                <w:color w:val="auto"/>
              </w:rPr>
            </w:pPr>
            <w:r>
              <w:rPr>
                <w:rFonts w:ascii="Arial" w:cs="Arial" w:eastAsia="Arial" w:hAnsi="Arial"/>
                <w:sz w:val="14"/>
                <w:szCs w:val="14"/>
                <w:b w:val="1"/>
                <w:bCs w:val="1"/>
                <w:color w:val="auto"/>
                <w:w w:val="92"/>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3,020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7,818</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10,034</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26,292</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30,531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2,338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890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1,187</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3,273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10,273</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27,853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31,117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944</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2,548</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947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4,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100" w:firstLine="518"/>
        <w:spacing w:after="0" w:line="286" w:lineRule="auto"/>
        <w:rPr>
          <w:sz w:val="20"/>
          <w:szCs w:val="20"/>
          <w:color w:val="auto"/>
        </w:rPr>
      </w:pPr>
      <w:r>
        <w:rPr>
          <w:rFonts w:ascii="Arial" w:cs="Arial" w:eastAsia="Arial" w:hAnsi="Arial"/>
          <w:sz w:val="17"/>
          <w:szCs w:val="17"/>
          <w:color w:val="auto"/>
        </w:rPr>
        <w:t>Global restructuring activity during the first nine months of 2016, as measured by the number of corporate defaults, increased as compared to the first nine months of 2015. The number of defaulting issuers increased to 115 in the first nine months of 2016, according to Moody’s Investors Service, Inc., as compared to 68 in the first nine months of 2015, primarily due to a higher level of defaults in the commodity sector.</w:t>
      </w:r>
    </w:p>
    <w:p>
      <w:pPr>
        <w:spacing w:after="0" w:line="16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15% in the first nine months of 2016 as compared to 2015. The industry statistics for global M&amp;A transactions described above reflect a 13% and 14% decrease in the value and number, respectively, of all completed transactions in the first nine months of 2016 as compared to 2015. For M&amp;A deals with values greater than $500 million, the value and number of completed transactions in the first nine months of 2016 decreased 14% and 15%, respectively, as compared to 2015.</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percentage change in major equity market indices at September 30, 2016, as compared to such indices at June 30, 2016, December 31, 2015, and at September 30, 2015,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Percentage Changes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September 30, 2016 vs.</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140"/>
        <w:spacing w:after="0" w:line="273" w:lineRule="auto"/>
        <w:rPr>
          <w:sz w:val="20"/>
          <w:szCs w:val="20"/>
          <w:color w:val="auto"/>
        </w:rPr>
      </w:pPr>
      <w:r>
        <w:rPr>
          <w:rFonts w:ascii="Arial" w:cs="Arial" w:eastAsia="Arial" w:hAnsi="Arial"/>
          <w:sz w:val="17"/>
          <w:szCs w:val="17"/>
          <w:color w:val="auto"/>
        </w:rPr>
        <w:t>Movements in AUM during the period generally reflect the changes in equity market indices. Our AUM at September 30, 2016 increased 10% versus AUM at December 31, 2015, primarily due to market and foreign exchange appreciation and net inflows. Average AUM for the three month period ended September 30, 2016 was 5% higher than average AUM for the three month period ended September 30, 2015. Average AUM for the nine month period ended September 30, 2016 was 3% lower than average AUM for the nine month period ended September 30,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color w:val="auto"/>
        </w:rPr>
        <w:t>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Although Corporate segment net revenue during 2016 is not significant compared to Lazard’s net revenue, total assets in the Corporate segment represented 58% of Lazard’s consolidated total assets as of September 30, 2016,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w:t>
      </w:r>
    </w:p>
    <w:p>
      <w:pPr>
        <w:spacing w:after="0" w:line="2" w:lineRule="exact"/>
        <w:rPr>
          <w:sz w:val="20"/>
          <w:szCs w:val="20"/>
          <w:color w:val="auto"/>
        </w:rPr>
      </w:pPr>
    </w:p>
    <w:p>
      <w:pPr>
        <w:ind w:firstLine="8"/>
        <w:spacing w:after="0" w:line="255"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900" w:right="8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340" w:hanging="386"/>
        <w:spacing w:after="0" w:line="264"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2016 related to the 2015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520" w:hanging="386"/>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w:t>
      </w:r>
    </w:p>
    <w:p>
      <w:pPr>
        <w:ind w:right="20"/>
        <w:spacing w:after="0" w:line="252" w:lineRule="auto"/>
        <w:rPr>
          <w:sz w:val="20"/>
          <w:szCs w:val="20"/>
          <w:color w:val="auto"/>
        </w:rPr>
      </w:pPr>
      <w:r>
        <w:rPr>
          <w:rFonts w:ascii="Arial" w:cs="Arial" w:eastAsia="Arial" w:hAnsi="Arial"/>
          <w:sz w:val="18"/>
          <w:szCs w:val="18"/>
          <w:color w:val="auto"/>
        </w:rPr>
        <w:t>55.8% and 55.4%, respectively, for the year ended December 31, 2015. While we have implemented initiatives that we believe will assist us in continuing to attain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9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8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For all periods, “amortization and other acquisition-related costs” pertain primarily to the acquisition of Edgewater.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nine month periods ended September 30,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607,877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572,852</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1,639,192</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1,757,656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353,468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319,478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958,962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984,675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104,030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317,496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377,865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422,884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1,278,178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1,365,941</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391,715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w w:val="99"/>
              </w:rPr>
              <w:t>Less – Net Income Attributable to Noncontrolling Interests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127,897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121,713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306,915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329,802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40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42" w:name="page43"/>
    <w:bookmarkEnd w:id="42"/>
    <w:p>
      <w:pPr>
        <w:ind w:right="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572,852</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1,639,192</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1,757,656</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12,430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41,962</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(2,661)</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(2,995)</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(12,271)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(15,317)</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Private equity revenue adjustment (c)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(12,203)</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(6,909)</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(4,707)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610,611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594,432</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1,659,065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1,782,001</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78"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353,468</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319,478</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958,962</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984,675</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(3,557)</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(4,707)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344,796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330,467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949,146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991,021</w:t>
            </w:r>
          </w:p>
        </w:tc>
        <w:tc>
          <w:tcPr>
            <w:tcW w:w="180" w:type="dxa"/>
            <w:vAlign w:val="bottom"/>
            <w:tcBorders>
              <w:bottom w:val="single" w:sz="8" w:color="CFF0FC"/>
            </w:tcBorders>
          </w:tcPr>
          <w:p>
            <w:pPr>
              <w:spacing w:after="0"/>
              <w:rPr>
                <w:sz w:val="22"/>
                <w:szCs w:val="22"/>
                <w:color w:val="auto"/>
              </w:rPr>
            </w:pPr>
          </w:p>
        </w:tc>
      </w:tr>
      <w:tr>
        <w:trPr>
          <w:trHeight w:val="196"/>
        </w:trPr>
        <w:tc>
          <w:tcPr>
            <w:tcW w:w="57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17"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2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104,030</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102,895</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317,496</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377,865</w:t>
            </w:r>
          </w:p>
        </w:tc>
        <w:tc>
          <w:tcPr>
            <w:tcW w:w="180" w:type="dxa"/>
            <w:vAlign w:val="bottom"/>
          </w:tcPr>
          <w:p>
            <w:pPr>
              <w:spacing w:after="0"/>
              <w:rPr>
                <w:sz w:val="19"/>
                <w:szCs w:val="19"/>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(b)</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(60,219)</w:t>
            </w:r>
          </w:p>
        </w:tc>
      </w:tr>
      <w:tr>
        <w:trPr>
          <w:trHeight w:val="263"/>
        </w:trPr>
        <w:tc>
          <w:tcPr>
            <w:tcW w:w="4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10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103,565</w:t>
            </w:r>
          </w:p>
        </w:tc>
        <w:tc>
          <w:tcPr>
            <w:tcW w:w="3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102,485</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316,521</w:t>
            </w:r>
          </w:p>
        </w:tc>
        <w:tc>
          <w:tcPr>
            <w:tcW w:w="180" w:type="dxa"/>
            <w:vAlign w:val="bottom"/>
            <w:tcBorders>
              <w:bottom w:val="single" w:sz="8" w:color="CFF0FC"/>
            </w:tcBorders>
          </w:tcPr>
          <w:p>
            <w:pPr>
              <w:spacing w:after="0"/>
              <w:rPr>
                <w:sz w:val="22"/>
                <w:szCs w:val="22"/>
                <w:color w:val="auto"/>
              </w:rPr>
            </w:pPr>
          </w:p>
        </w:tc>
      </w:tr>
      <w:tr>
        <w:trPr>
          <w:trHeight w:val="196"/>
        </w:trPr>
        <w:tc>
          <w:tcPr>
            <w:tcW w:w="47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non-compensation expense, as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128" w:lineRule="exact"/>
        <w:rPr>
          <w:rFonts w:ascii="Arial" w:cs="Arial" w:eastAsia="Arial" w:hAnsi="Arial"/>
          <w:sz w:val="17"/>
          <w:szCs w:val="17"/>
          <w:color w:val="auto"/>
        </w:rPr>
      </w:pPr>
    </w:p>
    <w:p>
      <w:pPr>
        <w:ind w:left="380" w:right="34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610,611</w:t>
            </w:r>
          </w:p>
        </w:tc>
        <w:tc>
          <w:tcPr>
            <w:tcW w:w="100" w:type="dxa"/>
            <w:vAlign w:val="bottom"/>
          </w:tcPr>
          <w:p>
            <w:pPr>
              <w:spacing w:after="0"/>
              <w:rPr>
                <w:sz w:val="19"/>
                <w:szCs w:val="19"/>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594,432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1,659,065</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1,782,001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(344,796)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(330,467)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(949,146)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(103,565)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(102,485)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(315,996)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162,250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161,480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393,923</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474,459</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$128 million, as compared to net income of $122 million in the 2015 period. The changes in the Company’s operating results during these periods are described below.</w:t>
      </w:r>
    </w:p>
    <w:p>
      <w:pPr>
        <w:spacing w:after="0" w:line="170"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Net revenue increased $35 million, or 6%, with operating revenue increasing $16 million, or 3%, as compared to the 2015 period. Fee revenue from investment banking and other advisory activities increased $13 million, or 4%, primarily due to an increase in Restructuring revenue, which generally reflected a higher level of activity in the U.S. energy sector in the 2016 period. Asset management fees, including incentive fees, remained substantially unchanged as compared to the 2015 period. In the aggregate, interest income, other revenue and interest expense increased $22 million as compared to the 2015 period, primarily due to an increase in gains in the 2016 period attributable to investments held in connection with LFI.</w:t>
      </w:r>
    </w:p>
    <w:p>
      <w:pPr>
        <w:spacing w:after="0" w:line="15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$34 million, or 11%, as compared to the 2015 period, primarily due to an increase in discretionary compensation and an increase in charges pertaining to LFI.</w:t>
      </w:r>
    </w:p>
    <w:p>
      <w:pPr>
        <w:spacing w:after="0" w:line="170"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$345 million, an increase of $15 million, or 4%, as compared to $330 million in the 2015 period. The ratio of adjusted compensation and benefits expense to operating revenue was 56.5% for the 2016 period, as compared to 55.6% for the 2015 period and 55.4% for full-year 2015.</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Non-compensation expense increased $1 million, or 1%, as compared to the 2015 period. Adjusted non-compensation expense, which excludes non-compensation costs relating to noncontrolling interests, increased $1 million, or 1%, as compared to the 2015 period. The ratio of adjusted non-compensation expense to operating revenue was 17.0%, as compared to 17.2% in the 2015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remained substantially unchanged as compared to the 2015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remained substantially unchanged as compared to the 2015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Earnings from operations remained substantially unchanged as compared to the 2015 period, and, as a percentage of operating revenue, was 26.6%, as compared to 27.2% in the 2015 period.</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14.5%, as compared to 18.0% for the 2015 period (see Note 14 of Notes to Condensed Consolidated Financial Statements for additional information).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2015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$307 million, as compared to net income of $330 million in the 2015 period. The changes in the Company’s operating results during these periods are described below.</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Net revenue decreased $119 million, or 7%, with operating revenue decreasing $123 million, or 7%, as compared to the 2015 period. Fee revenue from investment banking and other advisory activities decreased $51 million, or 5%, primarily due to decreases in M&amp;A and Other Advisory fees. The decrease in M&amp;A and Other Advisory fee revenue was primarily due to a lower number of M&amp;A transactions completed as compared to the 2015 period. This decrease was partially offset by an increase in Restructuring revenue, which generally reflected a higher level of activity in the U.S. energy sector in the 2016 period. Asset management fees, including incentive fees, decreased $55 million, or 7%, as compared to the 2015 period, due to a decrease in average AUM primarily as a result of market depreciation, a change in the mix of AUM and a decrease in incentive fees relating to traditional investment products and mutual funds. In the aggregate, interest income, other revenue and interest expense decreased $13 million as compared to the 2015 period, primarily due to a $24 million gain in the 2015 period on the disposal of the Company’s Australian private equity business (which relates primarily to the realization of carried interest at fair value) partially offset by, in the 2016 period, higher gains attributable to investments held in connection with LFI.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ind w:right="600" w:firstLine="518"/>
        <w:spacing w:after="0" w:line="277" w:lineRule="auto"/>
        <w:rPr>
          <w:sz w:val="20"/>
          <w:szCs w:val="20"/>
          <w:color w:val="auto"/>
        </w:rPr>
      </w:pPr>
      <w:r>
        <w:rPr>
          <w:rFonts w:ascii="Arial" w:cs="Arial" w:eastAsia="Arial" w:hAnsi="Arial"/>
          <w:sz w:val="18"/>
          <w:szCs w:val="18"/>
          <w:color w:val="auto"/>
        </w:rPr>
        <w:t>Compensation and benefits expense decreased $26 million, or 3%, as compared to the 2015 period, primarily due to a decrease in discretionary compensation associated with decreased operating revenue, partially offset by an increase in charges pertaining to LFI.</w:t>
      </w:r>
    </w:p>
    <w:p>
      <w:pPr>
        <w:spacing w:after="0" w:line="170"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$949 million, a decrease of $42 million, or 4%, as compared to $991 million in the 2015 period. The ratio of adjusted compensation and benefits expense to operating revenue was 57.2% for the 2016 period, as compared to 55.6% for the 2015 period and 55.4% for full-year 2015. Adjusted compensation and benefits expense in the 2016 period generally reflected lower operating revenue in the 2016 period.</w:t>
      </w:r>
    </w:p>
    <w:p>
      <w:pPr>
        <w:spacing w:after="0" w:line="17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Non-compensation expense decreased $60 million, or 16%,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remained substantially unchanged as compared to the 2015 period. The ratio of adjusted non-compensation expense to operating revenue was 19.0%, as compared to 17.8% in the 2015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decreased $2 million as compared to the 2015 period.</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Operating income decreased $31 million as compared to the 2015 period, which included a charge relating to the redemption of a significant portion of the Company’s 2017 Notes.</w:t>
      </w:r>
    </w:p>
    <w:p>
      <w:pPr>
        <w:spacing w:after="0" w:line="170"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Earnings from operations decreased $81 million, or 17%, as compared to the 2015 period, which excluded the charge related to the redemption of a significant portion of the Company’s 2017 Notes, and, as a percentage of operating revenue, was 23.7%, as compared to 26.6% in the 2015 period.</w:t>
      </w:r>
    </w:p>
    <w:p>
      <w:pPr>
        <w:spacing w:after="0" w:line="12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13.6%, as compared to 13.5% for the 2015 period (see Note 14 of Notes to Condensed Consolidated Financial Statements for additional information).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$4 million, as compared to the 2015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M&amp;A and Other Advisory</w:t>
            </w:r>
          </w:p>
        </w:tc>
        <w:tc>
          <w:tcPr>
            <w:tcW w:w="17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281,649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288,109</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699,643</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822,063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Raising</w:t>
            </w:r>
          </w:p>
        </w:tc>
        <w:tc>
          <w:tcPr>
            <w:tcW w:w="1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51,794</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Strategic Advisory</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292,216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730,380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873,857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w:t>
            </w:r>
          </w:p>
        </w:tc>
        <w:tc>
          <w:tcPr>
            <w:tcW w:w="1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330,832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948,735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261,952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718,366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758,108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190,627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700" w:type="dxa"/>
            <w:vAlign w:val="bottom"/>
            <w:gridSpan w:val="2"/>
          </w:tcPr>
          <w:p>
            <w:pPr>
              <w:jc w:val="right"/>
              <w:ind w:right="105"/>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color w:val="auto"/>
        </w:rPr>
        <w:t>Certain fee and transaction statistics for the Financial Advisory segment are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500" w:type="dxa"/>
            <w:vAlign w:val="bottom"/>
            <w:gridSpan w:val="3"/>
          </w:tcPr>
          <w:p>
            <w:pPr>
              <w:ind w:left="110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74</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75</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M&amp;A and Other Advisory</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58</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89"/>
              </w:rPr>
              <w:t>62</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r>
      <w:tr>
        <w:trPr>
          <w:trHeight w:val="215"/>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top 10 clients</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36%</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15"/>
        </w:trPr>
        <w:tc>
          <w:tcPr>
            <w:tcW w:w="654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than $500 million (a)</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18</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89"/>
              </w:rPr>
              <w:t>19</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4, 2016.</w:t>
      </w:r>
    </w:p>
    <w:p>
      <w:pPr>
        <w:spacing w:after="0" w:line="22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geographical distribution of Financial Advisory net revenue is set forth below in percentage terms and is based on the Lazard offices that generate Financial Advisory net revenue, which are located in North America, Europe (primarily in the U.K., France, Italy, Spain and Germany) and the rest of the world (primarily in Australia) and therefore may not be reflective of the geography in which the clients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Financial Advisory net revenue increased $13 million, or 4%, as compared to the 2015 period. Total Strategic Advisory net revenue, representing fees from our M&amp;A and Other Advisory and Capital Raising businesses, decreased $13 million, or 4%, and Restructuring revenue increased $26 million, or 99%, as compared to the 2015 period.</w:t>
      </w:r>
    </w:p>
    <w:p>
      <w:pPr>
        <w:spacing w:after="0" w:line="18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M&amp;A and Other Advisory revenue decreased $6 million, or 2%, while Capital Raising revenue decreased $6 million, or 38%, as compared to the 2015 period. The decrease in M&amp;A and Other Advisory revenue was primarily due to a lower number of M&amp;A transactions completed as compared to the 2015 period. Clients which in the aggregate represented a significant portion of our M&amp;A and Other Advisory revenue in the 2016 period included ARM Holdings, Columbia Pipeline Group, Dentsu Aegis Network, L’Oreal, Starwood Hotels &amp; Resorts Worldwide and Tyco International.</w:t>
      </w:r>
    </w:p>
    <w:p>
      <w:pPr>
        <w:spacing w:after="0" w:line="17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Restructuring revenue in the 2016 period primarily reflected a higher level of activity in the U.S energy sector in the 2016 period. Clients which in the aggregate represented a significant portion of our Restructuring revenue in the 2016 period included Horsehead Holding, Sabine Oil &amp; Gas and The Official Committee of Unsecured Creditors of Energy Future Holdings.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ind w:left="520"/>
        <w:spacing w:after="0"/>
        <w:rPr>
          <w:sz w:val="20"/>
          <w:szCs w:val="20"/>
          <w:color w:val="auto"/>
        </w:rPr>
      </w:pPr>
      <w:r>
        <w:rPr>
          <w:rFonts w:ascii="Arial" w:cs="Arial" w:eastAsia="Arial" w:hAnsi="Arial"/>
          <w:sz w:val="16"/>
          <w:szCs w:val="16"/>
          <w:color w:val="auto"/>
        </w:rPr>
        <w:t>Operating expenses decreased $4 million, or 2%, as compared to the 2015 period, primarily due to a decrease in compensation and benefits expense.</w:t>
      </w:r>
    </w:p>
    <w:p>
      <w:pPr>
        <w:spacing w:after="0" w:line="24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$86 million, an increase of $17 million, or 25%, as compared to operating income of $69 million in the 2015 period and, as a percentage of net revenue, was 25.0%, as compared to 20.8% in the 2015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Financial Advisory net revenue decreased $52 million, or 6%, as compared to the 2015 period. Total Strategic Advisory net revenue, representing fees from our M&amp;A and Other Advisory and Capital Raising businesses, decreased $143 million, or 16%, and Restructuring revenue increased $91 million, or 122%, as compared to the 2015 period.</w:t>
      </w:r>
    </w:p>
    <w:p>
      <w:pPr>
        <w:spacing w:after="0" w:line="181"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M&amp;A and Other Advisory revenue decreased $122 million, or 15%, and Capital Raising revenue decreased $21 million, or 41%, as compared to the 2015 period. The decrease in M&amp;A and Other Advisory revenue was primarily due to a lower number of M&amp;A transactions completed as compared to the 2015 period. Restructuring revenue in the 2016 period primarily reflected a higher level of activity in the U.S energy sector in the 2016 period.</w:t>
      </w:r>
    </w:p>
    <w:p>
      <w:pPr>
        <w:spacing w:after="0" w:line="14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Operating expenses decreased $40 million, or 5%, as compared to the 2015 period, primarily due to a decrease in discretionary compensation and benefits expense associated with decreased operating revenue.</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Financial Advisory operating income was $178 million, a decrease of $13 million, or 7%, as compared to operating income of $191 million in the 2015 period and, as a percentage of net revenue, was 19.9%, as compared to 20.1% in the 2015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43,624</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31,407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31,354</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30,387</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205,440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Total AUM at September 30, 2016 was $205 billion, an increase of $19 billion, or 10%, as compared to total AUM of $186 billion at December 31, 2015, primarily due to market and foreign exchange appreciation and net inflows. Average AUM for the three month period ended September 30, 2016 increased 5% as compared to the three month period ended September 30, 2015, but decreased 3% for the nine month period ended September 30, 2016 as compared to the nine month period ended September 30, 2015.</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September 30,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September 30,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280"/>
        <w:spacing w:after="0" w:line="277" w:lineRule="auto"/>
        <w:rPr>
          <w:sz w:val="20"/>
          <w:szCs w:val="20"/>
          <w:color w:val="auto"/>
        </w:rPr>
      </w:pPr>
      <w:r>
        <w:rPr>
          <w:rFonts w:ascii="Arial" w:cs="Arial" w:eastAsia="Arial" w:hAnsi="Arial"/>
          <w:sz w:val="18"/>
          <w:szCs w:val="18"/>
          <w:color w:val="auto"/>
        </w:rPr>
        <w:t>2016, approximately 12% of our AUM was managed on behalf of individual client relationships, which are principally with family offices and individuals, compared to approximately 11% at December 31, 2015.</w:t>
      </w:r>
    </w:p>
    <w:p>
      <w:pPr>
        <w:spacing w:after="0" w:line="170"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As of September 30, 2016 and December 31, 2015, AUM with foreign currency exposure represented approximately 72% of our total AUM.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2016 and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40" w:hanging="372"/>
        <w:spacing w:after="0" w:line="259"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Emerging Markets and Local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and Multi-Regional platforms.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9"/>
          </w:tcPr>
          <w:p>
            <w:pPr>
              <w:jc w:val="right"/>
              <w:ind w:right="250"/>
              <w:spacing w:after="0"/>
              <w:rPr>
                <w:sz w:val="20"/>
                <w:szCs w:val="20"/>
                <w:color w:val="auto"/>
              </w:rPr>
            </w:pPr>
            <w:r>
              <w:rPr>
                <w:rFonts w:ascii="Arial" w:cs="Arial" w:eastAsia="Arial" w:hAnsi="Arial"/>
                <w:sz w:val="14"/>
                <w:szCs w:val="14"/>
                <w:b w:val="1"/>
                <w:bCs w:val="1"/>
                <w:color w:val="auto"/>
                <w:w w:val="98"/>
              </w:rPr>
              <w:t>Nine Months Ended September 30, 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(21,497)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80" w:hanging="372"/>
        <w:spacing w:after="0" w:line="259"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and Multi-Regional platforms.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9"/>
              </w:rPr>
              <w:t>Three Months Ended September 30, 2015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Outflows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(3,795)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203,086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47</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Nine Months Ended September 30, 2015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Outflows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(6,140)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60" w:firstLine="518"/>
        <w:spacing w:after="0" w:line="308" w:lineRule="auto"/>
        <w:rPr>
          <w:sz w:val="20"/>
          <w:szCs w:val="20"/>
          <w:color w:val="auto"/>
        </w:rPr>
      </w:pPr>
      <w:r>
        <w:rPr>
          <w:rFonts w:ascii="Arial" w:cs="Arial" w:eastAsia="Arial" w:hAnsi="Arial"/>
          <w:sz w:val="17"/>
          <w:szCs w:val="17"/>
          <w:color w:val="auto"/>
        </w:rPr>
        <w:t>As of October 24, 2016, AUM was $202.6 billion, a $2.8 billion decrease since September 30, 2016. The decrease in AUM was due to foreign exchange depreciation of $2.8 billion and net outflows of $0.6 billion, partially offset by market appreciation of $0.6 billion.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2016 and 2015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163,462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155,116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157,093</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161,076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192,026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192,989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251,851</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248,143</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716,368</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758,631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Incentive Fees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267,725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185,753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179,155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554,738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81,972</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223,994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295,488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6540" w:type="dxa"/>
            <w:vAlign w:val="bottom"/>
            <w:gridSpan w:val="2"/>
          </w:tcPr>
          <w:p>
            <w:pPr>
              <w:ind w:left="56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60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Asset Management net revenue increased $3 million, or 1%, as compared to the 2015 period. Management fees increased $4 million, or 1%, as compared to the 2015 period, primarily due to an increase in average AUM. Incentive fees decreased $2 million, or 78%, as compared to the 2015 period, primarily due to incentive fees related to traditional investment products. Other revenue increased $1 million, or 11%, as compared to the 2015 period.</w:t>
      </w:r>
    </w:p>
    <w:p>
      <w:pPr>
        <w:spacing w:after="0" w:line="14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Operating expenses increased $7 million, or 4%, as compared to the 2015 period, primarily due to increases in compensation and benefits expense related to an increase in discretionary compensation.</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Asset Management operating income was $82 million, a decrease of $3 million, or 4%, as compared to operating income of $85 million in the 2015 period and, as a percentage of net revenue, was 30.6%, as compared to 32.3% in the 2015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Asset Management net revenue decreased $83 million, or 10%, as compared to the 2015 period. Management fees decreased $42 million, or 6%, as compared to the 2015 period, primarily due to a decrease in average AUM primarily as a result of market depreciation and a change in the mix of AUM. Incentive fees decreased $12 million, or 78%, as compared to the 2015 period, primarily due to incentive fees related to traditional investment products and mutual funds. Other revenue decreased $29 million, or 37%, as compared to the 2015 period, principally due to a $24 million gain in 2015 on the disposal of the Company’s Australian private equity business (which relates primarily to the realization of carried interest at fair value).</w:t>
      </w:r>
    </w:p>
    <w:p>
      <w:pPr>
        <w:spacing w:after="0" w:line="173"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decreased $11 million, or 2%, as compared to the 2015 period, primarily due to decreases in (i) compensation and benefits expense and (ii) non-compensation expense related to fund administration and outsourced services.</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$224 million, a decrease of $71 million, or 24%, as compared to operating income of $295 million in the 2015 period and, as a percentage of net revenue, was 29.2%, as compared to 34.8% in the 2015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(12,918)</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(12,616)</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(11,757)</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(10,804)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(22,561)</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Operating Expenses (Credit) (a)</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(18,223)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0" w:type="dxa"/>
            <w:vAlign w:val="bottom"/>
            <w:vMerge w:val="restart"/>
          </w:tcPr>
          <w:p>
            <w:pPr>
              <w:jc w:val="right"/>
              <w:ind w:right="7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6" w:right="219" w:bottom="1440" w:gutter="0" w:footer="0" w:header="0"/>
        </w:sectPr>
      </w:pPr>
    </w:p>
    <w:bookmarkStart w:id="51" w:name="page52"/>
    <w:bookmarkEnd w:id="51"/>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Includes $60,219 in the nine months ended September 30, 2015 relating to the redemption of a significant portion of the Company’s 2017 Notes.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2015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increased $20 million as compared to the 2015 period, primarily due to higher gains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Operating expenses increased $33 million compared to the 2015 period, primarily due to an increase in compensation and benefits expense, including an increase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Net interest expense decreased $4 million, or 10%, as compared to the 2015 period, primarily due to the redemption of $450 million of the 2017 Notes and the issuance of $400 million aggregate principal amount of 3.75% senior notes due 2025 (the “2025 Notes”) in the 2015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increased $12 million as compared to the 2015 period, primarily due to higher gains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Operating expenses decreased $37 million as compared to the 2015 period, including, in the 2015 period, a charge of $60 million related to the redemption of a significant portion of the Company’s 2017 Notes. Excluding the impact of such charge, operating expenses increased $23 million compared to the 2015 period, primarily due to an increase in compensation and benefits expense, including an increase in charges pertaining to LFI.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6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Summary of Cash Flows:</w:t>
      </w:r>
    </w:p>
    <w:p>
      <w:pPr>
        <w:spacing w:after="0" w:line="23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gridSpan w:val="8"/>
          </w:tcPr>
          <w:p>
            <w:pPr>
              <w:jc w:val="right"/>
              <w:ind w:right="13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311.9</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297.7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(275.6)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334.0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5"/>
          </w:tcPr>
          <w:p>
            <w:pPr>
              <w:jc w:val="right"/>
              <w:ind w:right="180"/>
              <w:spacing w:after="0"/>
              <w:rPr>
                <w:sz w:val="20"/>
                <w:szCs w:val="20"/>
                <w:color w:val="auto"/>
              </w:rPr>
            </w:pPr>
            <w:r>
              <w:rPr>
                <w:rFonts w:ascii="Arial" w:cs="Arial" w:eastAsia="Arial" w:hAnsi="Arial"/>
                <w:sz w:val="18"/>
                <w:szCs w:val="18"/>
                <w:color w:val="auto"/>
              </w:rPr>
              <w:t>(505.5)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5"/>
          </w:tcPr>
          <w:p>
            <w:pPr>
              <w:jc w:val="right"/>
              <w:ind w:right="180"/>
              <w:spacing w:after="0"/>
              <w:rPr>
                <w:sz w:val="20"/>
                <w:szCs w:val="20"/>
                <w:color w:val="auto"/>
              </w:rPr>
            </w:pPr>
            <w:r>
              <w:rPr>
                <w:rFonts w:ascii="Arial" w:cs="Arial" w:eastAsia="Arial" w:hAnsi="Arial"/>
                <w:sz w:val="18"/>
                <w:szCs w:val="18"/>
                <w:color w:val="auto"/>
              </w:rPr>
              <w:t>(192.7)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1,025.8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917.2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7"/>
          </w:tcPr>
          <w:p>
            <w:pPr>
              <w:jc w:val="center"/>
              <w:ind w:left="354"/>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left="514"/>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5"/>
          </w:tcPr>
          <w:p>
            <w:pPr>
              <w:jc w:val="center"/>
              <w:ind w:left="514"/>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disposal of subsidiaries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40" w:hanging="372"/>
        <w:spacing w:after="0" w:line="286"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Consists primarily of purchases of shares of Lazard Ltd Class A common stock, tax withholdings related to the settlement of vested restricted stock units (“RSUs”), vested restricted stock awards and vested PRSUs, distributions to members and noncontrolling interest holders and activity relating to borrowings, including, in 2015, the redemption of a majority of the Company’s 2017 Notes and issuance of the 2025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such amounts generally being recorded in “deposits with banks and short-term investments”. In the nine month period ended September 30, 2016,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ind w:right="140"/>
        <w:spacing w:after="0" w:line="264" w:lineRule="auto"/>
        <w:rPr>
          <w:sz w:val="20"/>
          <w:szCs w:val="20"/>
          <w:color w:val="auto"/>
        </w:rPr>
      </w:pPr>
      <w:r>
        <w:rPr>
          <w:rFonts w:ascii="Arial" w:cs="Arial" w:eastAsia="Arial" w:hAnsi="Arial"/>
          <w:sz w:val="18"/>
          <w:szCs w:val="18"/>
          <w:color w:val="auto"/>
        </w:rPr>
        <w:t>reflected on the condensed consolidated statements of financial condition, both “deposits with banks and short-term investments” and “deposits and other customer payables” increased as compared to December 31, 2015, this being due to a higher level of LFB customer-related demand deposits, primarily from clients and funds managed by LFG.</w:t>
      </w:r>
    </w:p>
    <w:p>
      <w:pPr>
        <w:spacing w:after="0" w:line="18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September 30, 2016, Lazard had approximately $833 million of cash, with such amount including approximately $431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2016, Lazard had approximately $164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$11 million (at September 30, 2016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table below sets forth our corporate indebtedness as of September 30,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2016</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2017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r>
              <w:rPr>
                <w:rFonts w:ascii="Arial" w:cs="Arial" w:eastAsia="Arial" w:hAnsi="Arial"/>
                <w:sz w:val="18"/>
                <w:szCs w:val="18"/>
                <w:u w:val="single" w:color="auto"/>
                <w:color w:val="auto"/>
              </w:rPr>
              <w:t>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40"/>
        <w:spacing w:after="0" w:line="255" w:lineRule="auto"/>
        <w:rPr>
          <w:sz w:val="20"/>
          <w:szCs w:val="20"/>
          <w:color w:val="auto"/>
        </w:rPr>
      </w:pPr>
      <w:r>
        <w:rPr>
          <w:rFonts w:ascii="Arial" w:cs="Arial" w:eastAsia="Arial" w:hAnsi="Arial"/>
          <w:sz w:val="18"/>
          <w:szCs w:val="18"/>
          <w:color w:val="auto"/>
        </w:rPr>
        <w:t>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2016, Lazard Group was in compliance with such ratios, with its Consolidated Leverage Ratio being 1.16 to 1.00 and its Consolidated Interest Coverage Ratio being 20.06 to 1.00. In any event, no amounts were outstanding under the Amended and Restated Credit Agreement as of September 30, 2016.</w:t>
      </w:r>
    </w:p>
    <w:p>
      <w:pPr>
        <w:spacing w:after="0" w:line="19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At September 30, 2016, total members’ equity was $696 million, as compared to $703 million at December 31, 2015, including $639 million and $650 million attributable to Lazard Group on the respective dates. The net activity in members’ equity during the nine month period ended September 30, 2016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Equity—January 1, 2016</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Other—net</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Equity—September 30, 2016</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6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8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3,141,526</w:t>
            </w:r>
          </w:p>
        </w:tc>
        <w:tc>
          <w:tcPr>
            <w:tcW w:w="2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2016</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6,656,250</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September 30, 2016, a total of $191 million of share repurchase authorization remained available under Lazard Ltd’s share repurchase program, which will expire on December 31, 2017.</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2016, Lazard Ltd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26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1,227,504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141,337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(exclusive of $50,031 of 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851,579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2,096,562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234,964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688,833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957,959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$6,724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80" w:hanging="372"/>
        <w:spacing w:after="0" w:line="286"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$170 million, with such amount partially offset by a valuation allowance of approximately $89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not yet attained a sustained level of profitability.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$89 million of deferred tax assets held by these entities as of December 31, 2015.</w:t>
      </w:r>
    </w:p>
    <w:p>
      <w:pPr>
        <w:spacing w:after="0" w:line="15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82,062</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85,419</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146,144</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83,729</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 (c)</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160,486</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306,630</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Add:</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16,490</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198,675</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530,712</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September 30, 2016 and December 31, 2015, seed investments in directly owned equity securities were invested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$30 million as of September 30, 2016 and December 31, 2015, respectively.</w:t>
      </w:r>
    </w:p>
    <w:p>
      <w:pPr>
        <w:spacing w:after="0" w:line="15" w:lineRule="exact"/>
        <w:rPr>
          <w:rFonts w:ascii="Arial" w:cs="Arial" w:eastAsia="Arial" w:hAnsi="Arial"/>
          <w:sz w:val="16"/>
          <w:szCs w:val="16"/>
          <w:color w:val="auto"/>
        </w:rPr>
      </w:pPr>
    </w:p>
    <w:p>
      <w:pPr>
        <w:ind w:left="380" w:right="100" w:hanging="372"/>
        <w:spacing w:after="0" w:line="259"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117" w:lineRule="exact"/>
        <w:rPr>
          <w:rFonts w:ascii="Arial" w:cs="Arial" w:eastAsia="Arial" w:hAnsi="Arial"/>
          <w:sz w:val="18"/>
          <w:szCs w:val="18"/>
          <w:color w:val="auto"/>
        </w:rPr>
      </w:pPr>
    </w:p>
    <w:p>
      <w:pPr>
        <w:ind w:left="380" w:right="16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At September 30, 2016 and December 31, 2015, total investments with a fair value of $455 million and $467 million, respectively, included $1 million at each such date, or less than 1%, respectively, of investments that were classified as Level 3 investments and $140 million and $123 million, respectively, or 31% and 26%, respectively, of investments that were classified using NAV or its equivalent as a practical expedient. See Notes 4 and 5 of Notes to Condensed Consolidated Financial Statements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additional information regarding investments measured at fair value, including the levels of fair value within which such measurements of fair value fall.</w:t>
      </w:r>
    </w:p>
    <w:p>
      <w:pPr>
        <w:spacing w:after="0" w:line="23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September 30, 2016 and December 31, 2015, the Company held seed investments of approximately $124 million and $146 million, respectively. Seed investments held in entities in which the Company maintained a controlling interest were $36 million in nine entities as of September 30, 2016, as compared to $49 million in eleven entities as of December 31, 2015.</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of September 30, 2016 and December 31, 2015, the Company did not consolidate or deconsolidate any seed investment entities. As such, 100% of the recorded balance of seed investments as of September 30, 2016 and December 31, 2015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60" w:hanging="379"/>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60" w:hanging="379"/>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0" w:name="page61"/>
    <w:bookmarkEnd w:id="60"/>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2016 and December 31, 2015, the Company’s exposure to equity market price risk in its investment portfolio, which primarily relates to investments in equity securities, equity funds and hedge funds, was approximately $100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$1.1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$1.8 million in the carrying value of such investments as of September 30, 2016 and December 31, 2015, respectively, including the effect of the hedging transactions.</w:t>
      </w:r>
    </w:p>
    <w:p>
      <w:pPr>
        <w:spacing w:after="0" w:line="18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Interest Rate/Credit Spread Risk—At September 30, 2016 and December 31, 2015, the Company’s exposure to interest rate and credit spread risk in its investment portfolio related to investments in debt securities or funds which invest primarily in debt securities was $50 million and $38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$0.8 million and $0.1 million in the carrying value of such investments as of September 30, 2016 and December 31, 2015, respectively, including the effect of the hedging transactions.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2016 and December 31, 2015, the Company’s exposure to foreign exchange rate risk in its investment portfolio, which primarily relates to investments in foreign currency denominated equity and debt securities, was $57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$1.0 million in the carrying value of such investments as of September 30, 2016 and December 31, 2015, respectively, including the effect of the hedging transactions.</w:t>
      </w:r>
    </w:p>
    <w:p>
      <w:pPr>
        <w:spacing w:after="0" w:line="193"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Private Equity—The Company invests in private equity primarily as a part of its co-investment activities and in connection with certain legacy businesses. At September 30, 2016 and December 31, 2015, the Company’s exposure to changes in fair value of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360"/>
        <w:spacing w:after="0" w:line="264" w:lineRule="auto"/>
        <w:rPr>
          <w:sz w:val="20"/>
          <w:szCs w:val="20"/>
          <w:color w:val="auto"/>
        </w:rPr>
      </w:pPr>
      <w:r>
        <w:rPr>
          <w:rFonts w:ascii="Arial" w:cs="Arial" w:eastAsia="Arial" w:hAnsi="Arial"/>
          <w:sz w:val="18"/>
          <w:szCs w:val="18"/>
          <w:color w:val="auto"/>
        </w:rPr>
        <w:t>investments was approximately $110 million and $84 million, respectively. The Company estimates that a hypothetical 10% adverse change in fair value would result in a decrease of approximately $11.0 million and $8.4 million in the carrying value of such investments as of September 30, 2016 and December 31, 2015, respectively.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2016, total receivables amounted to $564 million, net of an allowance for doubtful accounts of $13 million. As of that date, Financial Advisory and Asset Management fees, receivables from Lazard Ltd subsidiaries, and customers and other receivables comprised 78%, 5% and 17% of total receivables, respectively. At December 31, 2015, total receivables amounted to $606 million, net of an allowance for doubtful accounts of $13 million. As of that date, Financial Advisory and Asset Management fees, receivables from Lazard Ltd subsidiaries, and customers and other receivables comprised 70%, 18% and 12% of total receivables, respectively. At September 30, 2016 and December 31, 2015, the Company had receivables past due or deemed uncollectible of approximately $22 million and $20 million, respectively. See also “Critical Accounting Policies and Estimates—Revenue Recognition” above and Note 3 of Notes to Condensed Consolidated Financial Statements for additional information regarding receivables.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2016 and December 31, 2015, customer receivables included $49 million and $38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September 30, 2016 and December 31, 2015, respectively, and derivative liabilities, excluding the derivative liability arising from the Company’s obligation pertaining to LFI and other similar deferred compensation arrangements, amounted to $11 million and $2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$175 million and $194 million at September 30, 2016 and December 31, 2015,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2016,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4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As of September 30, 2016, the Company’s cash and cash equivalents totaled approximately $833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60" w:firstLine="8"/>
        <w:spacing w:after="0" w:line="323"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ind w:right="100"/>
        <w:spacing w:after="0" w:line="255" w:lineRule="auto"/>
        <w:rPr>
          <w:sz w:val="20"/>
          <w:szCs w:val="20"/>
          <w:color w:val="auto"/>
        </w:rPr>
      </w:pPr>
      <w:r>
        <w:rPr>
          <w:rFonts w:ascii="Arial" w:cs="Arial" w:eastAsia="Arial" w:hAnsi="Arial"/>
          <w:sz w:val="18"/>
          <w:szCs w:val="18"/>
          <w:color w:val="auto"/>
        </w:rPr>
        <w:t>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60" w:firstLine="518"/>
        <w:spacing w:after="0" w:line="308" w:lineRule="auto"/>
        <w:rPr>
          <w:sz w:val="20"/>
          <w:szCs w:val="20"/>
          <w:color w:val="auto"/>
        </w:rPr>
      </w:pPr>
      <w:r>
        <w:rPr>
          <w:rFonts w:ascii="Arial" w:cs="Arial" w:eastAsia="Arial" w:hAnsi="Arial"/>
          <w:sz w:val="17"/>
          <w:szCs w:val="17"/>
          <w:color w:val="auto"/>
        </w:rPr>
        <w:t>There were no material changes from the risk factors previously disclosed in the Company’s Annual Report on Form 10-K for the year ended December 31, 2015 and the Company’s Quarterly Report on Form 10-Q for the quarters ended March 31, 2016 and June 30, 2016.</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October 27, 2016, the Company entered into Amendment No.1 to the Amended and Restated Operating Agreement of Lazard Group, dated as of October, 26, 2015, to update certain provisions regarding the management of Lazard Group by the managing members of Lazard Group, which are controlled by Lazard Ltd.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Item 6.</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Certificate of Formation of the Registrant (incorporated by reference to Exhibit 3.1 to the Registrant’s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126751) on Form S-4 filed on July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Certificate of Amendment of Certificate of Formation of the Registrant, changing name to Lazard Group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Amended and Restated Operating Agreement of Lazard Group LLC, dated as of October 26, 2015 (incorporated by reference to Exhibit 3.3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the Registrant’s Quarterly Report (File No. 333-126751) on Form l0-Q filed on October 28, 2015).</w:t>
            </w:r>
          </w:p>
        </w:tc>
      </w:tr>
      <w:tr>
        <w:trPr>
          <w:trHeight w:val="33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0620" w:type="dxa"/>
            <w:vAlign w:val="bottom"/>
          </w:tcPr>
          <w:p>
            <w:pPr>
              <w:ind w:left="220"/>
              <w:spacing w:after="0"/>
              <w:rPr>
                <w:sz w:val="20"/>
                <w:szCs w:val="20"/>
                <w:color w:val="auto"/>
              </w:rPr>
            </w:pPr>
            <w:r>
              <w:rPr>
                <w:rFonts w:ascii="Arial" w:cs="Arial" w:eastAsia="Arial" w:hAnsi="Arial"/>
                <w:sz w:val="18"/>
                <w:szCs w:val="18"/>
                <w:color w:val="auto"/>
              </w:rPr>
              <w:t>Amendment No.1 to Amended and Restated Operating Agreement of Lazard Group LLC, dated as of October 27, 2016.</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Indenture, dated as of May 10, 2005, by and between the Registrant and The Bank of New York, as Trustee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Fourth Supplemental Indenture, dated as of June 21, 2007, between the Registrant and The Bank of New York, as trustee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Fifth Supplemental Indenture, dated as of November 14, 2013,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to the Registrant’s Current Report on Form 8-K (File No 333-126751) filed on November 14, 2013).</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Sixth Supplemental Indenture, dated as of February 13, 2015,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of the Registrant’s Current Report on Form 8-K (File No. 333-126751) filed on February 13, 2015).</w:t>
            </w:r>
          </w:p>
        </w:tc>
      </w:tr>
      <w:tr>
        <w:trPr>
          <w:trHeight w:val="33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0620" w:type="dxa"/>
            <w:vAlign w:val="bottom"/>
          </w:tcPr>
          <w:p>
            <w:pPr>
              <w:ind w:left="220"/>
              <w:spacing w:after="0"/>
              <w:rPr>
                <w:sz w:val="20"/>
                <w:szCs w:val="20"/>
                <w:color w:val="auto"/>
              </w:rPr>
            </w:pPr>
            <w:r>
              <w:rPr>
                <w:rFonts w:ascii="Arial" w:cs="Arial" w:eastAsia="Arial" w:hAnsi="Arial"/>
                <w:sz w:val="18"/>
                <w:szCs w:val="18"/>
                <w:color w:val="auto"/>
              </w:rPr>
              <w:t>Form of Senior Note (included in Exhibits 4.2, 4.3 and 4.4).</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Amendment dated as of February 16, 2011, by and among RCPI Landmark Properties, L.L.C. (as the successor in interest to Rockefeller Center</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Properties), RCPI 30 Rock 22234849, L.L.C. and Lazard Group LLC (as the successor in interest to Lazard Frères &amp; Co. LLC), to the Lease</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dated as of January 27, 1994, by and among Rockefeller Center Properties and Lazard Frères &amp; Co. LLC (incorporated by reference to Exhibit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Burford (Stratton) Limited, Lazard &amp; Co., Limited and Lazard LLC (incorporated by reference to Exhibit 10.21 to Lazard Ltd’s Registration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Lazard Ltd’s 2005 Equity Incentive Plan (incorporated by reference to Exhibit 10.21 to Lazard Ltd’s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121407) on Form S-1/A filed on May 2, 2005).</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0620" w:type="dxa"/>
            <w:vAlign w:val="bottom"/>
          </w:tcPr>
          <w:p>
            <w:pPr>
              <w:ind w:left="220"/>
              <w:spacing w:after="0"/>
              <w:rPr>
                <w:sz w:val="20"/>
                <w:szCs w:val="20"/>
                <w:color w:val="auto"/>
              </w:rPr>
            </w:pPr>
            <w:r>
              <w:rPr>
                <w:rFonts w:ascii="Arial" w:cs="Arial" w:eastAsia="Arial" w:hAnsi="Arial"/>
                <w:sz w:val="18"/>
                <w:szCs w:val="18"/>
                <w:color w:val="auto"/>
                <w:w w:val="98"/>
              </w:rPr>
              <w:t>Lazard Ltd’s 2008 Incentive Compensation Plan (incorporated by reference to Annex B to Lazard Ltd’s Definitive Proxy Statement 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10.6*</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Lazard Ltd’s 2016 French Sub-plan (incorporated by reference to Annex B to Lazard Ltd’s Definitive Proxy Statement on Schedule 14A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filed on March 10, 2016).</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the Registrant, Lazard Ltd and Kenneth M. Jacobs (incorporated by reference to Exhibit 10.7 to the Registrant’s Quarterly Report (File No.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333-126751) on Form 10-Q filed on April 27, 2016).</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the Registrant, Lazard Ltd and Ashish Bhutani (incorporated by reference to Exhibit 10.8 to the Registrant’s Quarterly Report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126751) on Form 10-Q filed on April 27, 2016).</w:t>
            </w:r>
          </w:p>
        </w:tc>
      </w:tr>
      <w:tr>
        <w:trPr>
          <w:trHeight w:val="554"/>
        </w:trPr>
        <w:tc>
          <w:tcPr>
            <w:tcW w:w="82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63</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Arial" w:cs="Arial" w:eastAsia="Arial" w:hAnsi="Arial"/>
                <w:sz w:val="18"/>
                <w:szCs w:val="18"/>
                <w:color w:val="auto"/>
              </w:rPr>
              <w:t>10.9*</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1"/>
              </w:rPr>
              <w:t>the Registrant, Lazard Ltd and Matthieu Bucaille (incorporated by reference to Exhibit 10.9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10.10*</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the Registrant, Lazard Ltd and Scott D. Hoffman (incorporated by reference to Exhibit 10.10 to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10.11*</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the Registrant. Lazard Ltd and Alexander F. Stern (incorporated by reference to Exhibit 10.11 to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10.12*</w:t>
            </w:r>
          </w:p>
        </w:tc>
        <w:tc>
          <w:tcPr>
            <w:tcW w:w="10440" w:type="dxa"/>
            <w:vAlign w:val="bottom"/>
          </w:tcPr>
          <w:p>
            <w:pPr>
              <w:ind w:left="180"/>
              <w:spacing w:after="0"/>
              <w:rPr>
                <w:sz w:val="20"/>
                <w:szCs w:val="20"/>
                <w:color w:val="auto"/>
              </w:rPr>
            </w:pPr>
            <w:r>
              <w:rPr>
                <w:rFonts w:ascii="Arial" w:cs="Arial" w:eastAsia="Arial" w:hAnsi="Arial"/>
                <w:sz w:val="18"/>
                <w:szCs w:val="18"/>
                <w:color w:val="auto"/>
                <w:w w:val="95"/>
              </w:rPr>
              <w:t>Form of Award Letter for Annual Grant of Deferred Stock Units to Non-Executive Directors (incorporated by reference to Exhibit 99.1 to</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10.13*</w:t>
            </w:r>
          </w:p>
        </w:tc>
        <w:tc>
          <w:tcPr>
            <w:tcW w:w="10440" w:type="dxa"/>
            <w:vAlign w:val="bottom"/>
          </w:tcPr>
          <w:p>
            <w:pPr>
              <w:ind w:left="180"/>
              <w:spacing w:after="0"/>
              <w:rPr>
                <w:sz w:val="20"/>
                <w:szCs w:val="20"/>
                <w:color w:val="auto"/>
              </w:rPr>
            </w:pPr>
            <w:r>
              <w:rPr>
                <w:rFonts w:ascii="Arial" w:cs="Arial" w:eastAsia="Arial" w:hAnsi="Arial"/>
                <w:sz w:val="18"/>
                <w:szCs w:val="18"/>
                <w:color w:val="auto"/>
                <w:w w:val="98"/>
              </w:rPr>
              <w:t>Form of Agreement evidencing a grant of Restricted Stock Units to Executive Officers under the 2008 Incentive Compensation Plan</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10.41 to Lazard Ltd’s Annual Report (File No. 001-32492) on Form 10-K filed on March 2, 2009).</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10.14*</w:t>
            </w:r>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Form of Agreement evidencing a grant of Deferred Cash Award to Executive Officers (incorporated by reference to Exhibit 10.42 to Lazard</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Ltd’s Annual Report (File No. 001-32492) on Form 10-K filed on March 2, 2009).</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10.15*</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Directors Fee Deferral Unit Plan (incorporated by reference to Exhibit 10.39 to Lazard Ltd’s Quarterly Report (File No. 001-32492) on Form</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10-Q filed on May 11, 2006).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10.16</w:t>
            </w:r>
          </w:p>
        </w:tc>
        <w:tc>
          <w:tcPr>
            <w:tcW w:w="10440" w:type="dxa"/>
            <w:vAlign w:val="bottom"/>
          </w:tcPr>
          <w:p>
            <w:pPr>
              <w:ind w:left="180"/>
              <w:spacing w:after="0"/>
              <w:rPr>
                <w:sz w:val="20"/>
                <w:szCs w:val="20"/>
                <w:color w:val="auto"/>
              </w:rPr>
            </w:pPr>
            <w:r>
              <w:rPr>
                <w:rFonts w:ascii="Arial" w:cs="Arial" w:eastAsia="Arial" w:hAnsi="Arial"/>
                <w:sz w:val="18"/>
                <w:szCs w:val="18"/>
                <w:color w:val="auto"/>
                <w:w w:val="89"/>
              </w:rPr>
              <w:t>Amended and Restated Credit Agreement, dated as of September 25, 2015, among the Registrant, the Banks from time to time parties thereto,</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and Citibank, N.A., as Administrative Agent (incorporated by reference to Exhibit 10.25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October 28, 2015).</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10.17*</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Form of Agreement evidencing a grant of Lazard Fund Interests to Named Executive Officers (incorporated by reference to Exhibit 10.54 to</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the Registrant’s Quarterly Report (File No. 333-126751) on Form 10-Q filed on May 1, 2013).</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10.18*</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Form of Agreement evidencing a February 20, 2014 grant of Performance-Based Stock Units under the 2008 Incentive Compensation Plan</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(incorporated by reference to Exhibit 10.54 to the Registrant’s Quarterly Report (File No. 333-126751) on Form 10-Q filed on May 6, 2014).</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10.19*</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Agreement between Lazard Ltd and Kenneth M. Jacobs, dated as of February 20, 2014, evidencing a grant of Performance-Based Stock Units</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under the 2008 Incentive Compensation Plan (incorporated by reference to Exhibit 10.55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May 6, 2014).</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12.1</w:t>
            </w:r>
          </w:p>
        </w:tc>
        <w:tc>
          <w:tcPr>
            <w:tcW w:w="1044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440" w:type="dxa"/>
            <w:vAlign w:val="bottom"/>
          </w:tcPr>
          <w:p>
            <w:pPr>
              <w:ind w:left="18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440" w:type="dxa"/>
            <w:vAlign w:val="bottom"/>
          </w:tcPr>
          <w:p>
            <w:pPr>
              <w:ind w:left="18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440" w:type="dxa"/>
            <w:vAlign w:val="bottom"/>
          </w:tcPr>
          <w:p>
            <w:pPr>
              <w:ind w:left="18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440" w:type="dxa"/>
            <w:vAlign w:val="bottom"/>
          </w:tcPr>
          <w:p>
            <w:pPr>
              <w:ind w:left="18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66" w:name="page67"/>
    <w:bookmarkEnd w:id="6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00"/>
          </w:cols>
          <w:pgMar w:left="240" w:top="337" w:right="85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3.4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LAZARD GROUP LLC</w:t>
      </w:r>
    </w:p>
    <w:p>
      <w:pPr>
        <w:spacing w:after="0" w:line="145" w:lineRule="exact"/>
        <w:rPr>
          <w:sz w:val="20"/>
          <w:szCs w:val="20"/>
          <w:color w:val="auto"/>
        </w:rPr>
      </w:pPr>
    </w:p>
    <w:p>
      <w:pPr>
        <w:jc w:val="both"/>
        <w:ind w:right="160" w:firstLine="877"/>
        <w:spacing w:after="0"/>
        <w:rPr>
          <w:sz w:val="20"/>
          <w:szCs w:val="20"/>
          <w:color w:val="auto"/>
        </w:rPr>
      </w:pPr>
      <w:r>
        <w:rPr>
          <w:rFonts w:ascii="Arial" w:cs="Arial" w:eastAsia="Arial" w:hAnsi="Arial"/>
          <w:sz w:val="22"/>
          <w:szCs w:val="22"/>
          <w:color w:val="auto"/>
        </w:rPr>
        <w:t>This AMENDMENT NO. 1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the Amended and Restated Operating Agreement of Lazard Group LLC, a Delaware limited liability company, dated as of October 26, 2015 (such agreement, the “</w:t>
      </w:r>
      <w:r>
        <w:rPr>
          <w:rFonts w:ascii="Arial" w:cs="Arial" w:eastAsia="Arial" w:hAnsi="Arial"/>
          <w:sz w:val="22"/>
          <w:szCs w:val="22"/>
          <w:u w:val="single" w:color="auto"/>
          <w:color w:val="auto"/>
        </w:rPr>
        <w:t>Amended and Restated Operating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27, 2016.</w:t>
      </w:r>
    </w:p>
    <w:p>
      <w:pPr>
        <w:spacing w:after="0" w:line="119"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Whereas, the Lazard Board (such term and all other capitalized terms used but not defined herein shall have the meanings ascribed thereto in the Amended and Restated Operating Agreement), each Managing Member, and the Lazard Ltd Board desire to amend the Amended and Restated Operating Agreement as set forth in this Amendment.</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it is hereby agreed as follows:</w:t>
      </w:r>
    </w:p>
    <w:p>
      <w:pPr>
        <w:spacing w:after="0" w:line="139" w:lineRule="exact"/>
        <w:rPr>
          <w:sz w:val="20"/>
          <w:szCs w:val="20"/>
          <w:color w:val="auto"/>
        </w:rPr>
      </w:pPr>
    </w:p>
    <w:p>
      <w:pPr>
        <w:ind w:left="1100" w:hanging="215"/>
        <w:spacing w:after="0"/>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139" w:lineRule="exact"/>
        <w:rPr>
          <w:sz w:val="20"/>
          <w:szCs w:val="20"/>
          <w:color w:val="auto"/>
        </w:rPr>
      </w:pPr>
    </w:p>
    <w:p>
      <w:pPr>
        <w:ind w:left="1180" w:hanging="295"/>
        <w:spacing w:after="0"/>
        <w:tabs>
          <w:tab w:leader="none" w:pos="11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Section 3.01 of the Amended and Restated Operating Agreement is hereby amended by deleting the last sentence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entirety.</w:t>
      </w:r>
    </w:p>
    <w:p>
      <w:pPr>
        <w:spacing w:after="0" w:line="107" w:lineRule="exact"/>
        <w:rPr>
          <w:rFonts w:ascii="Arial" w:cs="Arial" w:eastAsia="Arial" w:hAnsi="Arial"/>
          <w:sz w:val="19"/>
          <w:szCs w:val="19"/>
          <w:color w:val="auto"/>
        </w:rPr>
      </w:pPr>
    </w:p>
    <w:p>
      <w:pPr>
        <w:ind w:right="600" w:firstLine="885"/>
        <w:spacing w:after="0" w:line="251" w:lineRule="auto"/>
        <w:tabs>
          <w:tab w:leader="none" w:pos="1183"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Section 3.02(a) of the Amended and Restated Operating Agreement is hereby amended by (i) deleting the word “managers” in the first sentence and (ii) inserting “individuals” in place thereof.</w:t>
      </w:r>
    </w:p>
    <w:p>
      <w:pPr>
        <w:spacing w:after="0" w:line="105" w:lineRule="exact"/>
        <w:rPr>
          <w:rFonts w:ascii="Arial" w:cs="Arial" w:eastAsia="Arial" w:hAnsi="Arial"/>
          <w:sz w:val="22"/>
          <w:szCs w:val="22"/>
          <w:color w:val="auto"/>
        </w:rPr>
      </w:pPr>
    </w:p>
    <w:p>
      <w:pPr>
        <w:ind w:right="180" w:firstLine="885"/>
        <w:spacing w:after="0"/>
        <w:tabs>
          <w:tab w:leader="none" w:pos="1171"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Section 4.02 of the Amended and Restated Operating Agreement is hereby amended by adding a sentence following the third sentence of the first paragraph thereof that reads as follows: “Each Managing Member shall be a “manager” of the Company within the meaning of the Act.”</w:t>
      </w:r>
    </w:p>
    <w:p>
      <w:pPr>
        <w:spacing w:after="0" w:line="118" w:lineRule="exact"/>
        <w:rPr>
          <w:rFonts w:ascii="Arial" w:cs="Arial" w:eastAsia="Arial" w:hAnsi="Arial"/>
          <w:sz w:val="22"/>
          <w:szCs w:val="22"/>
          <w:color w:val="auto"/>
        </w:rPr>
      </w:pPr>
    </w:p>
    <w:p>
      <w:pPr>
        <w:ind w:right="560" w:firstLine="885"/>
        <w:spacing w:after="0" w:line="251" w:lineRule="auto"/>
        <w:tabs>
          <w:tab w:leader="none" w:pos="1183"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Section 4.05 of the Amended and Restated Operating Agreement is hereby amended by inserting “or Directors” following “solely by reason of being Members” in the first sentence thereof.</w:t>
      </w:r>
    </w:p>
    <w:p>
      <w:pPr>
        <w:spacing w:after="0" w:line="92" w:lineRule="exact"/>
        <w:rPr>
          <w:rFonts w:ascii="Arial" w:cs="Arial" w:eastAsia="Arial" w:hAnsi="Arial"/>
          <w:sz w:val="22"/>
          <w:szCs w:val="22"/>
          <w:color w:val="auto"/>
        </w:rPr>
      </w:pPr>
    </w:p>
    <w:p>
      <w:pPr>
        <w:ind w:right="740" w:firstLine="885"/>
        <w:spacing w:after="0" w:line="328" w:lineRule="auto"/>
        <w:tabs>
          <w:tab w:leader="none" w:pos="1171"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Section 10.03 of the Amended and Restated Operating Agreement is hereby amended by (i) deleting the word “manager” in the third sentence and (ii) inserting “Director, Member or Managing Member” in place thereof.</w:t>
      </w:r>
    </w:p>
    <w:p>
      <w:pPr>
        <w:spacing w:after="0" w:line="37" w:lineRule="exact"/>
        <w:rPr>
          <w:rFonts w:ascii="Arial" w:cs="Arial" w:eastAsia="Arial" w:hAnsi="Arial"/>
          <w:sz w:val="19"/>
          <w:szCs w:val="19"/>
          <w:color w:val="auto"/>
        </w:rPr>
      </w:pPr>
    </w:p>
    <w:p>
      <w:pPr>
        <w:ind w:right="760" w:firstLine="885"/>
        <w:spacing w:after="0" w:line="274" w:lineRule="auto"/>
        <w:tabs>
          <w:tab w:leader="none" w:pos="1147" w:val="left"/>
        </w:tabs>
        <w:numPr>
          <w:ilvl w:val="0"/>
          <w:numId w:val="59"/>
        </w:numPr>
        <w:rPr>
          <w:rFonts w:ascii="Arial" w:cs="Arial" w:eastAsia="Arial" w:hAnsi="Arial"/>
          <w:sz w:val="21"/>
          <w:szCs w:val="21"/>
          <w:color w:val="auto"/>
        </w:rPr>
      </w:pPr>
      <w:r>
        <w:rPr>
          <w:rFonts w:ascii="Arial" w:cs="Arial" w:eastAsia="Arial" w:hAnsi="Arial"/>
          <w:sz w:val="21"/>
          <w:szCs w:val="21"/>
          <w:color w:val="auto"/>
        </w:rPr>
        <w:t>Section 10.09 of the Amended and Restated Operating Agreement is hereby amended by (i) deleting the word “manager” in the second sentence and (ii) inserting “, Managing Member or Director” in place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ind w:left="-60" w:right="640" w:firstLine="885"/>
        <w:spacing w:after="0" w:line="251" w:lineRule="auto"/>
        <w:tabs>
          <w:tab w:leader="none" w:pos="103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and shall inure to the benefit of, all parties to the Amended and Restated Operating Agreement and their respective successors and assigns.</w:t>
      </w:r>
    </w:p>
    <w:p>
      <w:pPr>
        <w:spacing w:after="0" w:line="173" w:lineRule="exact"/>
        <w:rPr>
          <w:rFonts w:ascii="Arial" w:cs="Arial" w:eastAsia="Arial" w:hAnsi="Arial"/>
          <w:sz w:val="22"/>
          <w:szCs w:val="22"/>
          <w:color w:val="auto"/>
        </w:rPr>
      </w:pPr>
    </w:p>
    <w:p>
      <w:pPr>
        <w:ind w:left="-60" w:right="500" w:firstLine="885"/>
        <w:spacing w:after="0" w:line="251" w:lineRule="auto"/>
        <w:tabs>
          <w:tab w:leader="none" w:pos="103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counterparts, each of which shall be deemed an original, but all of which shall constitute one and the same instrument.</w:t>
      </w:r>
    </w:p>
    <w:p>
      <w:pPr>
        <w:spacing w:after="0" w:line="173" w:lineRule="exact"/>
        <w:rPr>
          <w:rFonts w:ascii="Arial" w:cs="Arial" w:eastAsia="Arial" w:hAnsi="Arial"/>
          <w:sz w:val="22"/>
          <w:szCs w:val="22"/>
          <w:color w:val="auto"/>
        </w:rPr>
      </w:pPr>
    </w:p>
    <w:p>
      <w:pPr>
        <w:ind w:left="-60" w:right="20" w:firstLine="885"/>
        <w:spacing w:after="0" w:line="279" w:lineRule="auto"/>
        <w:tabs>
          <w:tab w:leader="none" w:pos="103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INVADILITY OF PROVISIONS</w:t>
      </w:r>
      <w:r>
        <w:rPr>
          <w:rFonts w:ascii="Arial" w:cs="Arial" w:eastAsia="Arial" w:hAnsi="Arial"/>
          <w:sz w:val="19"/>
          <w:szCs w:val="19"/>
          <w:color w:val="auto"/>
        </w:rPr>
        <w:t>. If any provision of this Amendment is declared or found to be illegal, unenforceable or void, in whole or in part, then the parties shall be relieved of all obligations arising under such provision, but only to the extent that it is illegal, unenforceable or void, it being the intent and agreement of the parties that this Amendment shall be deemed amended by modifying such provision to the extent necessary to make it legal and enforceable while preserving its intent or, if that is not possible, by substituting therefor another provision that is legal and enforceable and achieves the same objectives, and the validity or enforceability of any other provision hereof shall not be affected thereby.</w:t>
      </w:r>
    </w:p>
    <w:p>
      <w:pPr>
        <w:spacing w:after="0" w:line="150" w:lineRule="exact"/>
        <w:rPr>
          <w:rFonts w:ascii="Arial" w:cs="Arial" w:eastAsia="Arial" w:hAnsi="Arial"/>
          <w:sz w:val="19"/>
          <w:szCs w:val="19"/>
          <w:color w:val="auto"/>
        </w:rPr>
      </w:pPr>
    </w:p>
    <w:p>
      <w:pPr>
        <w:ind w:left="-60" w:right="240" w:firstLine="885"/>
        <w:spacing w:after="0" w:line="328" w:lineRule="auto"/>
        <w:tabs>
          <w:tab w:leader="none" w:pos="103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AGREEMENT IN EFFECT; EFFECTIVENESS</w:t>
      </w:r>
      <w:r>
        <w:rPr>
          <w:rFonts w:ascii="Arial" w:cs="Arial" w:eastAsia="Arial" w:hAnsi="Arial"/>
          <w:sz w:val="19"/>
          <w:szCs w:val="19"/>
          <w:color w:val="auto"/>
        </w:rPr>
        <w:t>. Except as hereby amended, the Amended and Restated Operating Agreement shall remain in full force and effect. This Amendment shall be effective as of the date first written above.</w:t>
      </w:r>
    </w:p>
    <w:p>
      <w:pPr>
        <w:spacing w:after="0" w:line="105" w:lineRule="exact"/>
        <w:rPr>
          <w:rFonts w:ascii="Arial" w:cs="Arial" w:eastAsia="Arial" w:hAnsi="Arial"/>
          <w:sz w:val="19"/>
          <w:szCs w:val="19"/>
          <w:color w:val="auto"/>
        </w:rPr>
      </w:pPr>
    </w:p>
    <w:p>
      <w:pPr>
        <w:ind w:left="-60" w:firstLine="885"/>
        <w:spacing w:after="0" w:line="328" w:lineRule="auto"/>
        <w:tabs>
          <w:tab w:leader="none" w:pos="103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interpreted in accordance with, the laws of the State of Delaware, all rights and remedies being governed by such laws without regard to principles of conflicts of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637540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61" w:right="279" w:bottom="1440" w:gutter="0" w:footer="0" w:header="0"/>
        </w:sectPr>
      </w:pPr>
    </w:p>
    <w:bookmarkStart w:id="69" w:name="page70"/>
    <w:bookmarkEnd w:id="69"/>
    <w:p>
      <w:pPr>
        <w:ind w:right="340" w:firstLine="877"/>
        <w:spacing w:after="0" w:line="251" w:lineRule="auto"/>
        <w:rPr>
          <w:sz w:val="20"/>
          <w:szCs w:val="20"/>
          <w:color w:val="auto"/>
        </w:rPr>
      </w:pPr>
      <w:r>
        <w:rPr>
          <w:rFonts w:ascii="Arial" w:cs="Arial" w:eastAsia="Arial" w:hAnsi="Arial"/>
          <w:sz w:val="22"/>
          <w:szCs w:val="22"/>
          <w:color w:val="auto"/>
        </w:rPr>
        <w:t>IN WITNESS WHEREOF, the undersigned, acting pursuant to the resolutions of the Lazard Board, has duly executed this Agreement to reflect approval by the Lazard Board as of the date first above written.</w:t>
      </w:r>
    </w:p>
    <w:p>
      <w:pPr>
        <w:spacing w:after="0" w:line="200" w:lineRule="exact"/>
        <w:rPr>
          <w:sz w:val="20"/>
          <w:szCs w:val="20"/>
          <w:color w:val="auto"/>
        </w:rPr>
      </w:pPr>
    </w:p>
    <w:p>
      <w:pPr>
        <w:spacing w:after="0" w:line="243"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55" w:lineRule="exact"/>
        <w:rPr>
          <w:sz w:val="20"/>
          <w:szCs w:val="20"/>
          <w:color w:val="auto"/>
        </w:rPr>
      </w:pPr>
    </w:p>
    <w:p>
      <w:pPr>
        <w:ind w:right="800" w:firstLine="877"/>
        <w:spacing w:after="0" w:line="274" w:lineRule="auto"/>
        <w:rPr>
          <w:sz w:val="20"/>
          <w:szCs w:val="20"/>
          <w:color w:val="auto"/>
        </w:rPr>
      </w:pPr>
      <w:r>
        <w:rPr>
          <w:rFonts w:ascii="Arial" w:cs="Arial" w:eastAsia="Arial" w:hAnsi="Arial"/>
          <w:sz w:val="21"/>
          <w:szCs w:val="21"/>
          <w:color w:val="auto"/>
        </w:rPr>
        <w:t>IN WITNESS WHEREOF, the undersigned, acting pursuant to the resolutions of the Lazard Ltd Board, has duly executed this Agreement to reflect approval by the Lazard Ltd Board as of the date first above written.</w:t>
      </w:r>
    </w:p>
    <w:p>
      <w:pPr>
        <w:spacing w:after="0" w:line="200" w:lineRule="exact"/>
        <w:rPr>
          <w:sz w:val="20"/>
          <w:szCs w:val="20"/>
          <w:color w:val="auto"/>
        </w:rPr>
      </w:pPr>
    </w:p>
    <w:p>
      <w:pPr>
        <w:spacing w:after="0" w:line="221"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WITNESS WHEREOF, the Managing Members have duly executed this Agreement as of the date first above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1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A</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Manager</w:t>
            </w:r>
          </w:p>
        </w:tc>
      </w:tr>
    </w:tbl>
    <w:p>
      <w:pPr>
        <w:spacing w:after="0" w:line="200" w:lineRule="exact"/>
        <w:rPr>
          <w:sz w:val="20"/>
          <w:szCs w:val="20"/>
          <w:color w:val="auto"/>
        </w:rPr>
      </w:pPr>
    </w:p>
    <w:p>
      <w:pPr>
        <w:spacing w:after="0" w:line="25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A</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Rountree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Robert Rountree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Manager</w:t>
            </w:r>
          </w:p>
        </w:tc>
      </w:tr>
    </w:tbl>
    <w:p>
      <w:pPr>
        <w:spacing w:after="0" w:line="200" w:lineRule="exact"/>
        <w:rPr>
          <w:sz w:val="20"/>
          <w:szCs w:val="20"/>
          <w:color w:val="auto"/>
        </w:rPr>
      </w:pPr>
    </w:p>
    <w:p>
      <w:pPr>
        <w:spacing w:after="0" w:line="25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B</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D. Hoffman</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Scott D. Hoffman</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Secretary</w:t>
            </w:r>
          </w:p>
        </w:tc>
      </w:tr>
    </w:tbl>
    <w:p>
      <w:pPr>
        <w:sectPr>
          <w:pgSz w:w="11900" w:h="16838" w:orient="portrait"/>
          <w:cols w:equalWidth="0" w:num="1">
            <w:col w:w="11420"/>
          </w:cols>
          <w:pgMar w:left="240" w:top="36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September</w:t>
            </w: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30, 2016</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gridSpan w:val="5"/>
          </w:tcPr>
          <w:p>
            <w:pPr>
              <w:jc w:val="right"/>
              <w:ind w:right="145"/>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530,845</w:t>
            </w:r>
          </w:p>
        </w:tc>
        <w:tc>
          <w:tcPr>
            <w:tcW w:w="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540,975</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219,009</w:t>
            </w:r>
          </w:p>
        </w:tc>
        <w:tc>
          <w:tcPr>
            <w:tcW w:w="5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121,593</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7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116,255</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 before fixed charges</w:t>
            </w:r>
          </w:p>
        </w:tc>
        <w:tc>
          <w:tcPr>
            <w:tcW w:w="7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417,071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609,671</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632,666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330,326</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237,848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5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91,359</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7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7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111,317</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116,255</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(d)</w:t>
            </w: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jc w:val="right"/>
              <w:spacing w:after="0"/>
              <w:rPr>
                <w:sz w:val="20"/>
                <w:szCs w:val="20"/>
                <w:color w:val="auto"/>
              </w:rPr>
            </w:pPr>
            <w:r>
              <w:rPr>
                <w:rFonts w:ascii="Arial" w:cs="Arial" w:eastAsia="Arial" w:hAnsi="Arial"/>
                <w:sz w:val="18"/>
                <w:szCs w:val="18"/>
                <w:color w:val="auto"/>
              </w:rPr>
              <w:t>(e)</w:t>
            </w: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ind w:left="100"/>
              <w:spacing w:after="0"/>
              <w:rPr>
                <w:sz w:val="20"/>
                <w:szCs w:val="20"/>
                <w:color w:val="auto"/>
              </w:rPr>
            </w:pPr>
            <w:r>
              <w:rPr>
                <w:rFonts w:ascii="Arial" w:cs="Arial" w:eastAsia="Arial" w:hAnsi="Arial"/>
                <w:sz w:val="18"/>
                <w:szCs w:val="18"/>
                <w:color w:val="auto"/>
              </w:rPr>
              <w:t>(f)</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charges, the ratio of earnings to fixed charges would have been 4.14.</w:t>
      </w:r>
    </w:p>
    <w:p>
      <w:pPr>
        <w:spacing w:after="0" w:line="78" w:lineRule="exact"/>
        <w:rPr>
          <w:rFonts w:ascii="Arial" w:cs="Arial" w:eastAsia="Arial" w:hAnsi="Arial"/>
          <w:sz w:val="18"/>
          <w:szCs w:val="18"/>
          <w:color w:val="auto"/>
        </w:rPr>
      </w:pPr>
    </w:p>
    <w:p>
      <w:pPr>
        <w:ind w:left="520" w:right="100" w:hanging="512"/>
        <w:spacing w:after="0" w:line="257"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2016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2016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2"/>
    </w:lvl>
  </w:abstractNum>
  <w:abstractNum w:abstractNumId="7">
    <w:nsid w:val="440BADFC"/>
    <w:multiLevelType w:val="hybridMultilevel"/>
    <w:lvl w:ilvl="0">
      <w:lvlJc w:val="left"/>
      <w:lvlText w:val="%1."/>
      <w:numFmt w:val="decimal"/>
      <w:start w:val="3"/>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1."/>
      <w:numFmt w:val="decimal"/>
      <w:start w:val="5"/>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decimal"/>
      <w:start w:val="6"/>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decimal"/>
      <w:start w:val="7"/>
    </w:lvl>
  </w:abstractNum>
  <w:abstractNum w:abstractNumId="18">
    <w:nsid w:val="153EA438"/>
    <w:multiLevelType w:val="hybridMultilevel"/>
    <w:lvl w:ilvl="0">
      <w:lvlJc w:val="left"/>
      <w:lvlText w:val="%1."/>
      <w:numFmt w:val="decimal"/>
      <w:start w:val="8"/>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decimal"/>
      <w:start w:val="9"/>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decimal"/>
      <w:start w:val="10"/>
    </w:lvl>
  </w:abstractNum>
  <w:abstractNum w:abstractNumId="23">
    <w:nsid w:val="1D4ED43B"/>
    <w:multiLevelType w:val="hybridMultilevel"/>
    <w:lvl w:ilvl="0">
      <w:lvlJc w:val="left"/>
      <w:lvlText w:val="%1."/>
      <w:numFmt w:val="decimal"/>
      <w:start w:val="1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decimal"/>
      <w:start w:val="12"/>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decimal"/>
      <w:start w:val="13"/>
    </w:lvl>
  </w:abstractNum>
  <w:abstractNum w:abstractNumId="28">
    <w:nsid w:val="4B588F54"/>
    <w:multiLevelType w:val="hybridMultilevel"/>
    <w:lvl w:ilvl="0">
      <w:lvlJc w:val="left"/>
      <w:lvlText w:val="%1."/>
      <w:numFmt w:val="decimal"/>
      <w:start w:val="14"/>
    </w:lvl>
  </w:abstractNum>
  <w:abstractNum w:abstractNumId="29">
    <w:nsid w:val="542289EC"/>
    <w:multiLevelType w:val="hybridMultilevel"/>
    <w:lvl w:ilvl="0">
      <w:lvlJc w:val="left"/>
      <w:lvlText w:val="%1."/>
      <w:numFmt w:val="decimal"/>
      <w:start w:val="15"/>
    </w:lvl>
  </w:abstractNum>
  <w:abstractNum w:abstractNumId="30">
    <w:nsid w:val="6DE91B18"/>
    <w:multiLevelType w:val="hybridMultilevel"/>
    <w:lvl w:ilvl="0">
      <w:lvlJc w:val="left"/>
      <w:lvlText w:val="%1."/>
      <w:numFmt w:val="decimal"/>
      <w:start w:val="16"/>
    </w:lvl>
  </w:abstractNum>
  <w:abstractNum w:abstractNumId="31">
    <w:nsid w:val="38437FDB"/>
    <w:multiLevelType w:val="hybridMultilevel"/>
    <w:lvl w:ilvl="0">
      <w:lvlJc w:val="left"/>
      <w:lvlText w:val="%1."/>
      <w:numFmt w:val="decimal"/>
      <w:start w:val="17"/>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lowerRoman"/>
      <w:start w:val="4"/>
    </w:lvl>
  </w:abstractNum>
  <w:abstractNum w:abstractNumId="41">
    <w:nsid w:val="12E685FB"/>
    <w:multiLevelType w:val="hybridMultilevel"/>
    <w:lvl w:ilvl="0">
      <w:lvlJc w:val="left"/>
      <w:lvlText w:val="•"/>
      <w:numFmt w:val="bullet"/>
      <w:start w:val="1"/>
    </w:lvl>
    <w:lvl w:ilvl="1">
      <w:lvlJc w:val="left"/>
      <w:lvlText w:val="(%2)"/>
      <w:numFmt w:val="lowerRoman"/>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Roman"/>
      <w:start w:val="2"/>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lowerLetter"/>
      <w:start w:val="2"/>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Roman"/>
      <w:start w:val="3"/>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2"/>
    </w:lvl>
  </w:abstractNum>
  <w:abstractNum w:abstractNumId="60">
    <w:nsid w:val="61574095"/>
    <w:multiLevelType w:val="hybridMultilevel"/>
    <w:lvl w:ilvl="0">
      <w:lvlJc w:val="left"/>
      <w:lvlText w:val="(%1)"/>
      <w:numFmt w:val="lowerLetter"/>
      <w:start w:val="1"/>
    </w:lvl>
    <w:lvl w:ilvl="1">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2019-12-29T09:55:33Z</dcterms:created>
  <dcterms:modified xsi:type="dcterms:W3CDTF">2019-12-29T09:55:33Z</dcterms:modified>
</cp:coreProperties>
</file>